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Prometheus Requirements Documentation</w:t>
      </w:r>
    </w:p>
    <w:p>
      <w:pPr>
        <w:pStyle w:val="Heading1"/>
        <w:jc w:val="left"/>
      </w:pPr>
      <w:r>
        <w:t>Operational Risk Technical Guide</w:t>
      </w:r>
    </w:p>
    <w:p>
      <w:pPr>
        <w:pStyle w:val="Heading2"/>
        <w:jc w:val="left"/>
      </w:pPr>
      <w:r>
        <w:t>Standardised Measurement Approach — SMA (OPE25)</w:t>
      </w:r>
    </w:p>
    <w:p>
      <w:pPr>
        <w:pStyle w:val="Heading3"/>
        <w:jc w:val="left"/>
      </w:pPr>
      <w:r>
        <w:t>PROMETHEUS Risk Platform</w:t>
      </w:r>
    </w:p>
    <w:p>
      <w:pPr>
        <w:pStyle w:val="Heading2"/>
        <w:jc w:val="left"/>
      </w:pPr>
      <w:r>
        <w:t>Table of Contents</w:t>
      </w:r>
    </w:p>
    <w:p>
      <w:pPr>
        <w:pStyle w:val="ListNumber"/>
      </w:pPr>
      <w:r>
        <w:t>Overview and Regulatory Basis</w:t>
      </w:r>
    </w:p>
    <w:p>
      <w:pPr>
        <w:pStyle w:val="ListNumber"/>
      </w:pPr>
      <w:r>
        <w:t>SMA Architecture</w:t>
      </w:r>
    </w:p>
    <w:p>
      <w:pPr>
        <w:pStyle w:val="ListNumber"/>
      </w:pPr>
      <w:r>
        <w:t>Business Indicator Component (BIC)</w:t>
      </w:r>
    </w:p>
    <w:p>
      <w:pPr>
        <w:pStyle w:val="ListNumber"/>
      </w:pPr>
      <w:r>
        <w:t>Internal Loss Multiplier (ILM)</w:t>
      </w:r>
    </w:p>
    <w:p>
      <w:pPr>
        <w:pStyle w:val="ListNumber"/>
      </w:pPr>
      <w:r>
        <w:t>Operational Risk RWA</w:t>
      </w:r>
    </w:p>
    <w:p>
      <w:pPr>
        <w:pStyle w:val="ListNumber"/>
      </w:pPr>
      <w:r>
        <w:t>Loss Event Classification</w:t>
      </w:r>
    </w:p>
    <w:p>
      <w:pPr>
        <w:pStyle w:val="ListNumber"/>
      </w:pPr>
      <w:r>
        <w:t>Data Structures Reference</w:t>
      </w:r>
    </w:p>
    <w:p>
      <w:pPr>
        <w:pStyle w:val="ListNumber"/>
      </w:pPr>
      <w:r>
        <w:t>Glossary</w:t>
      </w:r>
    </w:p>
    <w:p>
      <w:r>
        <w:rPr>
          <w:b/>
        </w:rPr>
        <w:t>Appendix A</w:t>
      </w:r>
      <w:r>
        <w:t xml:space="preserve"> — BIC Calculation: Mid-Tier Bank Example</w:t>
      </w:r>
    </w:p>
    <w:p>
      <w:r>
        <w:rPr>
          <w:b/>
        </w:rPr>
        <w:t>Appendix B</w:t>
      </w:r>
      <w:r>
        <w:t xml:space="preserve"> — ILM Calculation with Elevated Loss History</w:t>
      </w:r>
    </w:p>
    <w:p>
      <w:r>
        <w:rPr>
          <w:b/>
        </w:rPr>
        <w:t>Appendix C</w:t>
      </w:r>
      <w:r>
        <w:t xml:space="preserve"> — Full SMA Capital Computation</w:t>
      </w:r>
    </w:p>
    <w:p>
      <w:r>
        <w:rPr>
          <w:b/>
        </w:rPr>
        <w:t>Appendix D</w:t>
      </w:r>
      <w:r>
        <w:t xml:space="preserve"> — Loss Event Classification Examples</w:t>
      </w:r>
    </w:p>
    <w:p>
      <w:pPr>
        <w:pStyle w:val="Heading2"/>
        <w:jc w:val="left"/>
      </w:pPr>
      <w:r>
        <w:t>1. Overview and Regulatory Basis</w:t>
      </w:r>
    </w:p>
    <w:p>
      <w:r>
        <w:t>The Standardised Measurement Approach (SMA) is the Basel III/IV methodology for computing</w:t>
      </w:r>
    </w:p>
    <w:p>
      <w:r>
        <w:t>operational risk capital. It replaced the Basic Indicator Approach (BIA) and Standardised</w:t>
      </w:r>
    </w:p>
    <w:p>
      <w:r>
        <w:t>Approach (TSA) from Basel II.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Regulation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Topic</w:t>
            </w:r>
          </w:p>
        </w:tc>
      </w:tr>
      <w:tr>
        <w:tc>
          <w:tcPr>
            <w:tcW w:type="dxa" w:w="4320"/>
          </w:tcPr>
          <w:p>
            <w:r>
              <w:t>OPE25</w:t>
            </w:r>
          </w:p>
        </w:tc>
        <w:tc>
          <w:tcPr>
            <w:tcW w:type="dxa" w:w="4320"/>
          </w:tcPr>
          <w:p>
            <w:r>
              <w:t>SMA methodology — BIC + ILM</w:t>
            </w:r>
          </w:p>
        </w:tc>
      </w:tr>
      <w:tr>
        <w:tc>
          <w:tcPr>
            <w:tcW w:type="dxa" w:w="4320"/>
          </w:tcPr>
          <w:p>
            <w:r>
              <w:t>RBC20.10</w:t>
            </w:r>
          </w:p>
        </w:tc>
        <w:tc>
          <w:tcPr>
            <w:tcW w:type="dxa" w:w="4320"/>
          </w:tcPr>
          <w:p>
            <w:r>
              <w:t>Operational risk capital in total RWA</w:t>
            </w:r>
          </w:p>
        </w:tc>
      </w:tr>
      <w:tr>
        <w:tc>
          <w:tcPr>
            <w:tcW w:type="dxa" w:w="4320"/>
          </w:tcPr>
          <w:p>
            <w:r>
              <w:t>OPE25.3</w:t>
            </w:r>
          </w:p>
        </w:tc>
        <w:tc>
          <w:tcPr>
            <w:tcW w:type="dxa" w:w="4320"/>
          </w:tcPr>
          <w:p>
            <w:r>
              <w:t>Business Indicator subcomponents</w:t>
            </w:r>
          </w:p>
        </w:tc>
      </w:tr>
      <w:tr>
        <w:tc>
          <w:tcPr>
            <w:tcW w:type="dxa" w:w="4320"/>
          </w:tcPr>
          <w:p>
            <w:r>
              <w:t>OPE25.9</w:t>
            </w:r>
          </w:p>
        </w:tc>
        <w:tc>
          <w:tcPr>
            <w:tcW w:type="dxa" w:w="4320"/>
          </w:tcPr>
          <w:p>
            <w:r>
              <w:t>BIC marginal coefficients by bucket</w:t>
            </w:r>
          </w:p>
        </w:tc>
      </w:tr>
      <w:tr>
        <w:tc>
          <w:tcPr>
            <w:tcW w:type="dxa" w:w="4320"/>
          </w:tcPr>
          <w:p>
            <w:r>
              <w:t>OPE25.12</w:t>
            </w:r>
          </w:p>
        </w:tc>
        <w:tc>
          <w:tcPr>
            <w:tcW w:type="dxa" w:w="4320"/>
          </w:tcPr>
          <w:p>
            <w:r>
              <w:t>ILM formula</w:t>
            </w:r>
          </w:p>
        </w:tc>
      </w:tr>
      <w:tr>
        <w:tc>
          <w:tcPr>
            <w:tcW w:type="dxa" w:w="4320"/>
          </w:tcPr>
          <w:p>
            <w:r>
              <w:t>OPE25.15</w:t>
            </w:r>
          </w:p>
        </w:tc>
        <w:tc>
          <w:tcPr>
            <w:tcW w:type="dxa" w:w="4320"/>
          </w:tcPr>
          <w:p>
            <w:r>
              <w:t>Loss data requirements</w:t>
            </w:r>
          </w:p>
        </w:tc>
      </w:tr>
    </w:tbl>
    <w:p>
      <w:r>
        <w:t>Key formula:</w:t>
      </w:r>
    </w:p>
    <w:p>
      <w:r>
        <w:t>Operational Risk Capital = BIC x ILM</w:t>
      </w:r>
    </w:p>
    <w:p>
      <w:r>
        <w:t>RWA_OpRisk = Capital x 12.5</w:t>
      </w:r>
    </w:p>
    <w:p>
      <w:pPr>
        <w:pStyle w:val="Heading2"/>
        <w:jc w:val="left"/>
      </w:pPr>
      <w:r>
        <w:t>2. SMA Architecture</w:t>
      </w:r>
    </w:p>
    <w:p>
      <w:r>
        <w:t>Income Statement Data (3-year average)</w:t>
      </w:r>
    </w:p>
    <w:p>
      <w:r>
        <w:t>v</w:t>
      </w:r>
    </w:p>
    <w:p>
      <w:r>
        <w:t>Business Indicator (BI) = ILDC + SC + FC</w:t>
      </w:r>
    </w:p>
    <w:p>
      <w:r>
        <w:t>v</w:t>
      </w:r>
    </w:p>
    <w:p>
      <w:r>
        <w:t>Business Indicator Component (BIC)</w:t>
      </w:r>
    </w:p>
    <w:p>
      <w:r>
        <w:t>Bucket 1 (BI &lt;= EUR 1bn):    BIC = BI x 12%</w:t>
      </w:r>
    </w:p>
    <w:p>
      <w:r>
        <w:t>Bucket 2 (EUR 1bn-30bn):     BIC = EUR 120M + (BI - 1bn) x 15%</w:t>
      </w:r>
    </w:p>
    <w:p>
      <w:r>
        <w:t>Bucket 3 (BI &gt; EUR 30bn):    BIC = EUR 4,470M + (BI - 30bn) x 18%</w:t>
      </w:r>
    </w:p>
    <w:p>
      <w:r>
        <w:t>v</w:t>
      </w:r>
    </w:p>
    <w:p>
      <w:r>
        <w:t>Internal Loss Multiplier (ILM)</w:t>
      </w:r>
    </w:p>
    <w:p>
      <w:r>
        <w:t>ILM = ln(e - 1 + (Loss_Component / BIC)^0.8)</w:t>
      </w:r>
    </w:p>
    <w:p>
      <w:r>
        <w:t>where Loss_Component = 15 x avg_annual_loss_10yr</w:t>
      </w:r>
    </w:p>
    <w:p>
      <w:r>
        <w:t>v</w:t>
      </w:r>
    </w:p>
    <w:p>
      <w:r>
        <w:t>Capital = BIC x ILM</w:t>
      </w:r>
    </w:p>
    <w:p>
      <w:r>
        <w:t>RWA = Capital x 12.5</w:t>
      </w:r>
    </w:p>
    <w:p>
      <w:pPr>
        <w:pStyle w:val="Heading2"/>
        <w:jc w:val="left"/>
      </w:pPr>
      <w:r>
        <w:t>3. Business Indicator Component (BIC)</w:t>
      </w:r>
    </w:p>
    <w:p>
      <w:pPr>
        <w:pStyle w:val="Heading3"/>
        <w:jc w:val="left"/>
      </w:pPr>
      <w:r>
        <w:t>Business Indicator (BI) Subcomponents</w:t>
      </w:r>
    </w:p>
    <w:p>
      <w:r>
        <w:t>The BI captures three income streams that correlate with operational risk exposure:</w:t>
      </w:r>
    </w:p>
    <w:p>
      <w:r>
        <w:rPr>
          <w:b/>
        </w:rPr>
        <w:t>ILDC — Interest, Leases, Dividends Component:</w:t>
      </w:r>
    </w:p>
    <w:p>
      <w:r>
        <w:t>ILDC = |Net_Interest_Income| + |Net_Lease_Income| + |Dividend_Income|</w:t>
      </w:r>
    </w:p>
    <w:p>
      <w:r>
        <w:rPr>
          <w:b/>
        </w:rPr>
        <w:t>SC — Services Component:</w:t>
      </w:r>
    </w:p>
    <w:p>
      <w:r>
        <w:t>SC = max(Fee_Income, Fee_Expense) + max(Other_Op_Income, Other_Op_Expense)</w:t>
      </w:r>
    </w:p>
    <w:p>
      <w:r>
        <w:rPr>
          <w:b/>
        </w:rPr>
        <w:t>FC — Financial Component:</w:t>
      </w:r>
    </w:p>
    <w:p>
      <w:r>
        <w:t>FC = |Net_P&amp;L_Trading_Book| + |Net_P&amp;L_Banking_Book|</w:t>
      </w:r>
    </w:p>
    <w:p>
      <w:r>
        <w:rPr>
          <w:b/>
        </w:rPr>
        <w:t>Business Indicator:</w:t>
      </w:r>
    </w:p>
    <w:p>
      <w:r>
        <w:t>BI = ILDC + SC + FC</w:t>
      </w:r>
    </w:p>
    <w:p>
      <w:pPr>
        <w:pStyle w:val="Heading3"/>
        <w:jc w:val="left"/>
      </w:pPr>
      <w:r>
        <w:t>BIC Marginal Coefficients (OPE25.9)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BI Range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Marginal Rate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Computation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&lt;= EUR 1bn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BI x 0.12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EUR 1-30bn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120M + (BI - 1bn) x 0.15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&gt; EUR 30bn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4,470M + (BI - 30bn) x 0.18</w:t>
            </w:r>
          </w:p>
        </w:tc>
      </w:tr>
    </w:tbl>
    <w:p>
      <w:r>
        <w:t>The marginal rates are progressive — large banks pay a higher rate on incremental BI. This</w:t>
      </w:r>
    </w:p>
    <w:p>
      <w:r>
        <w:t>reflects the supervisory view that large banks have disproportionately higher operational risk</w:t>
      </w:r>
    </w:p>
    <w:p>
      <w:r>
        <w:t>due to complexity, global footprint, and regulatory exposure.</w:t>
      </w:r>
    </w:p>
    <w:p>
      <w:pPr>
        <w:pStyle w:val="Heading2"/>
        <w:jc w:val="left"/>
      </w:pPr>
      <w:r>
        <w:t>4. Internal Loss Multiplier (ILM)</w:t>
      </w:r>
    </w:p>
    <w:p>
      <w:r>
        <w:t>The ILM adjusts BIC upward or downward based on the bank's actual historical loss experience</w:t>
      </w:r>
    </w:p>
    <w:p>
      <w:r>
        <w:t>versus the industry average implied by BIC.</w:t>
      </w:r>
    </w:p>
    <w:p>
      <w:r>
        <w:t>Loss_Component = 15 x avg_annual_loss_10yr</w:t>
      </w:r>
    </w:p>
    <w:p>
      <w:r>
        <w:t>ILM = ln(e - 1 + (Loss_Component / BIC)^0.8)</w:t>
      </w:r>
    </w:p>
    <w:p>
      <w:pPr>
        <w:pStyle w:val="Heading3"/>
        <w:jc w:val="left"/>
      </w:pPr>
      <w:r>
        <w:t>ILM Behaviour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Loss_Component / BIC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ILM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0.53</w:t>
            </w:r>
          </w:p>
        </w:tc>
        <w:tc>
          <w:tcPr>
            <w:tcW w:type="dxa" w:w="2880"/>
          </w:tcPr>
          <w:p>
            <w:r>
              <w:t>Very clean loss history — 47% capital reduction</w:t>
            </w:r>
          </w:p>
        </w:tc>
      </w:tr>
      <w:tr>
        <w:tc>
          <w:tcPr>
            <w:tcW w:type="dxa" w:w="2880"/>
          </w:tcPr>
          <w:p>
            <w:r>
              <w:t>0.50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  <w:tc>
          <w:tcPr>
            <w:tcW w:type="dxa" w:w="2880"/>
          </w:tcPr>
          <w:p>
            <w:r>
              <w:t>Below-average losses</w:t>
            </w:r>
          </w:p>
        </w:tc>
      </w:tr>
      <w:tr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Average (ILM = 1 by construction)</w:t>
            </w:r>
          </w:p>
        </w:tc>
      </w:tr>
      <w:tr>
        <w:tc>
          <w:tcPr>
            <w:tcW w:type="dxa" w:w="2880"/>
          </w:tcPr>
          <w:p>
            <w:r>
              <w:t>2.00</w:t>
            </w:r>
          </w:p>
        </w:tc>
        <w:tc>
          <w:tcPr>
            <w:tcW w:type="dxa" w:w="2880"/>
          </w:tcPr>
          <w:p>
            <w:r>
              <w:t>1.20</w:t>
            </w:r>
          </w:p>
        </w:tc>
        <w:tc>
          <w:tcPr>
            <w:tcW w:type="dxa" w:w="2880"/>
          </w:tcPr>
          <w:p>
            <w:r>
              <w:t>Above-average losses — 20% surcharge</w:t>
            </w:r>
          </w:p>
        </w:tc>
      </w:tr>
      <w:tr>
        <w:tc>
          <w:tcPr>
            <w:tcW w:type="dxa" w:w="2880"/>
          </w:tcPr>
          <w:p>
            <w:r>
              <w:t>5.00</w:t>
            </w:r>
          </w:p>
        </w:tc>
        <w:tc>
          <w:tcPr>
            <w:tcW w:type="dxa" w:w="2880"/>
          </w:tcPr>
          <w:p>
            <w:r>
              <w:t>1.51</w:t>
            </w:r>
          </w:p>
        </w:tc>
        <w:tc>
          <w:tcPr>
            <w:tcW w:type="dxa" w:w="2880"/>
          </w:tcPr>
          <w:p>
            <w:r>
              <w:t>High losses — 51% surcharge</w:t>
            </w:r>
          </w:p>
        </w:tc>
      </w:tr>
      <w:tr>
        <w:tc>
          <w:tcPr>
            <w:tcW w:type="dxa" w:w="2880"/>
          </w:tcPr>
          <w:p>
            <w:r>
              <w:t>10.00</w:t>
            </w:r>
          </w:p>
        </w:tc>
        <w:tc>
          <w:tcPr>
            <w:tcW w:type="dxa" w:w="2880"/>
          </w:tcPr>
          <w:p>
            <w:r>
              <w:t>1.72</w:t>
            </w:r>
          </w:p>
        </w:tc>
        <w:tc>
          <w:tcPr>
            <w:tcW w:type="dxa" w:w="2880"/>
          </w:tcPr>
          <w:p>
            <w:r>
              <w:t>Very high losses — 72% surcharge</w:t>
            </w:r>
          </w:p>
        </w:tc>
      </w:tr>
    </w:tbl>
    <w:p>
      <w:pPr>
        <w:pStyle w:val="Heading3"/>
        <w:jc w:val="left"/>
      </w:pPr>
      <w:r>
        <w:t>ILM Properties</w:t>
      </w:r>
    </w:p>
    <w:p>
      <w:pPr>
        <w:pStyle w:val="ListNumber"/>
      </w:pPr>
      <w:r>
        <w:t>**Calibrated to industry average:** When Loss_Component equals BIC, ILM = 1.0 exactly.</w:t>
      </w:r>
    </w:p>
    <w:p>
      <w:r>
        <w:t>Banks below average benefit; banks above average are penalised.</w:t>
      </w:r>
    </w:p>
    <w:p>
      <w:pPr>
        <w:pStyle w:val="ListNumber"/>
      </w:pPr>
      <w:r>
        <w:t>**Concave penalty function:** The 0.8 exponent means each additional dollar of losses has</w:t>
      </w:r>
    </w:p>
    <w:p>
      <w:r>
        <w:t>diminishing marginal impact — prevents runaway capital from extreme one-off events.</w:t>
      </w:r>
    </w:p>
    <w:p>
      <w:pPr>
        <w:pStyle w:val="ListNumber"/>
      </w:pPr>
      <w:r>
        <w:t>**Supervisory override:** National supervisors may set ILM = 1.0 (BIC-only) for Bucket 1</w:t>
      </w:r>
    </w:p>
    <w:p>
      <w:r>
        <w:t>banks. For Buckets 2 and 3, ILM must be applied as computed.</w:t>
      </w:r>
    </w:p>
    <w:p>
      <w:pPr>
        <w:pStyle w:val="ListNumber"/>
      </w:pPr>
      <w:r>
        <w:t>**10-year horizon:** Requires 10 years of high-quality internal loss data. Shorter</w:t>
      </w:r>
    </w:p>
    <w:p>
      <w:r>
        <w:t>histories may require supervisory estimates for missing years.</w:t>
      </w:r>
    </w:p>
    <w:p>
      <w:pPr>
        <w:pStyle w:val="Heading2"/>
        <w:jc w:val="left"/>
      </w:pPr>
      <w:r>
        <w:t>5. Operational Risk RWA</w:t>
      </w:r>
    </w:p>
    <w:p>
      <w:r>
        <w:t>Capital    = BIC x ILM</w:t>
      </w:r>
    </w:p>
    <w:p>
      <w:r>
        <w:t>RWA_OpRisk = Capital x 12.5    [from RBC20.10: RWA = Capital / 8%]</w:t>
      </w:r>
    </w:p>
    <w:p>
      <w:r>
        <w:t>Operational Risk RWA feeds into Total RWA alongside Credit Risk, Market Risk, and CVA.</w:t>
      </w:r>
    </w:p>
    <w:p>
      <w:pPr>
        <w:pStyle w:val="Heading2"/>
        <w:jc w:val="left"/>
      </w:pPr>
      <w:r>
        <w:t>6. Loss Event Classification</w:t>
      </w:r>
    </w:p>
    <w:p>
      <w:pPr>
        <w:pStyle w:val="Heading3"/>
        <w:jc w:val="left"/>
      </w:pPr>
      <w:r>
        <w:t>Basel Event Types (Level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Common Examples</w:t>
            </w:r>
          </w:p>
        </w:tc>
      </w:tr>
      <w:tr>
        <w:tc>
          <w:tcPr>
            <w:tcW w:type="dxa" w:w="2880"/>
          </w:tcPr>
          <w:p>
            <w:r>
              <w:t>INTERNAL_FRAUD</w:t>
            </w:r>
          </w:p>
        </w:tc>
        <w:tc>
          <w:tcPr>
            <w:tcW w:type="dxa" w:w="2880"/>
          </w:tcPr>
          <w:p>
            <w:r>
              <w:t>Internal Fraud</w:t>
            </w:r>
          </w:p>
        </w:tc>
        <w:tc>
          <w:tcPr>
            <w:tcW w:type="dxa" w:w="2880"/>
          </w:tcPr>
          <w:p>
            <w:r>
              <w:t>Rogue trading (Barings, SocGen), employee theft</w:t>
            </w:r>
          </w:p>
        </w:tc>
      </w:tr>
      <w:tr>
        <w:tc>
          <w:tcPr>
            <w:tcW w:type="dxa" w:w="2880"/>
          </w:tcPr>
          <w:p>
            <w:r>
              <w:t>EXTERNAL_FRAUD</w:t>
            </w:r>
          </w:p>
        </w:tc>
        <w:tc>
          <w:tcPr>
            <w:tcW w:type="dxa" w:w="2880"/>
          </w:tcPr>
          <w:p>
            <w:r>
              <w:t>External Fraud</w:t>
            </w:r>
          </w:p>
        </w:tc>
        <w:tc>
          <w:tcPr>
            <w:tcW w:type="dxa" w:w="2880"/>
          </w:tcPr>
          <w:p>
            <w:r>
              <w:t>Cyber attacks, card skimming, check fraud</w:t>
            </w:r>
          </w:p>
        </w:tc>
      </w:tr>
      <w:tr>
        <w:tc>
          <w:tcPr>
            <w:tcW w:type="dxa" w:w="2880"/>
          </w:tcPr>
          <w:p>
            <w:r>
              <w:t>EPWS</w:t>
            </w:r>
          </w:p>
        </w:tc>
        <w:tc>
          <w:tcPr>
            <w:tcW w:type="dxa" w:w="2880"/>
          </w:tcPr>
          <w:p>
            <w:r>
              <w:t>Employment Practices and Workplace Safety</w:t>
            </w:r>
          </w:p>
        </w:tc>
        <w:tc>
          <w:tcPr>
            <w:tcW w:type="dxa" w:w="2880"/>
          </w:tcPr>
          <w:p>
            <w:r>
              <w:t>Wrongful dismissal, discrimination claims</w:t>
            </w:r>
          </w:p>
        </w:tc>
      </w:tr>
      <w:tr>
        <w:tc>
          <w:tcPr>
            <w:tcW w:type="dxa" w:w="2880"/>
          </w:tcPr>
          <w:p>
            <w:r>
              <w:t>CPBP</w:t>
            </w:r>
          </w:p>
        </w:tc>
        <w:tc>
          <w:tcPr>
            <w:tcW w:type="dxa" w:w="2880"/>
          </w:tcPr>
          <w:p>
            <w:r>
              <w:t>Clients, Products and Business Practices</w:t>
            </w:r>
          </w:p>
        </w:tc>
        <w:tc>
          <w:tcPr>
            <w:tcW w:type="dxa" w:w="2880"/>
          </w:tcPr>
          <w:p>
            <w:r>
              <w:t>Mis-selling, LIBOR manipulation</w:t>
            </w:r>
          </w:p>
        </w:tc>
      </w:tr>
      <w:tr>
        <w:tc>
          <w:tcPr>
            <w:tcW w:type="dxa" w:w="2880"/>
          </w:tcPr>
          <w:p>
            <w:r>
              <w:t>DPA</w:t>
            </w:r>
          </w:p>
        </w:tc>
        <w:tc>
          <w:tcPr>
            <w:tcW w:type="dxa" w:w="2880"/>
          </w:tcPr>
          <w:p>
            <w:r>
              <w:t>Damage to Physical Assets</w:t>
            </w:r>
          </w:p>
        </w:tc>
        <w:tc>
          <w:tcPr>
            <w:tcW w:type="dxa" w:w="2880"/>
          </w:tcPr>
          <w:p>
            <w:r>
              <w:t>Natural disasters, terrorism</w:t>
            </w:r>
          </w:p>
        </w:tc>
      </w:tr>
      <w:tr>
        <w:tc>
          <w:tcPr>
            <w:tcW w:type="dxa" w:w="2880"/>
          </w:tcPr>
          <w:p>
            <w:r>
              <w:t>BDSF</w:t>
            </w:r>
          </w:p>
        </w:tc>
        <w:tc>
          <w:tcPr>
            <w:tcW w:type="dxa" w:w="2880"/>
          </w:tcPr>
          <w:p>
            <w:r>
              <w:t>Business Disruption and System Failures</w:t>
            </w:r>
          </w:p>
        </w:tc>
        <w:tc>
          <w:tcPr>
            <w:tcW w:type="dxa" w:w="2880"/>
          </w:tcPr>
          <w:p>
            <w:r>
              <w:t>IT outages, power failures</w:t>
            </w:r>
          </w:p>
        </w:tc>
      </w:tr>
      <w:tr>
        <w:tc>
          <w:tcPr>
            <w:tcW w:type="dxa" w:w="2880"/>
          </w:tcPr>
          <w:p>
            <w:r>
              <w:t>EDPM</w:t>
            </w:r>
          </w:p>
        </w:tc>
        <w:tc>
          <w:tcPr>
            <w:tcW w:type="dxa" w:w="2880"/>
          </w:tcPr>
          <w:p>
            <w:r>
              <w:t>Execution, Delivery and Process Management</w:t>
            </w:r>
          </w:p>
        </w:tc>
        <w:tc>
          <w:tcPr>
            <w:tcW w:type="dxa" w:w="2880"/>
          </w:tcPr>
          <w:p>
            <w:r>
              <w:t>Settlement fails, documentation errors</w:t>
            </w:r>
          </w:p>
        </w:tc>
      </w:tr>
    </w:tbl>
    <w:p>
      <w:pPr>
        <w:pStyle w:val="Heading3"/>
        <w:jc w:val="left"/>
      </w:pPr>
      <w:r>
        <w:t>Loss Capture Thresholds (OPE25.15)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&gt;= EUR 20,000</w:t>
            </w:r>
          </w:p>
        </w:tc>
        <w:tc>
          <w:tcPr>
            <w:tcW w:type="dxa" w:w="4320"/>
          </w:tcPr>
          <w:p>
            <w:r>
              <w:t>Must be captured in loss database</w:t>
            </w:r>
          </w:p>
        </w:tc>
      </w:tr>
      <w:tr>
        <w:tc>
          <w:tcPr>
            <w:tcW w:type="dxa" w:w="4320"/>
          </w:tcPr>
          <w:p>
            <w:r>
              <w:t>&gt;= EUR 100,000</w:t>
            </w:r>
          </w:p>
        </w:tc>
        <w:tc>
          <w:tcPr>
            <w:tcW w:type="dxa" w:w="4320"/>
          </w:tcPr>
          <w:p>
            <w:r>
              <w:t>Must include detailed root cause analysis</w:t>
            </w:r>
          </w:p>
        </w:tc>
      </w:tr>
      <w:tr>
        <w:tc>
          <w:tcPr>
            <w:tcW w:type="dxa" w:w="4320"/>
          </w:tcPr>
          <w:p>
            <w:r>
              <w:t>Near-misses</w:t>
            </w:r>
          </w:p>
        </w:tc>
        <w:tc>
          <w:tcPr>
            <w:tcW w:type="dxa" w:w="4320"/>
          </w:tcPr>
          <w:p>
            <w:r>
              <w:t>Should be captured qualitatively</w:t>
            </w:r>
          </w:p>
        </w:tc>
      </w:tr>
    </w:tbl>
    <w:p>
      <w:pPr>
        <w:pStyle w:val="Heading3"/>
        <w:jc w:val="left"/>
      </w:pPr>
      <w:r>
        <w:t>Net Loss Definition</w:t>
      </w:r>
    </w:p>
    <w:p>
      <w:r>
        <w:t>Net_Loss = Gross_Loss - Recoveries - Insurance_Recovery</w:t>
      </w:r>
    </w:p>
    <w:p>
      <w:r>
        <w:t>Only net losses enter the ILM calculation. Direct recoveries and insurance payments reduce</w:t>
      </w:r>
    </w:p>
    <w:p>
      <w:r>
        <w:t>the loss amount. Multi-year settlements may require timing adjustments.</w:t>
      </w:r>
    </w:p>
    <w:p>
      <w:pPr>
        <w:pStyle w:val="Heading2"/>
        <w:jc w:val="left"/>
      </w:pPr>
      <w:r>
        <w:t>7. Data Structures Reference</w:t>
      </w:r>
    </w:p>
    <w:p>
      <w:pPr>
        <w:pStyle w:val="Heading3"/>
        <w:jc w:val="left"/>
      </w:pPr>
      <w:r>
        <w:t>LossEvent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event_id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Unique loss event identifier</w:t>
            </w:r>
          </w:p>
        </w:tc>
      </w:tr>
      <w:tr>
        <w:tc>
          <w:tcPr>
            <w:tcW w:type="dxa" w:w="2880"/>
          </w:tcPr>
          <w:p>
            <w:r>
              <w:t>event_date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loss occurred</w:t>
            </w:r>
          </w:p>
        </w:tc>
      </w:tr>
      <w:tr>
        <w:tc>
          <w:tcPr>
            <w:tcW w:type="dxa" w:w="2880"/>
          </w:tcPr>
          <w:p>
            <w:r>
              <w:t>discovery_date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loss was discovered</w:t>
            </w:r>
          </w:p>
        </w:tc>
      </w:tr>
      <w:tr>
        <w:tc>
          <w:tcPr>
            <w:tcW w:type="dxa" w:w="2880"/>
          </w:tcPr>
          <w:p>
            <w:r>
              <w:t>booking_date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booked to P&amp;L</w:t>
            </w:r>
          </w:p>
        </w:tc>
      </w:tr>
      <w:tr>
        <w:tc>
          <w:tcPr>
            <w:tcW w:type="dxa" w:w="2880"/>
          </w:tcPr>
          <w:p>
            <w:r>
              <w:t>event_type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Basel Level 1 category (CPBP, EDPM, etc.)</w:t>
            </w:r>
          </w:p>
        </w:tc>
      </w:tr>
      <w:tr>
        <w:tc>
          <w:tcPr>
            <w:tcW w:type="dxa" w:w="2880"/>
          </w:tcPr>
          <w:p>
            <w:r>
              <w:t>business_line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Basel business line</w:t>
            </w:r>
          </w:p>
        </w:tc>
      </w:tr>
      <w:tr>
        <w:tc>
          <w:tcPr>
            <w:tcW w:type="dxa" w:w="2880"/>
          </w:tcPr>
          <w:p>
            <w:r>
              <w:t>gross_loss_amount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Total loss (EUR millions)</w:t>
            </w:r>
          </w:p>
        </w:tc>
      </w:tr>
      <w:tr>
        <w:tc>
          <w:tcPr>
            <w:tcW w:type="dxa" w:w="2880"/>
          </w:tcPr>
          <w:p>
            <w:r>
              <w:t>recoveries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Direct recoveries (EUR millions)</w:t>
            </w:r>
          </w:p>
        </w:tc>
      </w:tr>
      <w:tr>
        <w:tc>
          <w:tcPr>
            <w:tcW w:type="dxa" w:w="2880"/>
          </w:tcPr>
          <w:p>
            <w:r>
              <w:t>insurance_recovery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Insurance recoveries (EUR millions)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Narrative description</w:t>
            </w:r>
          </w:p>
        </w:tc>
      </w:tr>
      <w:tr>
        <w:tc>
          <w:tcPr>
            <w:tcW w:type="dxa" w:w="2880"/>
          </w:tcPr>
          <w:p>
            <w:r>
              <w:t>root_cause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Root cause analysis</w:t>
            </w:r>
          </w:p>
        </w:tc>
      </w:tr>
    </w:tbl>
    <w:p>
      <w:pPr>
        <w:pStyle w:val="Heading3"/>
        <w:jc w:val="left"/>
      </w:pPr>
      <w:r>
        <w:t>BusinessIndicatorData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net_interest_income</w:t>
            </w:r>
          </w:p>
        </w:tc>
        <w:tc>
          <w:tcPr>
            <w:tcW w:type="dxa" w:w="4320"/>
          </w:tcPr>
          <w:p>
            <w:r>
              <w:t>NII from banking book activities</w:t>
            </w:r>
          </w:p>
        </w:tc>
      </w:tr>
      <w:tr>
        <w:tc>
          <w:tcPr>
            <w:tcW w:type="dxa" w:w="4320"/>
          </w:tcPr>
          <w:p>
            <w:r>
              <w:t>net_lease_income</w:t>
            </w:r>
          </w:p>
        </w:tc>
        <w:tc>
          <w:tcPr>
            <w:tcW w:type="dxa" w:w="4320"/>
          </w:tcPr>
          <w:p>
            <w:r>
              <w:t>Net lease income</w:t>
            </w:r>
          </w:p>
        </w:tc>
      </w:tr>
      <w:tr>
        <w:tc>
          <w:tcPr>
            <w:tcW w:type="dxa" w:w="4320"/>
          </w:tcPr>
          <w:p>
            <w:r>
              <w:t>dividend_income</w:t>
            </w:r>
          </w:p>
        </w:tc>
        <w:tc>
          <w:tcPr>
            <w:tcW w:type="dxa" w:w="4320"/>
          </w:tcPr>
          <w:p>
            <w:r>
              <w:t>Dividends received</w:t>
            </w:r>
          </w:p>
        </w:tc>
      </w:tr>
      <w:tr>
        <w:tc>
          <w:tcPr>
            <w:tcW w:type="dxa" w:w="4320"/>
          </w:tcPr>
          <w:p>
            <w:r>
              <w:t>fee_income</w:t>
            </w:r>
          </w:p>
        </w:tc>
        <w:tc>
          <w:tcPr>
            <w:tcW w:type="dxa" w:w="4320"/>
          </w:tcPr>
          <w:p>
            <w:r>
              <w:t>Fee and commission income</w:t>
            </w:r>
          </w:p>
        </w:tc>
      </w:tr>
      <w:tr>
        <w:tc>
          <w:tcPr>
            <w:tcW w:type="dxa" w:w="4320"/>
          </w:tcPr>
          <w:p>
            <w:r>
              <w:t>fee_expense</w:t>
            </w:r>
          </w:p>
        </w:tc>
        <w:tc>
          <w:tcPr>
            <w:tcW w:type="dxa" w:w="4320"/>
          </w:tcPr>
          <w:p>
            <w:r>
              <w:t>Fee and commission expense</w:t>
            </w:r>
          </w:p>
        </w:tc>
      </w:tr>
      <w:tr>
        <w:tc>
          <w:tcPr>
            <w:tcW w:type="dxa" w:w="4320"/>
          </w:tcPr>
          <w:p>
            <w:r>
              <w:t>other_operating_income</w:t>
            </w:r>
          </w:p>
        </w:tc>
        <w:tc>
          <w:tcPr>
            <w:tcW w:type="dxa" w:w="4320"/>
          </w:tcPr>
          <w:p>
            <w:r>
              <w:t>Other operating income</w:t>
            </w:r>
          </w:p>
        </w:tc>
      </w:tr>
      <w:tr>
        <w:tc>
          <w:tcPr>
            <w:tcW w:type="dxa" w:w="4320"/>
          </w:tcPr>
          <w:p>
            <w:r>
              <w:t>other_operating_expense</w:t>
            </w:r>
          </w:p>
        </w:tc>
        <w:tc>
          <w:tcPr>
            <w:tcW w:type="dxa" w:w="4320"/>
          </w:tcPr>
          <w:p>
            <w:r>
              <w:t>Other operating expense</w:t>
            </w:r>
          </w:p>
        </w:tc>
      </w:tr>
      <w:tr>
        <w:tc>
          <w:tcPr>
            <w:tcW w:type="dxa" w:w="4320"/>
          </w:tcPr>
          <w:p>
            <w:r>
              <w:t>net_trading_pnl</w:t>
            </w:r>
          </w:p>
        </w:tc>
        <w:tc>
          <w:tcPr>
            <w:tcW w:type="dxa" w:w="4320"/>
          </w:tcPr>
          <w:p>
            <w:r>
              <w:t>Net P&amp;L from trading book</w:t>
            </w:r>
          </w:p>
        </w:tc>
      </w:tr>
      <w:tr>
        <w:tc>
          <w:tcPr>
            <w:tcW w:type="dxa" w:w="4320"/>
          </w:tcPr>
          <w:p>
            <w:r>
              <w:t>net_banking_book_pnl</w:t>
            </w:r>
          </w:p>
        </w:tc>
        <w:tc>
          <w:tcPr>
            <w:tcW w:type="dxa" w:w="4320"/>
          </w:tcPr>
          <w:p>
            <w:r>
              <w:t>Net P&amp;L from banking book instruments</w:t>
            </w:r>
          </w:p>
        </w:tc>
      </w:tr>
    </w:tbl>
    <w:p>
      <w:pPr>
        <w:pStyle w:val="Heading2"/>
        <w:jc w:val="left"/>
      </w:pPr>
      <w:r>
        <w:t>8.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SMA</w:t>
            </w:r>
          </w:p>
        </w:tc>
        <w:tc>
          <w:tcPr>
            <w:tcW w:type="dxa" w:w="4320"/>
          </w:tcPr>
          <w:p>
            <w:r>
              <w:t>Standardised Measurement Approach</w:t>
            </w:r>
          </w:p>
        </w:tc>
      </w:tr>
      <w:tr>
        <w:tc>
          <w:tcPr>
            <w:tcW w:type="dxa" w:w="4320"/>
          </w:tcPr>
          <w:p>
            <w:r>
              <w:t>BI</w:t>
            </w:r>
          </w:p>
        </w:tc>
        <w:tc>
          <w:tcPr>
            <w:tcW w:type="dxa" w:w="4320"/>
          </w:tcPr>
          <w:p>
            <w:r>
              <w:t>Business Indicator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Business Indicator Component</w:t>
            </w:r>
          </w:p>
        </w:tc>
      </w:tr>
      <w:tr>
        <w:tc>
          <w:tcPr>
            <w:tcW w:type="dxa" w:w="4320"/>
          </w:tcPr>
          <w:p>
            <w:r>
              <w:t>ILM</w:t>
            </w:r>
          </w:p>
        </w:tc>
        <w:tc>
          <w:tcPr>
            <w:tcW w:type="dxa" w:w="4320"/>
          </w:tcPr>
          <w:p>
            <w:r>
              <w:t>Internal Loss Multiplier</w:t>
            </w:r>
          </w:p>
        </w:tc>
      </w:tr>
      <w:tr>
        <w:tc>
          <w:tcPr>
            <w:tcW w:type="dxa" w:w="4320"/>
          </w:tcPr>
          <w:p>
            <w:r>
              <w:t>ILDC</w:t>
            </w:r>
          </w:p>
        </w:tc>
        <w:tc>
          <w:tcPr>
            <w:tcW w:type="dxa" w:w="4320"/>
          </w:tcPr>
          <w:p>
            <w:r>
              <w:t>Interest, Leases, Dividends Component</w:t>
            </w:r>
          </w:p>
        </w:tc>
      </w:tr>
      <w:tr>
        <w:tc>
          <w:tcPr>
            <w:tcW w:type="dxa" w:w="4320"/>
          </w:tcPr>
          <w:p>
            <w:r>
              <w:t>SC</w:t>
            </w:r>
          </w:p>
        </w:tc>
        <w:tc>
          <w:tcPr>
            <w:tcW w:type="dxa" w:w="4320"/>
          </w:tcPr>
          <w:p>
            <w:r>
              <w:t>Services Component</w:t>
            </w:r>
          </w:p>
        </w:tc>
      </w:tr>
      <w:tr>
        <w:tc>
          <w:tcPr>
            <w:tcW w:type="dxa" w:w="4320"/>
          </w:tcPr>
          <w:p>
            <w:r>
              <w:t>FC</w:t>
            </w:r>
          </w:p>
        </w:tc>
        <w:tc>
          <w:tcPr>
            <w:tcW w:type="dxa" w:w="4320"/>
          </w:tcPr>
          <w:p>
            <w:r>
              <w:t>Financial Component</w:t>
            </w:r>
          </w:p>
        </w:tc>
      </w:tr>
      <w:tr>
        <w:tc>
          <w:tcPr>
            <w:tcW w:type="dxa" w:w="4320"/>
          </w:tcPr>
          <w:p>
            <w:r>
              <w:t>CPBP</w:t>
            </w:r>
          </w:p>
        </w:tc>
        <w:tc>
          <w:tcPr>
            <w:tcW w:type="dxa" w:w="4320"/>
          </w:tcPr>
          <w:p>
            <w:r>
              <w:t>Clients, Products and Business Practices</w:t>
            </w:r>
          </w:p>
        </w:tc>
      </w:tr>
      <w:tr>
        <w:tc>
          <w:tcPr>
            <w:tcW w:type="dxa" w:w="4320"/>
          </w:tcPr>
          <w:p>
            <w:r>
              <w:t>EDPM</w:t>
            </w:r>
          </w:p>
        </w:tc>
        <w:tc>
          <w:tcPr>
            <w:tcW w:type="dxa" w:w="4320"/>
          </w:tcPr>
          <w:p>
            <w:r>
              <w:t>Execution, Delivery and Process Management</w:t>
            </w:r>
          </w:p>
        </w:tc>
      </w:tr>
      <w:tr>
        <w:tc>
          <w:tcPr>
            <w:tcW w:type="dxa" w:w="4320"/>
          </w:tcPr>
          <w:p>
            <w:r>
              <w:t>BIA</w:t>
            </w:r>
          </w:p>
        </w:tc>
        <w:tc>
          <w:tcPr>
            <w:tcW w:type="dxa" w:w="4320"/>
          </w:tcPr>
          <w:p>
            <w:r>
              <w:t>Basic Indicator Approach (replaced by SMA)</w:t>
            </w:r>
          </w:p>
        </w:tc>
      </w:tr>
      <w:tr>
        <w:tc>
          <w:tcPr>
            <w:tcW w:type="dxa" w:w="4320"/>
          </w:tcPr>
          <w:p>
            <w:r>
              <w:t>TSA</w:t>
            </w:r>
          </w:p>
        </w:tc>
        <w:tc>
          <w:tcPr>
            <w:tcW w:type="dxa" w:w="4320"/>
          </w:tcPr>
          <w:p>
            <w:r>
              <w:t>Traditional Standardised Approach (replaced by SMA)</w:t>
            </w:r>
          </w:p>
        </w:tc>
      </w:tr>
    </w:tbl>
    <w:p>
      <w:pPr>
        <w:pStyle w:val="Heading2"/>
        <w:jc w:val="left"/>
      </w:pPr>
      <w:r>
        <w:t>Appendix A — BIC Calculation: Mid-Tier Bank</w:t>
      </w:r>
    </w:p>
    <w:p>
      <w:pPr>
        <w:pStyle w:val="Heading3"/>
        <w:jc w:val="left"/>
      </w:pPr>
      <w:r>
        <w:t>Income Statement Data (EUR millions, 3-year average)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 (EUR M)</w:t>
            </w:r>
          </w:p>
        </w:tc>
      </w:tr>
      <w:tr>
        <w:tc>
          <w:tcPr>
            <w:tcW w:type="dxa" w:w="4320"/>
          </w:tcPr>
          <w:p>
            <w:r>
              <w:t>Net Interest Income</w:t>
            </w:r>
          </w:p>
        </w:tc>
        <w:tc>
          <w:tcPr>
            <w:tcW w:type="dxa" w:w="4320"/>
          </w:tcPr>
          <w:p>
            <w:r>
              <w:t>2,800</w:t>
            </w:r>
          </w:p>
        </w:tc>
      </w:tr>
      <w:tr>
        <w:tc>
          <w:tcPr>
            <w:tcW w:type="dxa" w:w="4320"/>
          </w:tcPr>
          <w:p>
            <w:r>
              <w:t>Net Lease Income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Dividend Income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Fee Income</w:t>
            </w:r>
          </w:p>
        </w:tc>
        <w:tc>
          <w:tcPr>
            <w:tcW w:type="dxa" w:w="4320"/>
          </w:tcPr>
          <w:p>
            <w:r>
              <w:t>1,200</w:t>
            </w:r>
          </w:p>
        </w:tc>
      </w:tr>
      <w:tr>
        <w:tc>
          <w:tcPr>
            <w:tcW w:type="dxa" w:w="4320"/>
          </w:tcPr>
          <w:p>
            <w:r>
              <w:t>Fee Expense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Other Operating Income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Other Operating Expense</w:t>
            </w:r>
          </w:p>
        </w:tc>
        <w:tc>
          <w:tcPr>
            <w:tcW w:type="dxa" w:w="4320"/>
          </w:tcPr>
          <w:p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Net Trading P&amp;L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Net Banking Book P&amp;L</w:t>
            </w:r>
          </w:p>
        </w:tc>
        <w:tc>
          <w:tcPr>
            <w:tcW w:type="dxa" w:w="4320"/>
          </w:tcPr>
          <w:p>
            <w:r>
              <w:t>-100 (loss)</w:t>
            </w:r>
          </w:p>
        </w:tc>
      </w:tr>
    </w:tbl>
    <w:p>
      <w:pPr>
        <w:pStyle w:val="Heading3"/>
        <w:jc w:val="left"/>
      </w:pPr>
      <w:r>
        <w:t>Step 1: BI Subcomponents</w:t>
      </w:r>
    </w:p>
    <w:p>
      <w:r>
        <w:t>ILDC = 2,800 + 150 + 80 = EUR 3,030M</w:t>
      </w:r>
    </w:p>
    <w:p>
      <w:r>
        <w:t>SC   = max(1,200, 400) + max(300, 350)</w:t>
      </w:r>
    </w:p>
    <w:p>
      <w:r>
        <w:t>= 1,200 + 350</w:t>
      </w:r>
    </w:p>
    <w:p>
      <w:r>
        <w:t>= EUR 1,550M</w:t>
      </w:r>
    </w:p>
    <w:p>
      <w:r>
        <w:t>FC   = |500| + |-100|</w:t>
      </w:r>
    </w:p>
    <w:p>
      <w:r>
        <w:t>= 500 + 100</w:t>
      </w:r>
    </w:p>
    <w:p>
      <w:r>
        <w:t>= EUR 600M</w:t>
      </w:r>
    </w:p>
    <w:p>
      <w:pPr>
        <w:pStyle w:val="Heading3"/>
        <w:jc w:val="left"/>
      </w:pPr>
      <w:r>
        <w:t>Step 2: Business Indicator</w:t>
      </w:r>
    </w:p>
    <w:p>
      <w:r>
        <w:t>BI = ILDC + SC + FC</w:t>
      </w:r>
    </w:p>
    <w:p>
      <w:r>
        <w:t>= 3,030 + 1,550 + 600</w:t>
      </w:r>
    </w:p>
    <w:p>
      <w:r>
        <w:t>= EUR 5,180M</w:t>
      </w:r>
    </w:p>
    <w:p>
      <w:pPr>
        <w:pStyle w:val="Heading3"/>
        <w:jc w:val="left"/>
      </w:pPr>
      <w:r>
        <w:t>Step 3: BIC (Bucket 2 — EUR 1-30bn)</w:t>
      </w:r>
    </w:p>
    <w:p>
      <w:r>
        <w:t>BIC = 120 + (5,180 - 1,000) x 15%</w:t>
      </w:r>
    </w:p>
    <w:p>
      <w:r>
        <w:t>= 120 + 4,180 x 0.15</w:t>
      </w:r>
    </w:p>
    <w:p>
      <w:r>
        <w:t>= 120 + 627</w:t>
      </w:r>
    </w:p>
    <w:p>
      <w:r>
        <w:t>= EUR 747M</w:t>
      </w:r>
    </w:p>
    <w:p>
      <w:pPr>
        <w:pStyle w:val="Heading2"/>
        <w:jc w:val="left"/>
      </w:pPr>
      <w:r>
        <w:t>Appendix B — ILM Calculation</w:t>
      </w:r>
    </w:p>
    <w:p>
      <w:pPr>
        <w:pStyle w:val="Heading3"/>
        <w:jc w:val="left"/>
      </w:pPr>
      <w:r>
        <w:t>10-Year Loss History (EUR M per year)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Year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Net Loss</w:t>
            </w:r>
          </w:p>
        </w:tc>
      </w:tr>
      <w:tr>
        <w:tc>
          <w:tcPr>
            <w:tcW w:type="dxa" w:w="4320"/>
          </w:tcPr>
          <w:p>
            <w:r>
              <w:t>Y-10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Y-9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Y-8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Y-7</w:t>
            </w:r>
          </w:p>
        </w:tc>
        <w:tc>
          <w:tcPr>
            <w:tcW w:type="dxa" w:w="4320"/>
          </w:tcPr>
          <w:p>
            <w:r>
              <w:t>310 (large CPBP settlement)</w:t>
            </w:r>
          </w:p>
        </w:tc>
      </w:tr>
      <w:tr>
        <w:tc>
          <w:tcPr>
            <w:tcW w:type="dxa" w:w="4320"/>
          </w:tcPr>
          <w:p>
            <w:r>
              <w:t>Y-6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Y-5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Y-4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Y-3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Y-2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Y-1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</w:tbl>
    <w:p>
      <w:r>
        <w:t>Average Annual Loss = (85+120+45+310+90+65+180+55+100+75) / 10</w:t>
      </w:r>
    </w:p>
    <w:p>
      <w:r>
        <w:t>= 1,125 / 10</w:t>
      </w:r>
    </w:p>
    <w:p>
      <w:r>
        <w:t>= EUR 112.5M</w:t>
      </w:r>
    </w:p>
    <w:p>
      <w:r>
        <w:t>Loss_Component = 15 x 112.5 = EUR 1,687.5M</w:t>
      </w:r>
    </w:p>
    <w:p>
      <w:pPr>
        <w:pStyle w:val="Heading3"/>
        <w:jc w:val="left"/>
      </w:pPr>
      <w:r>
        <w:t>ILM Computation (BIC = EUR 747M from Appendix A)</w:t>
      </w:r>
    </w:p>
    <w:p>
      <w:r>
        <w:t>Ratio = 1,687.5 / 747 = 2.259</w:t>
      </w:r>
    </w:p>
    <w:p>
      <w:r>
        <w:t>ILM = ln(e - 1 + 2.259^0.8)</w:t>
      </w:r>
    </w:p>
    <w:p>
      <w:r>
        <w:t>= ln(2.71828 - 1 + 2.0146)</w:t>
      </w:r>
    </w:p>
    <w:p>
      <w:r>
        <w:t>= ln(3.7329)</w:t>
      </w:r>
    </w:p>
    <w:p>
      <w:r>
        <w:t>= 1.317</w:t>
      </w:r>
    </w:p>
    <w:p>
      <w:r>
        <w:t>ILM = 1.317 means a 31.7% capital surcharge vs. industry average.</w:t>
      </w:r>
    </w:p>
    <w:p>
      <w:r>
        <w:t>The Year Y-7 CPBP event (EUR 310M) is the dominant driver. As this event ages out of the</w:t>
      </w:r>
    </w:p>
    <w:p>
      <w:r>
        <w:t>10-year window, the average will fall and ILM will reduce toward 1.0.</w:t>
      </w:r>
    </w:p>
    <w:p>
      <w:pPr>
        <w:pStyle w:val="Heading2"/>
        <w:jc w:val="left"/>
      </w:pPr>
      <w:r>
        <w:t>Appendix C — Full SMA Capital Computation</w:t>
      </w:r>
    </w:p>
    <w:p>
      <w:r>
        <w:t>Continuing from Appendices A and B:</w:t>
      </w:r>
    </w:p>
    <w:p>
      <w:r>
        <w:t>BIC     = EUR 747M</w:t>
      </w:r>
    </w:p>
    <w:p>
      <w:r>
        <w:t>ILM     = 1.317</w:t>
      </w:r>
    </w:p>
    <w:p>
      <w:r>
        <w:t>Capital = BIC x ILM = 747 x 1.317 = EUR 983.8M</w:t>
      </w:r>
    </w:p>
    <w:p>
      <w:r>
        <w:t>RWA     = Capital x 12.5 = 983.8 x 12.5 = EUR 12,297M (approx EUR 12.3bn)</w:t>
      </w:r>
    </w:p>
    <w:p>
      <w:r>
        <w:t>As a percentage of BI: 983.8 / 5,180 = 19.0%</w:t>
      </w:r>
    </w:p>
    <w:p>
      <w:r>
        <w:t>(Above the 15% Bucket 2 base rate due to the ILM surcharge.)</w:t>
      </w:r>
    </w:p>
    <w:p>
      <w:r>
        <w:rPr>
          <w:b/>
        </w:rPr>
        <w:t>Management takeaway:</w:t>
      </w:r>
      <w:r>
        <w:t xml:space="preserve"> Reducing CPBP risk exposure through improved controls and product</w:t>
      </w:r>
    </w:p>
    <w:p>
      <w:r>
        <w:t>governance is the highest-value operational risk lever for this bank. As Y-7 rolls off the</w:t>
      </w:r>
    </w:p>
    <w:p>
      <w:r>
        <w:t>10-year window in 3 years, ILM will mechanically decline — but only if no comparable event</w:t>
      </w:r>
    </w:p>
    <w:p>
      <w:r>
        <w:t>occurs in the interim.</w:t>
      </w:r>
    </w:p>
    <w:p>
      <w:pPr>
        <w:pStyle w:val="Heading2"/>
        <w:jc w:val="left"/>
      </w:pPr>
      <w:r>
        <w:t>Appendix D — Loss Event Classification Examples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Business Line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Employee submits false expense claims EUR 200k</w:t>
            </w:r>
          </w:p>
        </w:tc>
        <w:tc>
          <w:tcPr>
            <w:tcW w:type="dxa" w:w="2160"/>
          </w:tcPr>
          <w:p>
            <w:r>
              <w:t>INTERNAL_FRAUD</w:t>
            </w:r>
          </w:p>
        </w:tc>
        <w:tc>
          <w:tcPr>
            <w:tcW w:type="dxa" w:w="2160"/>
          </w:tcPr>
          <w:p>
            <w:r>
              <w:t>CORPORATE_FINANCE</w:t>
            </w:r>
          </w:p>
        </w:tc>
        <w:tc>
          <w:tcPr>
            <w:tcW w:type="dxa" w:w="2160"/>
          </w:tcPr>
          <w:p>
            <w:r>
              <w:t>Must be captured; below EUR 1M but above threshold</w:t>
            </w:r>
          </w:p>
        </w:tc>
      </w:tr>
      <w:tr>
        <w:tc>
          <w:tcPr>
            <w:tcW w:type="dxa" w:w="2160"/>
          </w:tcPr>
          <w:p>
            <w:r>
              <w:t>Customer account hacked; EUR 50k stolen</w:t>
            </w:r>
          </w:p>
        </w:tc>
        <w:tc>
          <w:tcPr>
            <w:tcW w:type="dxa" w:w="2160"/>
          </w:tcPr>
          <w:p>
            <w:r>
              <w:t>EXTERNAL_FRAUD</w:t>
            </w:r>
          </w:p>
        </w:tc>
        <w:tc>
          <w:tcPr>
            <w:tcW w:type="dxa" w:w="2160"/>
          </w:tcPr>
          <w:p>
            <w:r>
              <w:t>RETAIL_BANKING</w:t>
            </w:r>
          </w:p>
        </w:tc>
        <w:tc>
          <w:tcPr>
            <w:tcW w:type="dxa" w:w="2160"/>
          </w:tcPr>
          <w:p>
            <w:r>
              <w:t>Insurance recovery reduces net loss</w:t>
            </w:r>
          </w:p>
        </w:tc>
      </w:tr>
      <w:tr>
        <w:tc>
          <w:tcPr>
            <w:tcW w:type="dxa" w:w="2160"/>
          </w:tcPr>
          <w:p>
            <w:r>
              <w:t>Mis-sold structured products; EUR 500M settlement</w:t>
            </w:r>
          </w:p>
        </w:tc>
        <w:tc>
          <w:tcPr>
            <w:tcW w:type="dxa" w:w="2160"/>
          </w:tcPr>
          <w:p>
            <w:r>
              <w:t>CPBP</w:t>
            </w:r>
          </w:p>
        </w:tc>
        <w:tc>
          <w:tcPr>
            <w:tcW w:type="dxa" w:w="2160"/>
          </w:tcPr>
          <w:p>
            <w:r>
              <w:t>RETAIL_BANKING</w:t>
            </w:r>
          </w:p>
        </w:tc>
        <w:tc>
          <w:tcPr>
            <w:tcW w:type="dxa" w:w="2160"/>
          </w:tcPr>
          <w:p>
            <w:r>
              <w:t>Largest event type by loss; often discovered years later</w:t>
            </w:r>
          </w:p>
        </w:tc>
      </w:tr>
      <w:tr>
        <w:tc>
          <w:tcPr>
            <w:tcW w:type="dxa" w:w="2160"/>
          </w:tcPr>
          <w:p>
            <w:r>
              <w:t>IT failure causes 4-hour trading outage; EUR 15M</w:t>
            </w:r>
          </w:p>
        </w:tc>
        <w:tc>
          <w:tcPr>
            <w:tcW w:type="dxa" w:w="2160"/>
          </w:tcPr>
          <w:p>
            <w:r>
              <w:t>BDSF</w:t>
            </w:r>
          </w:p>
        </w:tc>
        <w:tc>
          <w:tcPr>
            <w:tcW w:type="dxa" w:w="2160"/>
          </w:tcPr>
          <w:p>
            <w:r>
              <w:t>TRADING_SALES</w:t>
            </w:r>
          </w:p>
        </w:tc>
        <w:tc>
          <w:tcPr>
            <w:tcW w:type="dxa" w:w="2160"/>
          </w:tcPr>
          <w:p>
            <w:r>
              <w:t>System resilience failure</w:t>
            </w:r>
          </w:p>
        </w:tc>
      </w:tr>
      <w:tr>
        <w:tc>
          <w:tcPr>
            <w:tcW w:type="dxa" w:w="2160"/>
          </w:tcPr>
          <w:p>
            <w:r>
              <w:t>Derivatives settlement error; EUR 2M late fee</w:t>
            </w:r>
          </w:p>
        </w:tc>
        <w:tc>
          <w:tcPr>
            <w:tcW w:type="dxa" w:w="2160"/>
          </w:tcPr>
          <w:p>
            <w:r>
              <w:t>EDPM</w:t>
            </w:r>
          </w:p>
        </w:tc>
        <w:tc>
          <w:tcPr>
            <w:tcW w:type="dxa" w:w="2160"/>
          </w:tcPr>
          <w:p>
            <w:r>
              <w:t>PAYMENT_SETTLEMENT</w:t>
            </w:r>
          </w:p>
        </w:tc>
        <w:tc>
          <w:tcPr>
            <w:tcW w:type="dxa" w:w="2160"/>
          </w:tcPr>
          <w:p>
            <w:r>
              <w:t>Process control failure</w:t>
            </w:r>
          </w:p>
        </w:tc>
      </w:tr>
      <w:tr>
        <w:tc>
          <w:tcPr>
            <w:tcW w:type="dxa" w:w="2160"/>
          </w:tcPr>
          <w:p>
            <w:r>
              <w:t>Office destroyed in flood; EUR 5M reconstruction</w:t>
            </w:r>
          </w:p>
        </w:tc>
        <w:tc>
          <w:tcPr>
            <w:tcW w:type="dxa" w:w="2160"/>
          </w:tcPr>
          <w:p>
            <w:r>
              <w:t>DPA</w:t>
            </w:r>
          </w:p>
        </w:tc>
        <w:tc>
          <w:tcPr>
            <w:tcW w:type="dxa" w:w="2160"/>
          </w:tcPr>
          <w:p>
            <w:r>
              <w:t>All lines</w:t>
            </w:r>
          </w:p>
        </w:tc>
        <w:tc>
          <w:tcPr>
            <w:tcW w:type="dxa" w:w="2160"/>
          </w:tcPr>
          <w:p>
            <w:r>
              <w:t>Property loss + business interruption</w:t>
            </w:r>
          </w:p>
        </w:tc>
      </w:tr>
    </w:tbl>
    <w:p>
      <w:pPr>
        <w:pStyle w:val="Heading3"/>
        <w:jc w:val="left"/>
      </w:pPr>
      <w:r>
        <w:t>Historical Context: Why CPBP Dominates</w:t>
      </w:r>
    </w:p>
    <w:p>
      <w:r>
        <w:t>Industry data consistently shows CPBP (Clients, Products &amp; Business Practices) generates the</w:t>
      </w:r>
    </w:p>
    <w:p>
      <w:r>
        <w:t>largest losses by severity, even though EDPM generates more frequent (but smaller) events: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 per Event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% of Total Industry Losses</w:t>
            </w:r>
          </w:p>
        </w:tc>
      </w:tr>
      <w:tr>
        <w:tc>
          <w:tcPr>
            <w:tcW w:type="dxa" w:w="2160"/>
          </w:tcPr>
          <w:p>
            <w:r>
              <w:t>CPBP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~40-50%</w:t>
            </w:r>
          </w:p>
        </w:tc>
      </w:tr>
      <w:tr>
        <w:tc>
          <w:tcPr>
            <w:tcW w:type="dxa" w:w="2160"/>
          </w:tcPr>
          <w:p>
            <w:r>
              <w:t>EDPM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~20-25%</w:t>
            </w:r>
          </w:p>
        </w:tc>
      </w:tr>
      <w:tr>
        <w:tc>
          <w:tcPr>
            <w:tcW w:type="dxa" w:w="2160"/>
          </w:tcPr>
          <w:p>
            <w:r>
              <w:t>EXTERNAL_FRAUD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~15-20%</w:t>
            </w:r>
          </w:p>
        </w:tc>
      </w:tr>
      <w:tr>
        <w:tc>
          <w:tcPr>
            <w:tcW w:type="dxa" w:w="2160"/>
          </w:tcPr>
          <w:p>
            <w:r>
              <w:t>INTERNAL_FRAUD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 (tail)</w:t>
            </w:r>
          </w:p>
        </w:tc>
        <w:tc>
          <w:tcPr>
            <w:tcW w:type="dxa" w:w="2160"/>
          </w:tcPr>
          <w:p>
            <w:r>
              <w:t>~10-15%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~5-10%</w:t>
            </w:r>
          </w:p>
        </w:tc>
      </w:tr>
    </w:tbl>
    <w:p>
      <w:r>
        <w:t>Banks with large retail or wealth management businesses should prioritise CPBP controls and</w:t>
      </w:r>
    </w:p>
    <w:p>
      <w:r>
        <w:t>conduct risk monitoring as the primary operational risk management lever.</w:t>
      </w:r>
    </w:p>
    <w:p/>
    <w:p>
      <w:pPr>
        <w:ind w:left="720"/>
      </w:pPr>
      <w:r>
        <w:rPr>
          <w:i/>
        </w:rPr>
        <w:t>Source: OPERATIONAL_RISK_TECHNICAL_GUIDE.md</w:t>
        <w:br/>
      </w:r>
      <w:r>
        <w:rPr>
          <w:i/>
        </w:rPr>
        <w:t>Generated: 2026-05-03 18:06:22</w:t>
        <w:br/>
      </w:r>
      <w:r>
        <w:rPr>
          <w:i/>
        </w:rPr>
        <w:t>Prometheus Phase 2A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