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Prometheus Requirements Documentation</w:t>
      </w:r>
    </w:p>
    <w:p>
      <w:pPr>
        <w:pStyle w:val="Heading1"/>
        <w:jc w:val="left"/>
      </w:pPr>
      <w:r>
        <w:t>PROMETHEUS RISK PLATFORM</w:t>
      </w:r>
    </w:p>
    <w:p>
      <w:pPr>
        <w:pStyle w:val="Heading2"/>
        <w:jc w:val="left"/>
      </w:pPr>
      <w:r>
        <w:t>Functional Specification Document (FSD)</w:t>
      </w:r>
    </w:p>
    <w:p>
      <w:r>
        <w:rPr>
          <w:b/>
        </w:rPr>
        <w:t>Document Reference:</w:t>
      </w:r>
      <w:r>
        <w:t xml:space="preserve"> PROMETHEUS-FSD-v1.0</w:t>
      </w:r>
    </w:p>
    <w:p>
      <w:r>
        <w:rPr>
          <w:b/>
        </w:rPr>
        <w:t>Document Version:</w:t>
      </w:r>
      <w:r>
        <w:t xml:space="preserve"> 1.0</w:t>
      </w:r>
    </w:p>
    <w:p>
      <w:r>
        <w:rPr>
          <w:b/>
        </w:rPr>
        <w:t>Date:</w:t>
      </w:r>
      <w:r>
        <w:t xml:space="preserve"> April 5, 2026</w:t>
      </w:r>
    </w:p>
    <w:p>
      <w:r>
        <w:rPr>
          <w:b/>
        </w:rPr>
        <w:t>Classification:</w:t>
      </w:r>
      <w:r>
        <w:t xml:space="preserve"> Internal Use — Confidential</w:t>
      </w:r>
    </w:p>
    <w:p>
      <w:r>
        <w:rPr>
          <w:b/>
        </w:rPr>
        <w:t>Status:</w:t>
      </w:r>
      <w:r>
        <w:t xml:space="preserve"> Final</w:t>
      </w:r>
    </w:p>
    <w:p>
      <w:r>
        <w:rPr>
          <w:b/>
        </w:rPr>
        <w:t>Prepared By:</w:t>
      </w:r>
      <w:r>
        <w:t xml:space="preserve"> Risk Technology — Lead Developer</w:t>
      </w:r>
    </w:p>
    <w:p>
      <w:r>
        <w:rPr>
          <w:b/>
        </w:rPr>
        <w:t>Reviewed By:</w:t>
      </w:r>
      <w:r>
        <w:t xml:space="preserve"> Head of Market Risk | Head of Credit Risk | Regulatory Affairs</w:t>
      </w:r>
    </w:p>
    <w:p>
      <w:pPr>
        <w:pStyle w:val="Heading2"/>
        <w:jc w:val="left"/>
      </w:pPr>
      <w:r>
        <w:t>DOCUMENT CONTROL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Author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 of Change</w:t>
            </w:r>
          </w:p>
        </w:tc>
      </w:tr>
      <w:tr>
        <w:tc>
          <w:tcPr>
            <w:tcW w:type="dxa" w:w="2160"/>
          </w:tcPr>
          <w:p>
            <w:r>
              <w:t>0.1</w:t>
            </w:r>
          </w:p>
        </w:tc>
        <w:tc>
          <w:tcPr>
            <w:tcW w:type="dxa" w:w="2160"/>
          </w:tcPr>
          <w:p>
            <w:r>
              <w:t>November 2024</w:t>
            </w:r>
          </w:p>
        </w:tc>
        <w:tc>
          <w:tcPr>
            <w:tcW w:type="dxa" w:w="2160"/>
          </w:tcPr>
          <w:p>
            <w:r>
              <w:t>Lead Developer</w:t>
            </w:r>
          </w:p>
        </w:tc>
        <w:tc>
          <w:tcPr>
            <w:tcW w:type="dxa" w:w="2160"/>
          </w:tcPr>
          <w:p>
            <w:r>
              <w:t>Initial draft — core engine sections</w:t>
            </w:r>
          </w:p>
        </w:tc>
      </w:tr>
      <w:tr>
        <w:tc>
          <w:tcPr>
            <w:tcW w:type="dxa" w:w="2160"/>
          </w:tcPr>
          <w:p>
            <w:r>
              <w:t>0.5</w:t>
            </w:r>
          </w:p>
        </w:tc>
        <w:tc>
          <w:tcPr>
            <w:tcW w:type="dxa" w:w="2160"/>
          </w:tcPr>
          <w:p>
            <w:r>
              <w:t>December 2024</w:t>
            </w:r>
          </w:p>
        </w:tc>
        <w:tc>
          <w:tcPr>
            <w:tcW w:type="dxa" w:w="2160"/>
          </w:tcPr>
          <w:p>
            <w:r>
              <w:t>Lead Developer</w:t>
            </w:r>
          </w:p>
        </w:tc>
        <w:tc>
          <w:tcPr>
            <w:tcW w:type="dxa" w:w="2160"/>
          </w:tcPr>
          <w:p>
            <w:r>
              <w:t>Completed FR sections, architecture</w:t>
            </w:r>
          </w:p>
        </w:tc>
      </w:tr>
      <w:tr>
        <w:tc>
          <w:tcPr>
            <w:tcW w:type="dxa" w:w="2160"/>
          </w:tcPr>
          <w:p>
            <w:r>
              <w:t>0.9</w:t>
            </w:r>
          </w:p>
        </w:tc>
        <w:tc>
          <w:tcPr>
            <w:tcW w:type="dxa" w:w="2160"/>
          </w:tcPr>
          <w:p>
            <w:r>
              <w:t>January 2025</w:t>
            </w:r>
          </w:p>
        </w:tc>
        <w:tc>
          <w:tcPr>
            <w:tcW w:type="dxa" w:w="2160"/>
          </w:tcPr>
          <w:p>
            <w:r>
              <w:t>Lead Developer</w:t>
            </w:r>
          </w:p>
        </w:tc>
        <w:tc>
          <w:tcPr>
            <w:tcW w:type="dxa" w:w="2160"/>
          </w:tcPr>
          <w:p>
            <w:r>
              <w:t>Review draft — submitted to stakeholders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April 5, 2026</w:t>
            </w:r>
          </w:p>
        </w:tc>
        <w:tc>
          <w:tcPr>
            <w:tcW w:type="dxa" w:w="2160"/>
          </w:tcPr>
          <w:p>
            <w:r>
              <w:t>Lead Developer</w:t>
            </w:r>
          </w:p>
        </w:tc>
        <w:tc>
          <w:tcPr>
            <w:tcW w:type="dxa" w:w="2160"/>
          </w:tcPr>
          <w:p>
            <w:r>
              <w:t>Final release</w:t>
            </w:r>
          </w:p>
        </w:tc>
      </w:tr>
      <w:tr>
        <w:tc>
          <w:tcPr>
            <w:tcW w:type="dxa" w:w="2160"/>
          </w:tcPr>
          <w:p>
            <w:r>
              <w:t>1.1</w:t>
            </w:r>
          </w:p>
        </w:tc>
        <w:tc>
          <w:tcPr>
            <w:tcW w:type="dxa" w:w="2160"/>
          </w:tcPr>
          <w:p>
            <w:r>
              <w:t>April 27, 2026</w:t>
            </w:r>
          </w:p>
        </w:tc>
        <w:tc>
          <w:tcPr>
            <w:tcW w:type="dxa" w:w="2160"/>
          </w:tcPr>
          <w:p>
            <w:r>
              <w:t>Lead Developer</w:t>
            </w:r>
          </w:p>
        </w:tc>
        <w:tc>
          <w:tcPr>
            <w:tcW w:type="dxa" w:w="2160"/>
          </w:tcPr>
          <w:p>
            <w:r>
              <w:t>Version 3.8 — Seven Basel III/IV regulatory rigour fixes + GFC stressed vol calibration</w:t>
            </w:r>
          </w:p>
        </w:tc>
      </w:tr>
      <w:tr>
        <w:tc>
          <w:tcPr>
            <w:tcW w:type="dxa" w:w="2160"/>
          </w:tcPr>
          <w:p>
            <w:r>
              <w:t>1.2</w:t>
            </w:r>
          </w:p>
        </w:tc>
        <w:tc>
          <w:tcPr>
            <w:tcW w:type="dxa" w:w="2160"/>
          </w:tcPr>
          <w:p>
            <w:r>
              <w:t>April 27, 2026</w:t>
            </w:r>
          </w:p>
        </w:tc>
        <w:tc>
          <w:tcPr>
            <w:tcW w:type="dxa" w:w="2160"/>
          </w:tcPr>
          <w:p>
            <w:r>
              <w:t>Lead Developer</w:t>
            </w:r>
          </w:p>
        </w:tc>
        <w:tc>
          <w:tcPr>
            <w:tcW w:type="dxa" w:w="2160"/>
          </w:tcPr>
          <w:p>
            <w:r>
              <w:t>Version 3.9 — CRE53 §margined EEPE: full path-level CSA collateral simulation</w:t>
            </w:r>
          </w:p>
        </w:tc>
      </w:tr>
    </w:tbl>
    <w:p>
      <w:r>
        <w:rPr>
          <w:b/>
        </w:rPr>
        <w:t>Distribution List:</w:t>
      </w:r>
    </w:p>
    <w:p>
      <w:r>
        <w:t>Chief Risk Officer · Head of Market Risk · Head of Credit Risk · Head of Treasury · Regulatory Affairs · IT Infrastructure · External Auditors (upon request)</w:t>
      </w:r>
    </w:p>
    <w:p>
      <w:r>
        <w:rPr>
          <w:b/>
        </w:rPr>
        <w:t>Review Cycle:</w:t>
      </w:r>
      <w:r>
        <w:t xml:space="preserve"> Quarterly or upon material regulatory update (BCBS standards revision, supervisory guidance)</w:t>
      </w:r>
    </w:p>
    <w:p>
      <w:pPr>
        <w:pStyle w:val="Heading1"/>
        <w:jc w:val="left"/>
      </w:pPr>
      <w:r>
        <w:t>TABLE OF CONTENTS</w:t>
      </w:r>
    </w:p>
    <w:p>
      <w:pPr>
        <w:pStyle w:val="ListNumber"/>
      </w:pPr>
      <w:r>
        <w:t>[Table of Contents](#table-of-contents)</w:t>
      </w:r>
    </w:p>
    <w:p>
      <w:pPr>
        <w:pStyle w:val="ListNumber"/>
      </w:pPr>
      <w:r>
        <w:t>[Project Description](#2-project-description)</w:t>
      </w:r>
    </w:p>
    <w:p>
      <w:pPr>
        <w:pStyle w:val="ListNumber"/>
      </w:pPr>
      <w:r>
        <w:t>[Project Objective](#3-project-objective)</w:t>
      </w:r>
    </w:p>
    <w:p>
      <w:pPr>
        <w:pStyle w:val="ListNumber"/>
      </w:pPr>
      <w:r>
        <w:t>[Components Impacted](#4-components-impacted)</w:t>
      </w:r>
    </w:p>
    <w:p>
      <w:pPr>
        <w:pStyle w:val="ListNumber"/>
      </w:pPr>
      <w:r>
        <w:t>[Upstream Dependencies](#5-upstream-dependencies)</w:t>
      </w:r>
    </w:p>
    <w:p>
      <w:pPr>
        <w:pStyle w:val="ListNumber"/>
      </w:pPr>
      <w:r>
        <w:t>[Downstream Dependencies](#6-downstream-dependencies)</w:t>
      </w:r>
    </w:p>
    <w:p>
      <w:pPr>
        <w:pStyle w:val="ListNumber"/>
      </w:pPr>
      <w:r>
        <w:t>[Business Requirements](#7-business-requirements)</w:t>
      </w:r>
    </w:p>
    <w:p>
      <w:pPr>
        <w:pStyle w:val="ListNumber"/>
      </w:pPr>
      <w:r>
        <w:t>[Functional Requirements](#8-functional-requirements)</w:t>
      </w:r>
    </w:p>
    <w:p>
      <w:pPr>
        <w:pStyle w:val="ListBullet"/>
      </w:pPr>
      <w:r>
        <w:t>[FR-001: SA-CCR Calculation Engine (CRE52)](#fr-001-sa-ccr-calculation-engine--standardised-approach-for-counterparty-credit-risk)</w:t>
      </w:r>
    </w:p>
    <w:p>
      <w:pPr>
        <w:pStyle w:val="ListBullet"/>
      </w:pPr>
      <w:r>
        <w:t>[FR-002: IMM Monte Carlo Engine (CRE53)](#fr-002-imm-monte-carlo-engine--internal-models-method)</w:t>
      </w:r>
    </w:p>
    <w:p>
      <w:pPr>
        <w:pStyle w:val="ListBullet"/>
      </w:pPr>
      <w:r>
        <w:t>[FR-003: A-IRB Credit Risk Engine (CRE30–36)](#fr-003-a-irb-credit-risk-engine--advanced-internal-ratings-based-approach)</w:t>
      </w:r>
    </w:p>
    <w:p>
      <w:pPr>
        <w:pStyle w:val="ListBullet"/>
      </w:pPr>
      <w:r>
        <w:t>[FR-004: FRTB Market Risk Engine (MAR21–33)](#fr-004-frtb-market-risk-engine--fundamental-review-of-the-trading-book)</w:t>
      </w:r>
    </w:p>
    <w:p>
      <w:pPr>
        <w:pStyle w:val="ListBullet"/>
      </w:pPr>
      <w:r>
        <w:t>[FR-005: CVA Risk Engine (MAR50)](#fr-005-cva-risk-engine--credit-valuation-adjustment)</w:t>
      </w:r>
    </w:p>
    <w:p>
      <w:pPr>
        <w:pStyle w:val="ListBullet"/>
      </w:pPr>
      <w:r>
        <w:t>[FR-006: CCP Exposure Engine (CRE54)](#fr-006-ccp-exposure-engine--central-counterparty-capital)</w:t>
      </w:r>
    </w:p>
    <w:p>
      <w:pPr>
        <w:pStyle w:val="ListBullet"/>
      </w:pPr>
      <w:r>
        <w:t>[FR-007: Daily Risk Orchestrator (RBC20)](#fr-007-daily-risk-orchestrator--five-part-rwa-formula)</w:t>
      </w:r>
    </w:p>
    <w:p>
      <w:pPr>
        <w:pStyle w:val="ListBullet"/>
      </w:pPr>
      <w:r>
        <w:t>[FR-008: Market Data Integration](#fr-008-market-data-integration)</w:t>
      </w:r>
    </w:p>
    <w:p>
      <w:pPr>
        <w:pStyle w:val="ListBullet"/>
      </w:pPr>
      <w:r>
        <w:t>[FR-009: Backtesting Framework (MAR99)](#fr-009-backtesting-framework--traffic-light-system)</w:t>
      </w:r>
    </w:p>
    <w:p>
      <w:pPr>
        <w:pStyle w:val="ListBullet"/>
      </w:pPr>
      <w:r>
        <w:t>[FR-010: Interactive Dashboard](#fr-010-interactive-dashboard)</w:t>
      </w:r>
    </w:p>
    <w:p>
      <w:pPr>
        <w:pStyle w:val="ListBullet"/>
      </w:pPr>
      <w:r>
        <w:t>[FR-011: Audit Trail &amp; Compliance Reporting](#fr-011-audit-trail--compliance-reporting)</w:t>
      </w:r>
    </w:p>
    <w:p>
      <w:pPr>
        <w:pStyle w:val="ListNumber"/>
      </w:pPr>
      <w:r>
        <w:t>[Business and Functional Workflow](#9-business-and-functional-workflow)</w:t>
      </w:r>
    </w:p>
    <w:p>
      <w:pPr>
        <w:pStyle w:val="ListNumber"/>
      </w:pPr>
      <w:r>
        <w:t>[System Architecture](#10-system-architecture)</w:t>
      </w:r>
    </w:p>
    <w:p>
      <w:pPr>
        <w:pStyle w:val="ListNumber"/>
      </w:pPr>
      <w:r>
        <w:t>[Technical Design](#11-technical-design)</w:t>
      </w:r>
    </w:p>
    <w:p>
      <w:pPr>
        <w:pStyle w:val="ListNumber"/>
      </w:pPr>
      <w:r>
        <w:t>[Appendix](#12-appendix)</w:t>
      </w:r>
    </w:p>
    <w:p>
      <w:pPr>
        <w:pStyle w:val="Heading1"/>
        <w:jc w:val="left"/>
      </w:pPr>
      <w:r>
        <w:t>2. PROJECT DESCRIPTION</w:t>
      </w:r>
    </w:p>
    <w:p>
      <w:pPr>
        <w:pStyle w:val="Heading2"/>
        <w:jc w:val="left"/>
      </w:pPr>
      <w:r>
        <w:t>2.1 Overview</w:t>
      </w:r>
    </w:p>
    <w:p>
      <w:r>
        <w:rPr>
          <w:b/>
        </w:rPr>
        <w:t>PROMETHEUS</w:t>
      </w:r>
      <w:r>
        <w:t xml:space="preserve"> is an institutional-grade, production-ready regulatory capital management platform designed for banks and financial institutions operating under the Basel III/IV framework mandated by the Basel Committee on Banking Supervision (BCBS). The platform provides a fully integrated, end-to-end solution for calculating, validating, reporting, and auditing Risk-Weighted Assets (RWA) across all six regulatory capital components — Credit Risk, Counterparty Credit Risk, Market Risk, CVA Risk, CCP Exposure, and Operational Risk.</w:t>
      </w:r>
    </w:p>
    <w:p>
      <w:r>
        <w:t>The system is implemented entirely in Python 3.11 and is optimised to run on commodity hardware (Apple MacBook Air M1, 8 GB RAM), demonstrating that regulatory-grade computations need not require multi-million-dollar vendor solutions. It is architected to scale to cloud deployment (Azure / AWS) as institutional demand grows.</w:t>
      </w:r>
    </w:p>
    <w:p>
      <w:pPr>
        <w:pStyle w:val="Heading2"/>
        <w:jc w:val="left"/>
      </w:pPr>
      <w:r>
        <w:t>2.2 Platform Name and Significance</w:t>
      </w:r>
    </w:p>
    <w:p>
      <w:r>
        <w:t xml:space="preserve">The name </w:t>
      </w:r>
      <w:r>
        <w:rPr>
          <w:b/>
        </w:rPr>
        <w:t>PROMETHEUS</w:t>
      </w:r>
      <w:r>
        <w:t xml:space="preserve"> is a deliberate reference to the Titan of Greek mythology who brought fire — the instrument of knowledge and power — to humanity. In the context of this platform, PROMETHEUS brings the full illuminating power of Basel III/IV regulatory mathematics to risk teams, replacing opaque vendor black boxes and manual spreadsheets with an open, auditable, and fully documented calculation engine.</w:t>
      </w:r>
    </w:p>
    <w:p>
      <w:pPr>
        <w:pStyle w:val="Heading2"/>
        <w:jc w:val="left"/>
      </w:pPr>
      <w:r>
        <w:t>2.3 Regulatory Basis</w:t>
      </w:r>
    </w:p>
    <w:p>
      <w:r>
        <w:t>PROMETHEUS is built directly from BCBS source standards with no ambiguity or proxy interpretation. Every formula, parameter, floor, and correlation coefficient implemented in the platform can be traced to a specific paragraph of a Basel standard.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Engine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Basel Standard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Scope</w:t>
            </w:r>
          </w:p>
        </w:tc>
      </w:tr>
      <w:tr>
        <w:tc>
          <w:tcPr>
            <w:tcW w:type="dxa" w:w="2880"/>
          </w:tcPr>
          <w:p>
            <w:r>
              <w:t>SA-CCR</w:t>
            </w:r>
          </w:p>
        </w:tc>
        <w:tc>
          <w:tcPr>
            <w:tcW w:type="dxa" w:w="2880"/>
          </w:tcPr>
          <w:p>
            <w:r>
              <w:t>CRE52</w:t>
            </w:r>
          </w:p>
        </w:tc>
        <w:tc>
          <w:tcPr>
            <w:tcW w:type="dxa" w:w="2880"/>
          </w:tcPr>
          <w:p>
            <w:r>
              <w:t>Derivative Exposure at Default — all trades</w:t>
            </w:r>
          </w:p>
        </w:tc>
      </w:tr>
      <w:tr>
        <w:tc>
          <w:tcPr>
            <w:tcW w:type="dxa" w:w="2880"/>
          </w:tcPr>
          <w:p>
            <w:r>
              <w:t>IMM (Monte Carlo)</w:t>
            </w:r>
          </w:p>
        </w:tc>
        <w:tc>
          <w:tcPr>
            <w:tcW w:type="dxa" w:w="2880"/>
          </w:tcPr>
          <w:p>
            <w:r>
              <w:t>CRE53</w:t>
            </w:r>
          </w:p>
        </w:tc>
        <w:tc>
          <w:tcPr>
            <w:tcW w:type="dxa" w:w="2880"/>
          </w:tcPr>
          <w:p>
            <w:r>
              <w:t>Effective EPE for eligible derivative trades</w:t>
            </w:r>
          </w:p>
        </w:tc>
      </w:tr>
      <w:tr>
        <w:tc>
          <w:tcPr>
            <w:tcW w:type="dxa" w:w="2880"/>
          </w:tcPr>
          <w:p>
            <w:r>
              <w:t>A-IRB</w:t>
            </w:r>
          </w:p>
        </w:tc>
        <w:tc>
          <w:tcPr>
            <w:tcW w:type="dxa" w:w="2880"/>
          </w:tcPr>
          <w:p>
            <w:r>
              <w:t>CRE30–36</w:t>
            </w:r>
          </w:p>
        </w:tc>
        <w:tc>
          <w:tcPr>
            <w:tcW w:type="dxa" w:w="2880"/>
          </w:tcPr>
          <w:p>
            <w:r>
              <w:t>Banking Book RWA</w:t>
            </w:r>
          </w:p>
        </w:tc>
      </w:tr>
      <w:tr>
        <w:tc>
          <w:tcPr>
            <w:tcW w:type="dxa" w:w="2880"/>
          </w:tcPr>
          <w:p>
            <w:r>
              <w:t>FRTB SBM + IMA</w:t>
            </w:r>
          </w:p>
        </w:tc>
        <w:tc>
          <w:tcPr>
            <w:tcW w:type="dxa" w:w="2880"/>
          </w:tcPr>
          <w:p>
            <w:r>
              <w:t>MAR20–33</w:t>
            </w:r>
          </w:p>
        </w:tc>
        <w:tc>
          <w:tcPr>
            <w:tcW w:type="dxa" w:w="2880"/>
          </w:tcPr>
          <w:p>
            <w:r>
              <w:t>Market Risk Capital</w:t>
            </w:r>
          </w:p>
        </w:tc>
      </w:tr>
      <w:tr>
        <w:tc>
          <w:tcPr>
            <w:tcW w:type="dxa" w:w="2880"/>
          </w:tcPr>
          <w:p>
            <w:r>
              <w:t>CVA (BA-CVA / SA-CVA)</w:t>
            </w:r>
          </w:p>
        </w:tc>
        <w:tc>
          <w:tcPr>
            <w:tcW w:type="dxa" w:w="2880"/>
          </w:tcPr>
          <w:p>
            <w:r>
              <w:t>MAR50</w:t>
            </w:r>
          </w:p>
        </w:tc>
        <w:tc>
          <w:tcPr>
            <w:tcW w:type="dxa" w:w="2880"/>
          </w:tcPr>
          <w:p>
            <w:r>
              <w:t>CVA Risk RWA</w:t>
            </w:r>
          </w:p>
        </w:tc>
      </w:tr>
      <w:tr>
        <w:tc>
          <w:tcPr>
            <w:tcW w:type="dxa" w:w="2880"/>
          </w:tcPr>
          <w:p>
            <w:r>
              <w:t>CCP</w:t>
            </w:r>
          </w:p>
        </w:tc>
        <w:tc>
          <w:tcPr>
            <w:tcW w:type="dxa" w:w="2880"/>
          </w:tcPr>
          <w:p>
            <w:r>
              <w:t>CRE54</w:t>
            </w:r>
          </w:p>
        </w:tc>
        <w:tc>
          <w:tcPr>
            <w:tcW w:type="dxa" w:w="2880"/>
          </w:tcPr>
          <w:p>
            <w:r>
              <w:t>Cleared derivative exposure</w:t>
            </w:r>
          </w:p>
        </w:tc>
      </w:tr>
      <w:tr>
        <w:tc>
          <w:tcPr>
            <w:tcW w:type="dxa" w:w="2880"/>
          </w:tcPr>
          <w:p>
            <w:r>
              <w:t>Five-Part RWA</w:t>
            </w:r>
          </w:p>
        </w:tc>
        <w:tc>
          <w:tcPr>
            <w:tcW w:type="dxa" w:w="2880"/>
          </w:tcPr>
          <w:p>
            <w:r>
              <w:t>RBC20.9</w:t>
            </w:r>
          </w:p>
        </w:tc>
        <w:tc>
          <w:tcPr>
            <w:tcW w:type="dxa" w:w="2880"/>
          </w:tcPr>
          <w:p>
            <w:r>
              <w:t>Total Capital Aggregation</w:t>
            </w:r>
          </w:p>
        </w:tc>
      </w:tr>
      <w:tr>
        <w:tc>
          <w:tcPr>
            <w:tcW w:type="dxa" w:w="2880"/>
          </w:tcPr>
          <w:p>
            <w:r>
              <w:t>Output Floor</w:t>
            </w:r>
          </w:p>
        </w:tc>
        <w:tc>
          <w:tcPr>
            <w:tcW w:type="dxa" w:w="2880"/>
          </w:tcPr>
          <w:p>
            <w:r>
              <w:t>RBC20.11</w:t>
            </w:r>
          </w:p>
        </w:tc>
        <w:tc>
          <w:tcPr>
            <w:tcW w:type="dxa" w:w="2880"/>
          </w:tcPr>
          <w:p>
            <w:r>
              <w:t>72.5% SA-based floor</w:t>
            </w:r>
          </w:p>
        </w:tc>
      </w:tr>
      <w:tr>
        <w:tc>
          <w:tcPr>
            <w:tcW w:type="dxa" w:w="2880"/>
          </w:tcPr>
          <w:p>
            <w:r>
              <w:t>Operational Risk</w:t>
            </w:r>
          </w:p>
        </w:tc>
        <w:tc>
          <w:tcPr>
            <w:tcW w:type="dxa" w:w="2880"/>
          </w:tcPr>
          <w:p>
            <w:r>
              <w:t>OPE25</w:t>
            </w:r>
          </w:p>
        </w:tc>
        <w:tc>
          <w:tcPr>
            <w:tcW w:type="dxa" w:w="2880"/>
          </w:tcPr>
          <w:p>
            <w:r>
              <w:t>Basic Indicator Approach (stub)</w:t>
            </w:r>
          </w:p>
        </w:tc>
      </w:tr>
      <w:tr>
        <w:tc>
          <w:tcPr>
            <w:tcW w:type="dxa" w:w="2880"/>
          </w:tcPr>
          <w:p>
            <w:r>
              <w:t>Margins</w:t>
            </w:r>
          </w:p>
        </w:tc>
        <w:tc>
          <w:tcPr>
            <w:tcW w:type="dxa" w:w="2880"/>
          </w:tcPr>
          <w:p>
            <w:r>
              <w:t>MGN</w:t>
            </w:r>
          </w:p>
        </w:tc>
        <w:tc>
          <w:tcPr>
            <w:tcW w:type="dxa" w:w="2880"/>
          </w:tcPr>
          <w:p>
            <w:r>
              <w:t>CSA / IM / VM / MTA</w:t>
            </w:r>
          </w:p>
        </w:tc>
      </w:tr>
    </w:tbl>
    <w:p>
      <w:pPr>
        <w:pStyle w:val="Heading2"/>
        <w:jc w:val="left"/>
      </w:pPr>
      <w:r>
        <w:t>2.4 Current State</w:t>
      </w:r>
    </w:p>
    <w:p>
      <w:r>
        <w:t>Sprint A is complete as of January 2025. The platform has achieved:</w:t>
      </w:r>
    </w:p>
    <w:p>
      <w:pPr>
        <w:pStyle w:val="ListBullet"/>
      </w:pPr>
      <w:r>
        <w:t>**100% regulatory engine coverage** across all six capital components</w:t>
      </w:r>
    </w:p>
    <w:p>
      <w:pPr>
        <w:pStyle w:val="ListBullet"/>
      </w:pPr>
      <w:r>
        <w:t>**48/48 validation tests passing** at 100% pass rate</w:t>
      </w:r>
    </w:p>
    <w:p>
      <w:pPr>
        <w:pStyle w:val="ListBullet"/>
      </w:pPr>
      <w:r>
        <w:t>**Zero type errors** under Pylance strict mode</w:t>
      </w:r>
    </w:p>
    <w:p>
      <w:pPr>
        <w:pStyle w:val="ListBullet"/>
      </w:pPr>
      <w:r>
        <w:t>**~2-minute daily risk run** on M1 MacBook Air (vs. &lt;5-minute target)</w:t>
      </w:r>
    </w:p>
    <w:p>
      <w:pPr>
        <w:pStyle w:val="ListBullet"/>
      </w:pPr>
      <w:r>
        <w:t>**8-page interactive dashboard** with institutional-grade visualisation and export capabilities</w:t>
      </w:r>
    </w:p>
    <w:p>
      <w:pPr>
        <w:pStyle w:val="ListBullet"/>
      </w:pPr>
      <w:r>
        <w:t>**Full audit trail** with regulatory-traceable calculation logs</w:t>
      </w:r>
    </w:p>
    <w:p>
      <w:pPr>
        <w:pStyle w:val="Heading1"/>
        <w:jc w:val="left"/>
      </w:pPr>
      <w:r>
        <w:t>3. PROJECT OBJECTIVE</w:t>
      </w:r>
    </w:p>
    <w:p>
      <w:pPr>
        <w:pStyle w:val="Heading2"/>
        <w:jc w:val="left"/>
      </w:pPr>
      <w:r>
        <w:t>3.1 Strategic Objectives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#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Objective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Metric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Target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1728"/>
          </w:tcPr>
          <w:p>
            <w:r>
              <w:t>SO-1</w:t>
            </w:r>
          </w:p>
        </w:tc>
        <w:tc>
          <w:tcPr>
            <w:tcW w:type="dxa" w:w="1728"/>
          </w:tcPr>
          <w:p>
            <w:r>
              <w:t>Achieve 100% Basel III/IV regulatory coverage</w:t>
            </w:r>
          </w:p>
        </w:tc>
        <w:tc>
          <w:tcPr>
            <w:tcW w:type="dxa" w:w="1728"/>
          </w:tcPr>
          <w:p>
            <w:r>
              <w:t>Coverage of BCBS standards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✅ Achieved</w:t>
            </w:r>
          </w:p>
        </w:tc>
      </w:tr>
      <w:tr>
        <w:tc>
          <w:tcPr>
            <w:tcW w:type="dxa" w:w="1728"/>
          </w:tcPr>
          <w:p>
            <w:r>
              <w:t>SO-2</w:t>
            </w:r>
          </w:p>
        </w:tc>
        <w:tc>
          <w:tcPr>
            <w:tcW w:type="dxa" w:w="1728"/>
          </w:tcPr>
          <w:p>
            <w:r>
              <w:t>Deliver auditable, accurate capital calculations</w:t>
            </w:r>
          </w:p>
        </w:tc>
        <w:tc>
          <w:tcPr>
            <w:tcW w:type="dxa" w:w="1728"/>
          </w:tcPr>
          <w:p>
            <w:r>
              <w:t>Test pass rate</w:t>
            </w:r>
          </w:p>
        </w:tc>
        <w:tc>
          <w:tcPr>
            <w:tcW w:type="dxa" w:w="1728"/>
          </w:tcPr>
          <w:p>
            <w:r>
              <w:t>100%</w:t>
            </w:r>
          </w:p>
        </w:tc>
        <w:tc>
          <w:tcPr>
            <w:tcW w:type="dxa" w:w="1728"/>
          </w:tcPr>
          <w:p>
            <w:r>
              <w:t>✅ 48/48</w:t>
            </w:r>
          </w:p>
        </w:tc>
      </w:tr>
      <w:tr>
        <w:tc>
          <w:tcPr>
            <w:tcW w:type="dxa" w:w="1728"/>
          </w:tcPr>
          <w:p>
            <w:r>
              <w:t>SO-3</w:t>
            </w:r>
          </w:p>
        </w:tc>
        <w:tc>
          <w:tcPr>
            <w:tcW w:type="dxa" w:w="1728"/>
          </w:tcPr>
          <w:p>
            <w:r>
              <w:t>Enable real-time daily risk runs</w:t>
            </w:r>
          </w:p>
        </w:tc>
        <w:tc>
          <w:tcPr>
            <w:tcW w:type="dxa" w:w="1728"/>
          </w:tcPr>
          <w:p>
            <w:r>
              <w:t>Completion time</w:t>
            </w:r>
          </w:p>
        </w:tc>
        <w:tc>
          <w:tcPr>
            <w:tcW w:type="dxa" w:w="1728"/>
          </w:tcPr>
          <w:p>
            <w:r>
              <w:t>&lt; 5 min</w:t>
            </w:r>
          </w:p>
        </w:tc>
        <w:tc>
          <w:tcPr>
            <w:tcW w:type="dxa" w:w="1728"/>
          </w:tcPr>
          <w:p>
            <w:r>
              <w:t>✅ ~2 min</w:t>
            </w:r>
          </w:p>
        </w:tc>
      </w:tr>
      <w:tr>
        <w:tc>
          <w:tcPr>
            <w:tcW w:type="dxa" w:w="1728"/>
          </w:tcPr>
          <w:p>
            <w:r>
              <w:t>SO-4</w:t>
            </w:r>
          </w:p>
        </w:tc>
        <w:tc>
          <w:tcPr>
            <w:tcW w:type="dxa" w:w="1728"/>
          </w:tcPr>
          <w:p>
            <w:r>
              <w:t>Reduce capital inefficiency via precise A-IRB and IMM</w:t>
            </w:r>
          </w:p>
        </w:tc>
        <w:tc>
          <w:tcPr>
            <w:tcW w:type="dxa" w:w="1728"/>
          </w:tcPr>
          <w:p>
            <w:r>
              <w:t>RWA reduction vs. SA</w:t>
            </w:r>
          </w:p>
        </w:tc>
        <w:tc>
          <w:tcPr>
            <w:tcW w:type="dxa" w:w="1728"/>
          </w:tcPr>
          <w:p>
            <w:r>
              <w:t>20–35%</w:t>
            </w:r>
          </w:p>
        </w:tc>
        <w:tc>
          <w:tcPr>
            <w:tcW w:type="dxa" w:w="1728"/>
          </w:tcPr>
          <w:p>
            <w:r>
              <w:t>✅ Model ready</w:t>
            </w:r>
          </w:p>
        </w:tc>
      </w:tr>
      <w:tr>
        <w:tc>
          <w:tcPr>
            <w:tcW w:type="dxa" w:w="1728"/>
          </w:tcPr>
          <w:p>
            <w:r>
              <w:t>SO-5</w:t>
            </w:r>
          </w:p>
        </w:tc>
        <w:tc>
          <w:tcPr>
            <w:tcW w:type="dxa" w:w="1728"/>
          </w:tcPr>
          <w:p>
            <w:r>
              <w:t>Minimise infrastructure cost</w:t>
            </w:r>
          </w:p>
        </w:tc>
        <w:tc>
          <w:tcPr>
            <w:tcW w:type="dxa" w:w="1728"/>
          </w:tcPr>
          <w:p>
            <w:r>
              <w:t>Annual infrastructure spend</w:t>
            </w:r>
          </w:p>
        </w:tc>
        <w:tc>
          <w:tcPr>
            <w:tcW w:type="dxa" w:w="1728"/>
          </w:tcPr>
          <w:p>
            <w:r>
              <w:t>&lt; $5,000</w:t>
            </w:r>
          </w:p>
        </w:tc>
        <w:tc>
          <w:tcPr>
            <w:tcW w:type="dxa" w:w="1728"/>
          </w:tcPr>
          <w:p>
            <w:r>
              <w:t>✅ &lt; $1,000</w:t>
            </w:r>
          </w:p>
        </w:tc>
      </w:tr>
      <w:tr>
        <w:tc>
          <w:tcPr>
            <w:tcW w:type="dxa" w:w="1728"/>
          </w:tcPr>
          <w:p>
            <w:r>
              <w:t>SO-6</w:t>
            </w:r>
          </w:p>
        </w:tc>
        <w:tc>
          <w:tcPr>
            <w:tcW w:type="dxa" w:w="1728"/>
          </w:tcPr>
          <w:p>
            <w:r>
              <w:t>Ensure audit readiness</w:t>
            </w:r>
          </w:p>
        </w:tc>
        <w:tc>
          <w:tcPr>
            <w:tcW w:type="dxa" w:w="1728"/>
          </w:tcPr>
          <w:p>
            <w:r>
              <w:t>Regulatory exam prep time</w:t>
            </w:r>
          </w:p>
        </w:tc>
        <w:tc>
          <w:tcPr>
            <w:tcW w:type="dxa" w:w="1728"/>
          </w:tcPr>
          <w:p>
            <w:r>
              <w:t>&lt; 1 week</w:t>
            </w:r>
          </w:p>
        </w:tc>
        <w:tc>
          <w:tcPr>
            <w:tcW w:type="dxa" w:w="1728"/>
          </w:tcPr>
          <w:p>
            <w:r>
              <w:t>✅ Instant exports</w:t>
            </w:r>
          </w:p>
        </w:tc>
      </w:tr>
    </w:tbl>
    <w:p>
      <w:pPr>
        <w:pStyle w:val="Heading2"/>
        <w:jc w:val="left"/>
      </w:pPr>
      <w:r>
        <w:t>3.2 Business Objectives</w:t>
      </w:r>
    </w:p>
    <w:p>
      <w:pPr>
        <w:pStyle w:val="ListNumber"/>
      </w:pPr>
      <w:r>
        <w:t>**Regulatory Compliance** — Eliminate the risk of non-compliance with BCBS standards, avoiding regulatory fines and sanctions by ensuring every RWA calculation is traceable to a specific Basel paragraph.</w:t>
      </w:r>
    </w:p>
    <w:p>
      <w:pPr>
        <w:pStyle w:val="ListNumber"/>
      </w:pPr>
      <w:r>
        <w:t>**Capital Optimisation** — Replace conservative Standardised Approach (SA) capital estimates with precise Advanced Internal Ratings-Based (A-IRB) and Internal Models Method (IMM) calculations, reducing over-capitalisation and freeing capital for productive deployment.</w:t>
      </w:r>
    </w:p>
    <w:p>
      <w:pPr>
        <w:pStyle w:val="ListNumber"/>
      </w:pPr>
      <w:r>
        <w:t>**Operational Risk Reduction** — Eliminate manual spreadsheet-based risk calculations prone to human error. Provide an automated, tested, and versioned calculation pipeline.</w:t>
      </w:r>
    </w:p>
    <w:p>
      <w:pPr>
        <w:pStyle w:val="ListNumber"/>
      </w:pPr>
      <w:r>
        <w:t>**Transparency and Governance** — Provide complete audit trails for all calculations, method selection decisions (e.g., IMM vs. SA-CCR fallback), and regulatory floor applications, satisfying both internal governance and external regulatory examination requirements.</w:t>
      </w:r>
    </w:p>
    <w:p>
      <w:pPr>
        <w:pStyle w:val="ListNumber"/>
      </w:pPr>
      <w:r>
        <w:t>**Cost Efficiency** — Deliver enterprise-grade regulatory calculations at a fraction of the cost of commercial vendor solutions ($21K total vs. $100K–$500K/year for enterprise alternatives).</w:t>
      </w:r>
    </w:p>
    <w:p>
      <w:pPr>
        <w:pStyle w:val="Heading2"/>
        <w:jc w:val="left"/>
      </w:pPr>
      <w:r>
        <w:t>3.3 Functional Objectives</w:t>
      </w:r>
    </w:p>
    <w:p>
      <w:pPr>
        <w:pStyle w:val="ListBullet"/>
      </w:pPr>
      <w:r>
        <w:t>Implement the complete **five-part RWA formula** (RBC20.9): Credit + CCR + Market + CVA + CCP + OpRisk</w:t>
      </w:r>
    </w:p>
    <w:p>
      <w:pPr>
        <w:pStyle w:val="ListBullet"/>
      </w:pPr>
      <w:r>
        <w:t>Implement the **output floor** (RBC20.11): Final RWA = max(Total RWA, 72.5% × SA-based RWA)</w:t>
      </w:r>
    </w:p>
    <w:p>
      <w:pPr>
        <w:pStyle w:val="ListBullet"/>
      </w:pPr>
      <w:r>
        <w:t>**Version 3.8 (Fix 4):** Floor base uses SA-CCR for CCR and FRTB SBM for market risk — not IMM/IMA.</w:t>
      </w:r>
    </w:p>
    <w:p>
      <w:r>
        <w:t>CVA RWA explicitly excluded from floor base per CAP10 FAQ1. `rwa_floor_base_sa` exposed in</w:t>
      </w:r>
    </w:p>
    <w:p>
      <w:r>
        <w:t>`capital_summary` dict for audit trail.</w:t>
      </w:r>
    </w:p>
    <w:p>
      <w:pPr>
        <w:pStyle w:val="ListBullet"/>
      </w:pPr>
      <w:r>
        <w:t>Provide **fallback logic** with full trace codes when IMM trades revert to SA-CCR or SA-CVA reverts to BA-CVA</w:t>
      </w:r>
    </w:p>
    <w:p>
      <w:pPr>
        <w:pStyle w:val="ListBullet"/>
      </w:pPr>
      <w:r>
        <w:t>Enable **real-time market condition adjustments** to risk weights and correlations via pluggable market data feeds</w:t>
      </w:r>
    </w:p>
    <w:p>
      <w:pPr>
        <w:pStyle w:val="ListBullet"/>
      </w:pPr>
      <w:r>
        <w:t>Deliver a **Streamlit-based interactive dashboard** for risk officers, with downloadable regulatory reports</w:t>
      </w:r>
    </w:p>
    <w:p>
      <w:pPr>
        <w:pStyle w:val="Heading1"/>
        <w:jc w:val="left"/>
      </w:pPr>
      <w:r>
        <w:t>4. COMPONENTS IMPACTED</w:t>
      </w:r>
    </w:p>
    <w:p>
      <w:pPr>
        <w:pStyle w:val="Heading2"/>
        <w:jc w:val="left"/>
      </w:pPr>
      <w:r>
        <w:t>4.1 Platform Components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Module Path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Impact Level</w:t>
            </w:r>
          </w:p>
        </w:tc>
      </w:tr>
      <w:tr>
        <w:tc>
          <w:tcPr>
            <w:tcW w:type="dxa" w:w="2160"/>
          </w:tcPr>
          <w:p>
            <w:r>
              <w:t>**SA-CCR Engine**</w:t>
            </w:r>
          </w:p>
        </w:tc>
        <w:tc>
          <w:tcPr>
            <w:tcW w:type="dxa" w:w="2160"/>
          </w:tcPr>
          <w:p>
            <w:r>
              <w:t>`backend/engines/sa_ccr.py`</w:t>
            </w:r>
          </w:p>
        </w:tc>
        <w:tc>
          <w:tcPr>
            <w:tcW w:type="dxa" w:w="2160"/>
          </w:tcPr>
          <w:p>
            <w:r>
              <w:t>Calculation Engine</w:t>
            </w:r>
          </w:p>
        </w:tc>
        <w:tc>
          <w:tcPr>
            <w:tcW w:type="dxa" w:w="2160"/>
          </w:tcPr>
          <w:p>
            <w:r>
              <w:t>Core — Primary</w:t>
            </w:r>
          </w:p>
        </w:tc>
      </w:tr>
      <w:tr>
        <w:tc>
          <w:tcPr>
            <w:tcW w:type="dxa" w:w="2160"/>
          </w:tcPr>
          <w:p>
            <w:r>
              <w:t>**IMM Engine**</w:t>
            </w:r>
          </w:p>
        </w:tc>
        <w:tc>
          <w:tcPr>
            <w:tcW w:type="dxa" w:w="2160"/>
          </w:tcPr>
          <w:p>
            <w:r>
              <w:t>`backend/engines/imm.py`</w:t>
            </w:r>
          </w:p>
        </w:tc>
        <w:tc>
          <w:tcPr>
            <w:tcW w:type="dxa" w:w="2160"/>
          </w:tcPr>
          <w:p>
            <w:r>
              <w:t>Calculation Engine</w:t>
            </w:r>
          </w:p>
        </w:tc>
        <w:tc>
          <w:tcPr>
            <w:tcW w:type="dxa" w:w="2160"/>
          </w:tcPr>
          <w:p>
            <w:r>
              <w:t>Core — Primary</w:t>
            </w:r>
          </w:p>
        </w:tc>
      </w:tr>
      <w:tr>
        <w:tc>
          <w:tcPr>
            <w:tcW w:type="dxa" w:w="2160"/>
          </w:tcPr>
          <w:p>
            <w:r>
              <w:t>**A-IRB Engine**</w:t>
            </w:r>
          </w:p>
        </w:tc>
        <w:tc>
          <w:tcPr>
            <w:tcW w:type="dxa" w:w="2160"/>
          </w:tcPr>
          <w:p>
            <w:r>
              <w:t>`backend/engines/a_irb.py`</w:t>
            </w:r>
          </w:p>
        </w:tc>
        <w:tc>
          <w:tcPr>
            <w:tcW w:type="dxa" w:w="2160"/>
          </w:tcPr>
          <w:p>
            <w:r>
              <w:t>Calculation Engine</w:t>
            </w:r>
          </w:p>
        </w:tc>
        <w:tc>
          <w:tcPr>
            <w:tcW w:type="dxa" w:w="2160"/>
          </w:tcPr>
          <w:p>
            <w:r>
              <w:t>Core — Primary</w:t>
            </w:r>
          </w:p>
        </w:tc>
      </w:tr>
      <w:tr>
        <w:tc>
          <w:tcPr>
            <w:tcW w:type="dxa" w:w="2160"/>
          </w:tcPr>
          <w:p>
            <w:r>
              <w:t>**FRTB Engine**</w:t>
            </w:r>
          </w:p>
        </w:tc>
        <w:tc>
          <w:tcPr>
            <w:tcW w:type="dxa" w:w="2160"/>
          </w:tcPr>
          <w:p>
            <w:r>
              <w:t>`backend/engines/frtb.py`</w:t>
            </w:r>
          </w:p>
        </w:tc>
        <w:tc>
          <w:tcPr>
            <w:tcW w:type="dxa" w:w="2160"/>
          </w:tcPr>
          <w:p>
            <w:r>
              <w:t>Calculation Engine</w:t>
            </w:r>
          </w:p>
        </w:tc>
        <w:tc>
          <w:tcPr>
            <w:tcW w:type="dxa" w:w="2160"/>
          </w:tcPr>
          <w:p>
            <w:r>
              <w:t>Core — Primary</w:t>
            </w:r>
          </w:p>
        </w:tc>
      </w:tr>
      <w:tr>
        <w:tc>
          <w:tcPr>
            <w:tcW w:type="dxa" w:w="2160"/>
          </w:tcPr>
          <w:p>
            <w:r>
              <w:t>**CVA Engine**</w:t>
            </w:r>
          </w:p>
        </w:tc>
        <w:tc>
          <w:tcPr>
            <w:tcW w:type="dxa" w:w="2160"/>
          </w:tcPr>
          <w:p>
            <w:r>
              <w:t>`backend/engines/cva.py`</w:t>
            </w:r>
          </w:p>
        </w:tc>
        <w:tc>
          <w:tcPr>
            <w:tcW w:type="dxa" w:w="2160"/>
          </w:tcPr>
          <w:p>
            <w:r>
              <w:t>Calculation Engine</w:t>
            </w:r>
          </w:p>
        </w:tc>
        <w:tc>
          <w:tcPr>
            <w:tcW w:type="dxa" w:w="2160"/>
          </w:tcPr>
          <w:p>
            <w:r>
              <w:t>Core — Primary</w:t>
            </w:r>
          </w:p>
        </w:tc>
      </w:tr>
      <w:tr>
        <w:tc>
          <w:tcPr>
            <w:tcW w:type="dxa" w:w="2160"/>
          </w:tcPr>
          <w:p>
            <w:r>
              <w:t>**CCP Engine**</w:t>
            </w:r>
          </w:p>
        </w:tc>
        <w:tc>
          <w:tcPr>
            <w:tcW w:type="dxa" w:w="2160"/>
          </w:tcPr>
          <w:p>
            <w:r>
              <w:t>`backend/engines/ccp.py`</w:t>
            </w:r>
          </w:p>
        </w:tc>
        <w:tc>
          <w:tcPr>
            <w:tcW w:type="dxa" w:w="2160"/>
          </w:tcPr>
          <w:p>
            <w:r>
              <w:t>Calculation Engine</w:t>
            </w:r>
          </w:p>
        </w:tc>
        <w:tc>
          <w:tcPr>
            <w:tcW w:type="dxa" w:w="2160"/>
          </w:tcPr>
          <w:p>
            <w:r>
              <w:t>Core — Primary</w:t>
            </w:r>
          </w:p>
        </w:tc>
      </w:tr>
      <w:tr>
        <w:tc>
          <w:tcPr>
            <w:tcW w:type="dxa" w:w="2160"/>
          </w:tcPr>
          <w:p>
            <w:r>
              <w:t>**Risk Orchestrator**</w:t>
            </w:r>
          </w:p>
        </w:tc>
        <w:tc>
          <w:tcPr>
            <w:tcW w:type="dxa" w:w="2160"/>
          </w:tcPr>
          <w:p>
            <w:r>
              <w:t>`backend/main.py`</w:t>
            </w:r>
          </w:p>
        </w:tc>
        <w:tc>
          <w:tcPr>
            <w:tcW w:type="dxa" w:w="2160"/>
          </w:tcPr>
          <w:p>
            <w:r>
              <w:t>Application Controller</w:t>
            </w:r>
          </w:p>
        </w:tc>
        <w:tc>
          <w:tcPr>
            <w:tcW w:type="dxa" w:w="2160"/>
          </w:tcPr>
          <w:p>
            <w:r>
              <w:t>Core — Primary</w:t>
            </w:r>
          </w:p>
        </w:tc>
      </w:tr>
      <w:tr>
        <w:tc>
          <w:tcPr>
            <w:tcW w:type="dxa" w:w="2160"/>
          </w:tcPr>
          <w:p>
            <w:r>
              <w:t>**Configuration**</w:t>
            </w:r>
          </w:p>
        </w:tc>
        <w:tc>
          <w:tcPr>
            <w:tcW w:type="dxa" w:w="2160"/>
          </w:tcPr>
          <w:p>
            <w:r>
              <w:t>`backend/config.py`</w:t>
            </w:r>
          </w:p>
        </w:tc>
        <w:tc>
          <w:tcPr>
            <w:tcW w:type="dxa" w:w="2160"/>
          </w:tcPr>
          <w:p>
            <w:r>
              <w:t>Configuration Module</w:t>
            </w:r>
          </w:p>
        </w:tc>
        <w:tc>
          <w:tcPr>
            <w:tcW w:type="dxa" w:w="2160"/>
          </w:tcPr>
          <w:p>
            <w:r>
              <w:t>Core — Supporting</w:t>
            </w:r>
          </w:p>
        </w:tc>
      </w:tr>
      <w:tr>
        <w:tc>
          <w:tcPr>
            <w:tcW w:type="dxa" w:w="2160"/>
          </w:tcPr>
          <w:p>
            <w:r>
              <w:t>**Portfolio Generator**</w:t>
            </w:r>
          </w:p>
        </w:tc>
        <w:tc>
          <w:tcPr>
            <w:tcW w:type="dxa" w:w="2160"/>
          </w:tcPr>
          <w:p>
            <w:r>
              <w:t>`backend/data_generators/portfolio_generator.py`</w:t>
            </w:r>
          </w:p>
        </w:tc>
        <w:tc>
          <w:tcPr>
            <w:tcW w:type="dxa" w:w="2160"/>
          </w:tcPr>
          <w:p>
            <w:r>
              <w:t>Data Generator</w:t>
            </w:r>
          </w:p>
        </w:tc>
        <w:tc>
          <w:tcPr>
            <w:tcW w:type="dxa" w:w="2160"/>
          </w:tcPr>
          <w:p>
            <w:r>
              <w:t>Supporting</w:t>
            </w:r>
          </w:p>
        </w:tc>
      </w:tr>
      <w:tr>
        <w:tc>
          <w:tcPr>
            <w:tcW w:type="dxa" w:w="2160"/>
          </w:tcPr>
          <w:p>
            <w:r>
              <w:t>**CVA Generator**</w:t>
            </w:r>
          </w:p>
        </w:tc>
        <w:tc>
          <w:tcPr>
            <w:tcW w:type="dxa" w:w="2160"/>
          </w:tcPr>
          <w:p>
            <w:r>
              <w:t>`backend/data_generators/cva_generator.py`</w:t>
            </w:r>
          </w:p>
        </w:tc>
        <w:tc>
          <w:tcPr>
            <w:tcW w:type="dxa" w:w="2160"/>
          </w:tcPr>
          <w:p>
            <w:r>
              <w:t>Data Generator</w:t>
            </w:r>
          </w:p>
        </w:tc>
        <w:tc>
          <w:tcPr>
            <w:tcW w:type="dxa" w:w="2160"/>
          </w:tcPr>
          <w:p>
            <w:r>
              <w:t>Supporting</w:t>
            </w:r>
          </w:p>
        </w:tc>
      </w:tr>
      <w:tr>
        <w:tc>
          <w:tcPr>
            <w:tcW w:type="dxa" w:w="2160"/>
          </w:tcPr>
          <w:p>
            <w:r>
              <w:t>**Market Data Provider**</w:t>
            </w:r>
          </w:p>
        </w:tc>
        <w:tc>
          <w:tcPr>
            <w:tcW w:type="dxa" w:w="2160"/>
          </w:tcPr>
          <w:p>
            <w:r>
              <w:t>`backend/data_sources/market_data_provider.py`</w:t>
            </w:r>
          </w:p>
        </w:tc>
        <w:tc>
          <w:tcPr>
            <w:tcW w:type="dxa" w:w="2160"/>
          </w:tcPr>
          <w:p>
            <w:r>
              <w:t>Data Source</w:t>
            </w:r>
          </w:p>
        </w:tc>
        <w:tc>
          <w:tcPr>
            <w:tcW w:type="dxa" w:w="2160"/>
          </w:tcPr>
          <w:p>
            <w:r>
              <w:t>Supporting</w:t>
            </w:r>
          </w:p>
        </w:tc>
      </w:tr>
      <w:tr>
        <w:tc>
          <w:tcPr>
            <w:tcW w:type="dxa" w:w="2160"/>
          </w:tcPr>
          <w:p>
            <w:r>
              <w:t>**CDS Spread Service**</w:t>
            </w:r>
          </w:p>
        </w:tc>
        <w:tc>
          <w:tcPr>
            <w:tcW w:type="dxa" w:w="2160"/>
          </w:tcPr>
          <w:p>
            <w:r>
              <w:t>`backend/data_sources/cds_spread_service.py`</w:t>
            </w:r>
          </w:p>
        </w:tc>
        <w:tc>
          <w:tcPr>
            <w:tcW w:type="dxa" w:w="2160"/>
          </w:tcPr>
          <w:p>
            <w:r>
              <w:t>Data Source</w:t>
            </w:r>
          </w:p>
        </w:tc>
        <w:tc>
          <w:tcPr>
            <w:tcW w:type="dxa" w:w="2160"/>
          </w:tcPr>
          <w:p>
            <w:r>
              <w:t>Supporting</w:t>
            </w:r>
          </w:p>
        </w:tc>
      </w:tr>
      <w:tr>
        <w:tc>
          <w:tcPr>
            <w:tcW w:type="dxa" w:w="2160"/>
          </w:tcPr>
          <w:p>
            <w:r>
              <w:t>**Market State**</w:t>
            </w:r>
          </w:p>
        </w:tc>
        <w:tc>
          <w:tcPr>
            <w:tcW w:type="dxa" w:w="2160"/>
          </w:tcPr>
          <w:p>
            <w:r>
              <w:t>`backend/data_sources/market_state.py`</w:t>
            </w:r>
          </w:p>
        </w:tc>
        <w:tc>
          <w:tcPr>
            <w:tcW w:type="dxa" w:w="2160"/>
          </w:tcPr>
          <w:p>
            <w:r>
              <w:t>Data Source</w:t>
            </w:r>
          </w:p>
        </w:tc>
        <w:tc>
          <w:tcPr>
            <w:tcW w:type="dxa" w:w="2160"/>
          </w:tcPr>
          <w:p>
            <w:r>
              <w:t>Supporting</w:t>
            </w:r>
          </w:p>
        </w:tc>
      </w:tr>
      <w:tr>
        <w:tc>
          <w:tcPr>
            <w:tcW w:type="dxa" w:w="2160"/>
          </w:tcPr>
          <w:p>
            <w:r>
              <w:t>**Calibration Module**</w:t>
            </w:r>
          </w:p>
        </w:tc>
        <w:tc>
          <w:tcPr>
            <w:tcW w:type="dxa" w:w="2160"/>
          </w:tcPr>
          <w:p>
            <w:r>
              <w:t>`backend/data_sources/calibration.py`</w:t>
            </w:r>
          </w:p>
        </w:tc>
        <w:tc>
          <w:tcPr>
            <w:tcW w:type="dxa" w:w="2160"/>
          </w:tcPr>
          <w:p>
            <w:r>
              <w:t>Data Source</w:t>
            </w:r>
          </w:p>
        </w:tc>
        <w:tc>
          <w:tcPr>
            <w:tcW w:type="dxa" w:w="2160"/>
          </w:tcPr>
          <w:p>
            <w:r>
              <w:t>Supporting</w:t>
            </w:r>
          </w:p>
        </w:tc>
      </w:tr>
      <w:tr>
        <w:tc>
          <w:tcPr>
            <w:tcW w:type="dxa" w:w="2160"/>
          </w:tcPr>
          <w:p>
            <w:r>
              <w:t>**G-SIB Capital Module**</w:t>
            </w:r>
          </w:p>
        </w:tc>
        <w:tc>
          <w:tcPr>
            <w:tcW w:type="dxa" w:w="2160"/>
          </w:tcPr>
          <w:p>
            <w:r>
              <w:t>`backend/engines/gsib_capital.py`</w:t>
            </w:r>
          </w:p>
        </w:tc>
        <w:tc>
          <w:tcPr>
            <w:tcW w:type="dxa" w:w="2160"/>
          </w:tcPr>
          <w:p>
            <w:r>
              <w:t>Capital Engine</w:t>
            </w:r>
          </w:p>
        </w:tc>
        <w:tc>
          <w:tcPr>
            <w:tcW w:type="dxa" w:w="2160"/>
          </w:tcPr>
          <w:p>
            <w:r>
              <w:t>Supporting — v3.8</w:t>
            </w:r>
          </w:p>
        </w:tc>
      </w:tr>
      <w:tr>
        <w:tc>
          <w:tcPr>
            <w:tcW w:type="dxa" w:w="2160"/>
          </w:tcPr>
          <w:p>
            <w:r>
              <w:t>**Persistence Module**</w:t>
            </w:r>
          </w:p>
        </w:tc>
        <w:tc>
          <w:tcPr>
            <w:tcW w:type="dxa" w:w="2160"/>
          </w:tcPr>
          <w:p>
            <w:r>
              <w:t>`backend/data_sources/persistence.py`</w:t>
            </w:r>
          </w:p>
        </w:tc>
        <w:tc>
          <w:tcPr>
            <w:tcW w:type="dxa" w:w="2160"/>
          </w:tcPr>
          <w:p>
            <w:r>
              <w:t>Data Persistence</w:t>
            </w:r>
          </w:p>
        </w:tc>
        <w:tc>
          <w:tcPr>
            <w:tcW w:type="dxa" w:w="2160"/>
          </w:tcPr>
          <w:p>
            <w:r>
              <w:t>Supporting</w:t>
            </w:r>
          </w:p>
        </w:tc>
      </w:tr>
      <w:tr>
        <w:tc>
          <w:tcPr>
            <w:tcW w:type="dxa" w:w="2160"/>
          </w:tcPr>
          <w:p>
            <w:r>
              <w:t>**Streamlit Dashboard**</w:t>
            </w:r>
          </w:p>
        </w:tc>
        <w:tc>
          <w:tcPr>
            <w:tcW w:type="dxa" w:w="2160"/>
          </w:tcPr>
          <w:p>
            <w:r>
              <w:t>`dashboard/app.py`</w:t>
            </w:r>
          </w:p>
        </w:tc>
        <w:tc>
          <w:tcPr>
            <w:tcW w:type="dxa" w:w="2160"/>
          </w:tcPr>
          <w:p>
            <w:r>
              <w:t>Presentation Layer</w:t>
            </w:r>
          </w:p>
        </w:tc>
        <w:tc>
          <w:tcPr>
            <w:tcW w:type="dxa" w:w="2160"/>
          </w:tcPr>
          <w:p>
            <w:r>
              <w:t>User-Facing</w:t>
            </w:r>
          </w:p>
        </w:tc>
      </w:tr>
      <w:tr>
        <w:tc>
          <w:tcPr>
            <w:tcW w:type="dxa" w:w="2160"/>
          </w:tcPr>
          <w:p>
            <w:r>
              <w:t>**Test Suite**</w:t>
            </w:r>
          </w:p>
        </w:tc>
        <w:tc>
          <w:tcPr>
            <w:tcW w:type="dxa" w:w="2160"/>
          </w:tcPr>
          <w:p>
            <w:r>
              <w:t>`tests/test_engines.py`</w:t>
            </w:r>
          </w:p>
        </w:tc>
        <w:tc>
          <w:tcPr>
            <w:tcW w:type="dxa" w:w="2160"/>
          </w:tcPr>
          <w:p>
            <w:r>
              <w:t>Quality Assurance</w:t>
            </w:r>
          </w:p>
        </w:tc>
        <w:tc>
          <w:tcPr>
            <w:tcW w:type="dxa" w:w="2160"/>
          </w:tcPr>
          <w:p>
            <w:r>
              <w:t>Validation</w:t>
            </w:r>
          </w:p>
        </w:tc>
      </w:tr>
    </w:tbl>
    <w:p>
      <w:pPr>
        <w:pStyle w:val="Heading2"/>
        <w:jc w:val="left"/>
      </w:pPr>
      <w:r>
        <w:t>4.2 Infrastructure Components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Component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Impact Level</w:t>
            </w:r>
          </w:p>
        </w:tc>
      </w:tr>
      <w:tr>
        <w:tc>
          <w:tcPr>
            <w:tcW w:type="dxa" w:w="2160"/>
          </w:tcPr>
          <w:p>
            <w:r>
              <w:t>**Database**</w:t>
            </w:r>
          </w:p>
        </w:tc>
        <w:tc>
          <w:tcPr>
            <w:tcW w:type="dxa" w:w="2160"/>
          </w:tcPr>
          <w:p>
            <w:r>
              <w:t>PostgreSQL 15</w:t>
            </w:r>
          </w:p>
        </w:tc>
        <w:tc>
          <w:tcPr>
            <w:tcW w:type="dxa" w:w="2160"/>
          </w:tcPr>
          <w:p>
            <w:r>
              <w:t>15.x</w:t>
            </w:r>
          </w:p>
        </w:tc>
        <w:tc>
          <w:tcPr>
            <w:tcW w:type="dxa" w:w="2160"/>
          </w:tcPr>
          <w:p>
            <w:r>
              <w:t>Core — Primary</w:t>
            </w:r>
          </w:p>
        </w:tc>
      </w:tr>
      <w:tr>
        <w:tc>
          <w:tcPr>
            <w:tcW w:type="dxa" w:w="2160"/>
          </w:tcPr>
          <w:p>
            <w:r>
              <w:t>**Container Runtime**</w:t>
            </w:r>
          </w:p>
        </w:tc>
        <w:tc>
          <w:tcPr>
            <w:tcW w:type="dxa" w:w="2160"/>
          </w:tcPr>
          <w:p>
            <w:r>
              <w:t>Docker</w:t>
            </w:r>
          </w:p>
        </w:tc>
        <w:tc>
          <w:tcPr>
            <w:tcW w:type="dxa" w:w="2160"/>
          </w:tcPr>
          <w:p>
            <w:r>
              <w:t>24.0+</w:t>
            </w:r>
          </w:p>
        </w:tc>
        <w:tc>
          <w:tcPr>
            <w:tcW w:type="dxa" w:w="2160"/>
          </w:tcPr>
          <w:p>
            <w:r>
              <w:t>Infrastructure</w:t>
            </w:r>
          </w:p>
        </w:tc>
      </w:tr>
      <w:tr>
        <w:tc>
          <w:tcPr>
            <w:tcW w:type="dxa" w:w="2160"/>
          </w:tcPr>
          <w:p>
            <w:r>
              <w:t>**Python Runtime**</w:t>
            </w:r>
          </w:p>
        </w:tc>
        <w:tc>
          <w:tcPr>
            <w:tcW w:type="dxa" w:w="2160"/>
          </w:tcPr>
          <w:p>
            <w:r>
              <w:t>CPython</w:t>
            </w:r>
          </w:p>
        </w:tc>
        <w:tc>
          <w:tcPr>
            <w:tcW w:type="dxa" w:w="2160"/>
          </w:tcPr>
          <w:p>
            <w:r>
              <w:t>3.11+</w:t>
            </w:r>
          </w:p>
        </w:tc>
        <w:tc>
          <w:tcPr>
            <w:tcW w:type="dxa" w:w="2160"/>
          </w:tcPr>
          <w:p>
            <w:r>
              <w:t>Core — Primary</w:t>
            </w:r>
          </w:p>
        </w:tc>
      </w:tr>
      <w:tr>
        <w:tc>
          <w:tcPr>
            <w:tcW w:type="dxa" w:w="2160"/>
          </w:tcPr>
          <w:p>
            <w:r>
              <w:t>**Dashboard Server**</w:t>
            </w:r>
          </w:p>
        </w:tc>
        <w:tc>
          <w:tcPr>
            <w:tcW w:type="dxa" w:w="2160"/>
          </w:tcPr>
          <w:p>
            <w:r>
              <w:t>Streamlit</w:t>
            </w:r>
          </w:p>
        </w:tc>
        <w:tc>
          <w:tcPr>
            <w:tcW w:type="dxa" w:w="2160"/>
          </w:tcPr>
          <w:p>
            <w:r>
              <w:t>1.28+</w:t>
            </w:r>
          </w:p>
        </w:tc>
        <w:tc>
          <w:tcPr>
            <w:tcW w:type="dxa" w:w="2160"/>
          </w:tcPr>
          <w:p>
            <w:r>
              <w:t>User-Facing</w:t>
            </w:r>
          </w:p>
        </w:tc>
      </w:tr>
    </w:tbl>
    <w:p>
      <w:pPr>
        <w:pStyle w:val="Heading2"/>
        <w:jc w:val="left"/>
      </w:pPr>
      <w:r>
        <w:t>4.3 Database Schemas Impacted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Schema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Purpose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Tables Count</w:t>
            </w:r>
          </w:p>
        </w:tc>
      </w:tr>
      <w:tr>
        <w:tc>
          <w:tcPr>
            <w:tcW w:type="dxa" w:w="2880"/>
          </w:tcPr>
          <w:p>
            <w:r>
              <w:t>`risk`</w:t>
            </w:r>
          </w:p>
        </w:tc>
        <w:tc>
          <w:tcPr>
            <w:tcW w:type="dxa" w:w="2880"/>
          </w:tcPr>
          <w:p>
            <w:r>
              <w:t>Portfolio, trade, netting-set, RWA results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`market_data`</w:t>
            </w:r>
          </w:p>
        </w:tc>
        <w:tc>
          <w:tcPr>
            <w:tcW w:type="dxa" w:w="2880"/>
          </w:tcPr>
          <w:p>
            <w:r>
              <w:t>Yield curves, FX, vol surfaces, CDS spreads, correlations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`reference`</w:t>
            </w:r>
          </w:p>
        </w:tc>
        <w:tc>
          <w:tcPr>
            <w:tcW w:type="dxa" w:w="2880"/>
          </w:tcPr>
          <w:p>
            <w:r>
              <w:t>Counterparties, risk limits, regulatory parameters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`audit`</w:t>
            </w:r>
          </w:p>
        </w:tc>
        <w:tc>
          <w:tcPr>
            <w:tcW w:type="dxa" w:w="2880"/>
          </w:tcPr>
          <w:p>
            <w:r>
              <w:t>Run logs, calculation traces, breach alerts, user actions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>
      <w:pPr>
        <w:pStyle w:val="Heading1"/>
        <w:jc w:val="left"/>
      </w:pPr>
      <w:r>
        <w:t>5. UPSTREAM DEPENDENCIES</w:t>
      </w:r>
    </w:p>
    <w:p>
      <w:r>
        <w:t>Upstream dependencies are inputs and services that PROMETHEUS consumes in order to execute its calculations. A failure or data quality issue in any upstream dependency may degrade calculation accuracy.</w:t>
      </w:r>
    </w:p>
    <w:p>
      <w:pPr>
        <w:pStyle w:val="Heading2"/>
        <w:jc w:val="left"/>
      </w:pPr>
      <w:r>
        <w:t>5.1 Market Data Feeds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Dependency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Provider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Data Supplied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Fallback</w:t>
            </w:r>
          </w:p>
        </w:tc>
      </w:tr>
      <w:tr>
        <w:tc>
          <w:tcPr>
            <w:tcW w:type="dxa" w:w="2160"/>
          </w:tcPr>
          <w:p>
            <w:r>
              <w:t>**Bloomberg Terminal API**</w:t>
            </w:r>
          </w:p>
        </w:tc>
        <w:tc>
          <w:tcPr>
            <w:tcW w:type="dxa" w:w="2160"/>
          </w:tcPr>
          <w:p>
            <w:r>
              <w:t>Bloomberg LP</w:t>
            </w:r>
          </w:p>
        </w:tc>
        <w:tc>
          <w:tcPr>
            <w:tcW w:type="dxa" w:w="2160"/>
          </w:tcPr>
          <w:p>
            <w:r>
              <w:t>CDS spreads, yield curves, volatility surfaces, FX rates, VIX</w:t>
            </w:r>
          </w:p>
        </w:tc>
        <w:tc>
          <w:tcPr>
            <w:tcW w:type="dxa" w:w="2160"/>
          </w:tcPr>
          <w:p>
            <w:r>
              <w:t>Refinitiv or internal feed</w:t>
            </w:r>
          </w:p>
        </w:tc>
      </w:tr>
      <w:tr>
        <w:tc>
          <w:tcPr>
            <w:tcW w:type="dxa" w:w="2160"/>
          </w:tcPr>
          <w:p>
            <w:r>
              <w:t>**Refinitiv / LSEG Eikon**</w:t>
            </w:r>
          </w:p>
        </w:tc>
        <w:tc>
          <w:tcPr>
            <w:tcW w:type="dxa" w:w="2160"/>
          </w:tcPr>
          <w:p>
            <w:r>
              <w:t>LSEG (London Stock Exchange Group)</w:t>
            </w:r>
          </w:p>
        </w:tc>
        <w:tc>
          <w:tcPr>
            <w:tcW w:type="dxa" w:w="2160"/>
          </w:tcPr>
          <w:p>
            <w:r>
              <w:t>CDS spreads (RIC codes), OIS rates, equity prices</w:t>
            </w:r>
          </w:p>
        </w:tc>
        <w:tc>
          <w:tcPr>
            <w:tcW w:type="dxa" w:w="2160"/>
          </w:tcPr>
          <w:p>
            <w:r>
              <w:t>Internal feed or static test data</w:t>
            </w:r>
          </w:p>
        </w:tc>
      </w:tr>
      <w:tr>
        <w:tc>
          <w:tcPr>
            <w:tcW w:type="dxa" w:w="2160"/>
          </w:tcPr>
          <w:p>
            <w:r>
              <w:t>**Internal Proprietary Feed**</w:t>
            </w:r>
          </w:p>
        </w:tc>
        <w:tc>
          <w:tcPr>
            <w:tcW w:type="dxa" w:w="2160"/>
          </w:tcPr>
          <w:p>
            <w:r>
              <w:t>Bank's own market risk systems</w:t>
            </w:r>
          </w:p>
        </w:tc>
        <w:tc>
          <w:tcPr>
            <w:tcW w:type="dxa" w:w="2160"/>
          </w:tcPr>
          <w:p>
            <w:r>
              <w:t>Calibrated volatilities, correlation matrices, scenario inputs</w:t>
            </w:r>
          </w:p>
        </w:tc>
        <w:tc>
          <w:tcPr>
            <w:tcW w:type="dxa" w:w="2160"/>
          </w:tcPr>
          <w:p>
            <w:r>
              <w:t>Static defaults in `config.py`</w:t>
            </w:r>
          </w:p>
        </w:tc>
      </w:tr>
      <w:tr>
        <w:tc>
          <w:tcPr>
            <w:tcW w:type="dxa" w:w="2160"/>
          </w:tcPr>
          <w:p>
            <w:r>
              <w:t>**FRED Public API**</w:t>
            </w:r>
          </w:p>
        </w:tc>
        <w:tc>
          <w:tcPr>
            <w:tcW w:type="dxa" w:w="2160"/>
          </w:tcPr>
          <w:p>
            <w:r>
              <w:t>Federal Reserve Bank of St. Louis</w:t>
            </w:r>
          </w:p>
        </w:tc>
        <w:tc>
          <w:tcPr>
            <w:tcW w:type="dxa" w:w="2160"/>
          </w:tcPr>
          <w:p>
            <w:r>
              <w:t>SOFR, IG/HY OAS indices (BAMLC0A0CM, BAMLH0A0HYM2, VIXCLS)</w:t>
            </w:r>
          </w:p>
        </w:tc>
        <w:tc>
          <w:tcPr>
            <w:tcW w:type="dxa" w:w="2160"/>
          </w:tcPr>
          <w:p>
            <w:r>
              <w:t>Hard-coded defaults in `CVAMarketDataFeed`</w:t>
            </w:r>
          </w:p>
        </w:tc>
      </w:tr>
    </w:tbl>
    <w:p>
      <w:pPr>
        <w:pStyle w:val="Heading3"/>
        <w:jc w:val="left"/>
      </w:pPr>
      <w:r>
        <w:t>5.1.1 Market Data Cascade Logic</w:t>
      </w:r>
    </w:p>
    <w:p>
      <w:r>
        <w:t>The platform implements a three-tier fallback cascade to ensure availability: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Tier 1 (Primary):    Bloomberg Terminal  →  Live CDS spreads, vol surfaces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Tier 2 (Fallback):   Refinitiv / Internal Feed  →  Previous-day or interpolated data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Tier 3 (Last Resort): Static Test Data   →  Hardcoded representative values from config</w:t>
      </w:r>
    </w:p>
    <w:p>
      <w:r>
        <w:t>A cache with configurable TTL (default: 300 seconds) is maintained in memory to reduce API call frequency. The cache is implemented in `MarketDataProvider._cache` and `CDSSpreadService`.</w:t>
      </w:r>
    </w:p>
    <w:p>
      <w:pPr>
        <w:pStyle w:val="Heading2"/>
        <w:jc w:val="left"/>
      </w:pPr>
      <w:r>
        <w:t>5.2 Trade and Portfolio Data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Dependency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Data Supplied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Interface</w:t>
            </w:r>
          </w:p>
        </w:tc>
      </w:tr>
      <w:tr>
        <w:tc>
          <w:tcPr>
            <w:tcW w:type="dxa" w:w="2160"/>
          </w:tcPr>
          <w:p>
            <w:r>
              <w:t>**Trade Booking Systems**</w:t>
            </w:r>
          </w:p>
        </w:tc>
        <w:tc>
          <w:tcPr>
            <w:tcW w:type="dxa" w:w="2160"/>
          </w:tcPr>
          <w:p>
            <w:r>
              <w:t>Front-office OMS / TMS</w:t>
            </w:r>
          </w:p>
        </w:tc>
        <w:tc>
          <w:tcPr>
            <w:tcW w:type="dxa" w:w="2160"/>
          </w:tcPr>
          <w:p>
            <w:r>
              <w:t>Trade attributes (notional, maturity, asset class, MTM)</w:t>
            </w:r>
          </w:p>
        </w:tc>
        <w:tc>
          <w:tcPr>
            <w:tcW w:type="dxa" w:w="2160"/>
          </w:tcPr>
          <w:p>
            <w:r>
              <w:t>PostgreSQL → `risk.trades`</w:t>
            </w:r>
          </w:p>
        </w:tc>
      </w:tr>
      <w:tr>
        <w:tc>
          <w:tcPr>
            <w:tcW w:type="dxa" w:w="2160"/>
          </w:tcPr>
          <w:p>
            <w:r>
              <w:t>**Netting Set Definitions**</w:t>
            </w:r>
          </w:p>
        </w:tc>
        <w:tc>
          <w:tcPr>
            <w:tcW w:type="dxa" w:w="2160"/>
          </w:tcPr>
          <w:p>
            <w:r>
              <w:t>Collateral management system</w:t>
            </w:r>
          </w:p>
        </w:tc>
        <w:tc>
          <w:tcPr>
            <w:tcW w:type="dxa" w:w="2160"/>
          </w:tcPr>
          <w:p>
            <w:r>
              <w:t>CSA parameters (IM, VM, Threshold, MTA, MPOR)</w:t>
            </w:r>
          </w:p>
        </w:tc>
        <w:tc>
          <w:tcPr>
            <w:tcW w:type="dxa" w:w="2160"/>
          </w:tcPr>
          <w:p>
            <w:r>
              <w:t>PostgreSQL → `risk.netting_sets`</w:t>
            </w:r>
          </w:p>
        </w:tc>
      </w:tr>
      <w:tr>
        <w:tc>
          <w:tcPr>
            <w:tcW w:type="dxa" w:w="2160"/>
          </w:tcPr>
          <w:p>
            <w:r>
              <w:t>**Banking Book Exposures**</w:t>
            </w:r>
          </w:p>
        </w:tc>
        <w:tc>
          <w:tcPr>
            <w:tcW w:type="dxa" w:w="2160"/>
          </w:tcPr>
          <w:p>
            <w:r>
              <w:t>Credit system / loan origination</w:t>
            </w:r>
          </w:p>
        </w:tc>
        <w:tc>
          <w:tcPr>
            <w:tcW w:type="dxa" w:w="2160"/>
          </w:tcPr>
          <w:p>
            <w:r>
              <w:t>EAD, PD, LGD, M, collateral values</w:t>
            </w:r>
          </w:p>
        </w:tc>
        <w:tc>
          <w:tcPr>
            <w:tcW w:type="dxa" w:w="2160"/>
          </w:tcPr>
          <w:p>
            <w:r>
              <w:t>PostgreSQL → `risk.exposures`</w:t>
            </w:r>
          </w:p>
        </w:tc>
      </w:tr>
      <w:tr>
        <w:tc>
          <w:tcPr>
            <w:tcW w:type="dxa" w:w="2160"/>
          </w:tcPr>
          <w:p>
            <w:r>
              <w:t>**Counterparty Reference Data**</w:t>
            </w:r>
          </w:p>
        </w:tc>
        <w:tc>
          <w:tcPr>
            <w:tcW w:type="dxa" w:w="2160"/>
          </w:tcPr>
          <w:p>
            <w:r>
              <w:t>CRM / KYC system</w:t>
            </w:r>
          </w:p>
        </w:tc>
        <w:tc>
          <w:tcPr>
            <w:tcW w:type="dxa" w:w="2160"/>
          </w:tcPr>
          <w:p>
            <w:r>
              <w:t>Counterparty IDs, ratings, sector classification</w:t>
            </w:r>
          </w:p>
        </w:tc>
        <w:tc>
          <w:tcPr>
            <w:tcW w:type="dxa" w:w="2160"/>
          </w:tcPr>
          <w:p>
            <w:r>
              <w:t>PostgreSQL → `reference.counterparties`</w:t>
            </w:r>
          </w:p>
        </w:tc>
      </w:tr>
    </w:tbl>
    <w:p>
      <w:r>
        <w:rPr>
          <w:i/>
        </w:rPr>
        <w:t>In the current Sprint A development environment, trade and portfolio data are synthetically generated by `backend/data_generators/portfolio_generator.py` and `backend/data_generators/cva_generator.py`.</w:t>
      </w:r>
    </w:p>
    <w:p>
      <w:pPr>
        <w:pStyle w:val="Heading2"/>
        <w:jc w:val="left"/>
      </w:pPr>
      <w:r>
        <w:t>5.3 Regulatory Parameter Updates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Dependency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Data Supplied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Frequency</w:t>
            </w:r>
          </w:p>
        </w:tc>
      </w:tr>
      <w:tr>
        <w:tc>
          <w:tcPr>
            <w:tcW w:type="dxa" w:w="2160"/>
          </w:tcPr>
          <w:p>
            <w:r>
              <w:t>**BCBS Standards**</w:t>
            </w:r>
          </w:p>
        </w:tc>
        <w:tc>
          <w:tcPr>
            <w:tcW w:type="dxa" w:w="2160"/>
          </w:tcPr>
          <w:p>
            <w:r>
              <w:t>BIS.org</w:t>
            </w:r>
          </w:p>
        </w:tc>
        <w:tc>
          <w:tcPr>
            <w:tcW w:type="dxa" w:w="2160"/>
          </w:tcPr>
          <w:p>
            <w:r>
              <w:t>SA-CCR supervisory factors, A-IRB correlation parameters, FRTB risk weights</w:t>
            </w:r>
          </w:p>
        </w:tc>
        <w:tc>
          <w:tcPr>
            <w:tcW w:type="dxa" w:w="2160"/>
          </w:tcPr>
          <w:p>
            <w:r>
              <w:t>As published (typically annually)</w:t>
            </w:r>
          </w:p>
        </w:tc>
      </w:tr>
      <w:tr>
        <w:tc>
          <w:tcPr>
            <w:tcW w:type="dxa" w:w="2160"/>
          </w:tcPr>
          <w:p>
            <w:r>
              <w:t>**Local Regulatory Guidance**</w:t>
            </w:r>
          </w:p>
        </w:tc>
        <w:tc>
          <w:tcPr>
            <w:tcW w:type="dxa" w:w="2160"/>
          </w:tcPr>
          <w:p>
            <w:r>
              <w:t>Central Bank / Prudential Regulator</w:t>
            </w:r>
          </w:p>
        </w:tc>
        <w:tc>
          <w:tcPr>
            <w:tcW w:type="dxa" w:w="2160"/>
          </w:tcPr>
          <w:p>
            <w:r>
              <w:t>Jurisdiction-specific floors, add-ons, or transition provisions</w:t>
            </w:r>
          </w:p>
        </w:tc>
        <w:tc>
          <w:tcPr>
            <w:tcW w:type="dxa" w:w="2160"/>
          </w:tcPr>
          <w:p>
            <w:r>
              <w:t>Ongoing</w:t>
            </w:r>
          </w:p>
        </w:tc>
      </w:tr>
      <w:tr>
        <w:tc>
          <w:tcPr>
            <w:tcW w:type="dxa" w:w="2160"/>
          </w:tcPr>
          <w:p>
            <w:r>
              <w:t>**SA-CVA Approval Flag**</w:t>
            </w:r>
          </w:p>
        </w:tc>
        <w:tc>
          <w:tcPr>
            <w:tcW w:type="dxa" w:w="2160"/>
          </w:tcPr>
          <w:p>
            <w:r>
              <w:t>Regulatory supervisor</w:t>
            </w:r>
          </w:p>
        </w:tc>
        <w:tc>
          <w:tcPr>
            <w:tcW w:type="dxa" w:w="2160"/>
          </w:tcPr>
          <w:p>
            <w:r>
              <w:t>Whether the institution is approved for SA-CVA</w:t>
            </w:r>
          </w:p>
        </w:tc>
        <w:tc>
          <w:tcPr>
            <w:tcW w:type="dxa" w:w="2160"/>
          </w:tcPr>
          <w:p>
            <w:r>
              <w:t>Event-driven</w:t>
            </w:r>
          </w:p>
        </w:tc>
      </w:tr>
      <w:tr>
        <w:tc>
          <w:tcPr>
            <w:tcW w:type="dxa" w:w="2160"/>
          </w:tcPr>
          <w:p>
            <w:r>
              <w:t>**IMA Approval**</w:t>
            </w:r>
          </w:p>
        </w:tc>
        <w:tc>
          <w:tcPr>
            <w:tcW w:type="dxa" w:w="2160"/>
          </w:tcPr>
          <w:p>
            <w:r>
              <w:t>Internal model validation / supervisor</w:t>
            </w:r>
          </w:p>
        </w:tc>
        <w:tc>
          <w:tcPr>
            <w:tcW w:type="dxa" w:w="2160"/>
          </w:tcPr>
          <w:p>
            <w:r>
              <w:t>Whether trading desks are approved for IMA usage</w:t>
            </w:r>
          </w:p>
        </w:tc>
        <w:tc>
          <w:tcPr>
            <w:tcW w:type="dxa" w:w="2160"/>
          </w:tcPr>
          <w:p>
            <w:r>
              <w:t>Event-driven</w:t>
            </w:r>
          </w:p>
        </w:tc>
      </w:tr>
    </w:tbl>
    <w:p>
      <w:pPr>
        <w:pStyle w:val="Heading2"/>
        <w:jc w:val="left"/>
      </w:pPr>
      <w:r>
        <w:t>5.4 Calibration Inputs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Dependency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Source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Data Supplied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Frequency</w:t>
            </w:r>
          </w:p>
        </w:tc>
      </w:tr>
      <w:tr>
        <w:tc>
          <w:tcPr>
            <w:tcW w:type="dxa" w:w="2160"/>
          </w:tcPr>
          <w:p>
            <w:r>
              <w:t>**Historical Price Series**</w:t>
            </w:r>
          </w:p>
        </w:tc>
        <w:tc>
          <w:tcPr>
            <w:tcW w:type="dxa" w:w="2160"/>
          </w:tcPr>
          <w:p>
            <w:r>
              <w:t>Market data archive</w:t>
            </w:r>
          </w:p>
        </w:tc>
        <w:tc>
          <w:tcPr>
            <w:tcW w:type="dxa" w:w="2160"/>
          </w:tcPr>
          <w:p>
            <w:r>
              <w:t>252-day lookback for volatility calibration</w:t>
            </w:r>
          </w:p>
        </w:tc>
        <w:tc>
          <w:tcPr>
            <w:tcW w:type="dxa" w:w="2160"/>
          </w:tcPr>
          <w:p>
            <w:r>
              <w:t>Daily</w:t>
            </w:r>
          </w:p>
        </w:tc>
      </w:tr>
      <w:tr>
        <w:tc>
          <w:tcPr>
            <w:tcW w:type="dxa" w:w="2160"/>
          </w:tcPr>
          <w:p>
            <w:r>
              <w:t>**Stressed Period Data (2007–09)**</w:t>
            </w:r>
          </w:p>
        </w:tc>
        <w:tc>
          <w:tcPr>
            <w:tcW w:type="dxa" w:w="2160"/>
          </w:tcPr>
          <w:p>
            <w:r>
              <w:t>Historical archive</w:t>
            </w:r>
          </w:p>
        </w:tc>
        <w:tc>
          <w:tcPr>
            <w:tcW w:type="dxa" w:w="2160"/>
          </w:tcPr>
          <w:p>
            <w:r>
              <w:t>Stressed volatilities for ES calibration</w:t>
            </w:r>
          </w:p>
        </w:tc>
        <w:tc>
          <w:tcPr>
            <w:tcW w:type="dxa" w:w="2160"/>
          </w:tcPr>
          <w:p>
            <w:r>
              <w:t>Static; refreshed on model review</w:t>
            </w:r>
          </w:p>
        </w:tc>
      </w:tr>
      <w:tr>
        <w:tc>
          <w:tcPr>
            <w:tcW w:type="dxa" w:w="2160"/>
          </w:tcPr>
          <w:p>
            <w:r>
              <w:t>**Macroeconomic Factors**</w:t>
            </w:r>
          </w:p>
        </w:tc>
        <w:tc>
          <w:tcPr>
            <w:tcW w:type="dxa" w:w="2160"/>
          </w:tcPr>
          <w:p>
            <w:r>
              <w:t>Central bank / Bloomberg</w:t>
            </w:r>
          </w:p>
        </w:tc>
        <w:tc>
          <w:tcPr>
            <w:tcW w:type="dxa" w:w="2160"/>
          </w:tcPr>
          <w:p>
            <w:r>
              <w:t>VIX, yield curve slope, HY spreads, unemployment</w:t>
            </w:r>
          </w:p>
        </w:tc>
        <w:tc>
          <w:tcPr>
            <w:tcW w:type="dxa" w:w="2160"/>
          </w:tcPr>
          <w:p>
            <w:r>
              <w:t>Daily (for market regime classification)</w:t>
            </w:r>
          </w:p>
        </w:tc>
      </w:tr>
    </w:tbl>
    <w:p>
      <w:pPr>
        <w:pStyle w:val="Heading1"/>
        <w:jc w:val="left"/>
      </w:pPr>
      <w:r>
        <w:t>6. DOWNSTREAM DEPENDENCIES</w:t>
      </w:r>
    </w:p>
    <w:p>
      <w:r>
        <w:t>Downstream dependencies are systems, processes, and stakeholders that consume the outputs produced by PROMETHEUS.</w:t>
      </w:r>
    </w:p>
    <w:p>
      <w:pPr>
        <w:pStyle w:val="Heading2"/>
        <w:jc w:val="left"/>
      </w:pPr>
      <w:r>
        <w:t>6.1 Regulatory Reporting 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Downstream Consumer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Data Consumed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Frequency</w:t>
            </w:r>
          </w:p>
        </w:tc>
      </w:tr>
      <w:tr>
        <w:tc>
          <w:tcPr>
            <w:tcW w:type="dxa" w:w="2160"/>
          </w:tcPr>
          <w:p>
            <w:r>
              <w:t>**COREP / Basel Pillar 1 Reporting**</w:t>
            </w:r>
          </w:p>
        </w:tc>
        <w:tc>
          <w:tcPr>
            <w:tcW w:type="dxa" w:w="2160"/>
          </w:tcPr>
          <w:p>
            <w:r>
              <w:t>Total RWA, component breakdown, Capital ratio</w:t>
            </w:r>
          </w:p>
        </w:tc>
        <w:tc>
          <w:tcPr>
            <w:tcW w:type="dxa" w:w="2160"/>
          </w:tcPr>
          <w:p>
            <w:r>
              <w:t>Excel / CSV (Pillar 3 templates)</w:t>
            </w:r>
          </w:p>
        </w:tc>
        <w:tc>
          <w:tcPr>
            <w:tcW w:type="dxa" w:w="2160"/>
          </w:tcPr>
          <w:p>
            <w:r>
              <w:t>Monthly / Quarterly</w:t>
            </w:r>
          </w:p>
        </w:tc>
      </w:tr>
      <w:tr>
        <w:tc>
          <w:tcPr>
            <w:tcW w:type="dxa" w:w="2160"/>
          </w:tcPr>
          <w:p>
            <w:r>
              <w:t>**Pillar 3 Public Disclosure**</w:t>
            </w:r>
          </w:p>
        </w:tc>
        <w:tc>
          <w:tcPr>
            <w:tcW w:type="dxa" w:w="2160"/>
          </w:tcPr>
          <w:p>
            <w:r>
              <w:t>RWA by risk type, capital ratios, credit quality</w:t>
            </w:r>
          </w:p>
        </w:tc>
        <w:tc>
          <w:tcPr>
            <w:tcW w:type="dxa" w:w="2160"/>
          </w:tcPr>
          <w:p>
            <w:r>
              <w:t>xlsx export from dashboard</w:t>
            </w:r>
          </w:p>
        </w:tc>
        <w:tc>
          <w:tcPr>
            <w:tcW w:type="dxa" w:w="2160"/>
          </w:tcPr>
          <w:p>
            <w:r>
              <w:t>Semi-annual / Annual</w:t>
            </w:r>
          </w:p>
        </w:tc>
      </w:tr>
      <w:tr>
        <w:tc>
          <w:tcPr>
            <w:tcW w:type="dxa" w:w="2160"/>
          </w:tcPr>
          <w:p>
            <w:r>
              <w:t>**Internal Regulatory Affairs**</w:t>
            </w:r>
          </w:p>
        </w:tc>
        <w:tc>
          <w:tcPr>
            <w:tcW w:type="dxa" w:w="2160"/>
          </w:tcPr>
          <w:p>
            <w:r>
              <w:t>Fallback traces, audit logs, breach alerts</w:t>
            </w:r>
          </w:p>
        </w:tc>
        <w:tc>
          <w:tcPr>
            <w:tcW w:type="dxa" w:w="2160"/>
          </w:tcPr>
          <w:p>
            <w:r>
              <w:t>PostgreSQL `audit` schema</w:t>
            </w:r>
          </w:p>
        </w:tc>
        <w:tc>
          <w:tcPr>
            <w:tcW w:type="dxa" w:w="2160"/>
          </w:tcPr>
          <w:p>
            <w:r>
              <w:t>On-demand / Event-driven</w:t>
            </w:r>
          </w:p>
        </w:tc>
      </w:tr>
    </w:tbl>
    <w:p>
      <w:pPr>
        <w:pStyle w:val="Heading2"/>
        <w:jc w:val="left"/>
      </w:pPr>
      <w:r>
        <w:t>6.2 Capital Planning and Finance 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Downstream Consumer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Data Consumed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Frequency</w:t>
            </w:r>
          </w:p>
        </w:tc>
      </w:tr>
      <w:tr>
        <w:tc>
          <w:tcPr>
            <w:tcW w:type="dxa" w:w="2160"/>
          </w:tcPr>
          <w:p>
            <w:r>
              <w:t>**ICAAP (Internal Capital Adequacy Assessment Process)**</w:t>
            </w:r>
          </w:p>
        </w:tc>
        <w:tc>
          <w:tcPr>
            <w:tcW w:type="dxa" w:w="2160"/>
          </w:tcPr>
          <w:p>
            <w:r>
              <w:t>RWA forecasts, stress scenario outputs</w:t>
            </w:r>
          </w:p>
        </w:tc>
        <w:tc>
          <w:tcPr>
            <w:tcW w:type="dxa" w:w="2160"/>
          </w:tcPr>
          <w:p>
            <w:r>
              <w:t>JSON → Excel</w:t>
            </w:r>
          </w:p>
        </w:tc>
        <w:tc>
          <w:tcPr>
            <w:tcW w:type="dxa" w:w="2160"/>
          </w:tcPr>
          <w:p>
            <w:r>
              <w:t>Annual</w:t>
            </w:r>
          </w:p>
        </w:tc>
      </w:tr>
      <w:tr>
        <w:tc>
          <w:tcPr>
            <w:tcW w:type="dxa" w:w="2160"/>
          </w:tcPr>
          <w:p>
            <w:r>
              <w:t>**CFO / Treasury Capital Planning**</w:t>
            </w:r>
          </w:p>
        </w:tc>
        <w:tc>
          <w:tcPr>
            <w:tcW w:type="dxa" w:w="2160"/>
          </w:tcPr>
          <w:p>
            <w:r>
              <w:t>Total RWA, output floor result, Capital = RWA × 8%</w:t>
            </w:r>
          </w:p>
        </w:tc>
        <w:tc>
          <w:tcPr>
            <w:tcW w:type="dxa" w:w="2160"/>
          </w:tcPr>
          <w:p>
            <w:r>
              <w:t>Dashboard / Excel</w:t>
            </w:r>
          </w:p>
        </w:tc>
        <w:tc>
          <w:tcPr>
            <w:tcW w:type="dxa" w:w="2160"/>
          </w:tcPr>
          <w:p>
            <w:r>
              <w:t>Daily / Monthly</w:t>
            </w:r>
          </w:p>
        </w:tc>
      </w:tr>
      <w:tr>
        <w:tc>
          <w:tcPr>
            <w:tcW w:type="dxa" w:w="2160"/>
          </w:tcPr>
          <w:p>
            <w:r>
              <w:t>**ALM System**</w:t>
            </w:r>
          </w:p>
        </w:tc>
        <w:tc>
          <w:tcPr>
            <w:tcW w:type="dxa" w:w="2160"/>
          </w:tcPr>
          <w:p>
            <w:r>
              <w:t>Banking book RWA, A-IRB capital requirement K</w:t>
            </w:r>
          </w:p>
        </w:tc>
        <w:tc>
          <w:tcPr>
            <w:tcW w:type="dxa" w:w="2160"/>
          </w:tcPr>
          <w:p>
            <w:r>
              <w:t>JSON / PostgreSQL</w:t>
            </w:r>
          </w:p>
        </w:tc>
        <w:tc>
          <w:tcPr>
            <w:tcW w:type="dxa" w:w="2160"/>
          </w:tcPr>
          <w:p>
            <w:r>
              <w:t>Daily</w:t>
            </w:r>
          </w:p>
        </w:tc>
      </w:tr>
    </w:tbl>
    <w:p>
      <w:pPr>
        <w:pStyle w:val="Heading2"/>
        <w:jc w:val="left"/>
      </w:pPr>
      <w:r>
        <w:t>6.3 Risk Management Systems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Downstream Consumer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Data Consumed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Format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Frequency</w:t>
            </w:r>
          </w:p>
        </w:tc>
      </w:tr>
      <w:tr>
        <w:tc>
          <w:tcPr>
            <w:tcW w:type="dxa" w:w="2160"/>
          </w:tcPr>
          <w:p>
            <w:r>
              <w:t>**Risk Limit Monitoring**</w:t>
            </w:r>
          </w:p>
        </w:tc>
        <w:tc>
          <w:tcPr>
            <w:tcW w:type="dxa" w:w="2160"/>
          </w:tcPr>
          <w:p>
            <w:r>
              <w:t>SA-CCR EAD, FRTB Capital, CVA</w:t>
            </w:r>
          </w:p>
        </w:tc>
        <w:tc>
          <w:tcPr>
            <w:tcW w:type="dxa" w:w="2160"/>
          </w:tcPr>
          <w:p>
            <w:r>
              <w:t>PostgreSQL `reference.risk_limits` + `audit.breach_alerts`</w:t>
            </w:r>
          </w:p>
        </w:tc>
        <w:tc>
          <w:tcPr>
            <w:tcW w:type="dxa" w:w="2160"/>
          </w:tcPr>
          <w:p>
            <w:r>
              <w:t>Daily</w:t>
            </w:r>
          </w:p>
        </w:tc>
      </w:tr>
      <w:tr>
        <w:tc>
          <w:tcPr>
            <w:tcW w:type="dxa" w:w="2160"/>
          </w:tcPr>
          <w:p>
            <w:r>
              <w:t>**CVA Desk**</w:t>
            </w:r>
          </w:p>
        </w:tc>
        <w:tc>
          <w:tcPr>
            <w:tcW w:type="dxa" w:w="2160"/>
          </w:tcPr>
          <w:p>
            <w:r>
              <w:t>SA-CVA / BA-CVA breakdown, CDS spread inputs used</w:t>
            </w:r>
          </w:p>
        </w:tc>
        <w:tc>
          <w:tcPr>
            <w:tcW w:type="dxa" w:w="2160"/>
          </w:tcPr>
          <w:p>
            <w:r>
              <w:t>JSON / Dashboard</w:t>
            </w:r>
          </w:p>
        </w:tc>
        <w:tc>
          <w:tcPr>
            <w:tcW w:type="dxa" w:w="2160"/>
          </w:tcPr>
          <w:p>
            <w:r>
              <w:t>Daily</w:t>
            </w:r>
          </w:p>
        </w:tc>
      </w:tr>
      <w:tr>
        <w:tc>
          <w:tcPr>
            <w:tcW w:type="dxa" w:w="2160"/>
          </w:tcPr>
          <w:p>
            <w:r>
              <w:t>**Trading Book Risk**</w:t>
            </w:r>
          </w:p>
        </w:tc>
        <w:tc>
          <w:tcPr>
            <w:tcW w:type="dxa" w:w="2160"/>
          </w:tcPr>
          <w:p>
            <w:r>
              <w:t>FRTB SBM and IMA charges, DRC, RRAO, backtesting status</w:t>
            </w:r>
          </w:p>
        </w:tc>
        <w:tc>
          <w:tcPr>
            <w:tcW w:type="dxa" w:w="2160"/>
          </w:tcPr>
          <w:p>
            <w:r>
              <w:t>Dashboard page / JSON</w:t>
            </w:r>
          </w:p>
        </w:tc>
        <w:tc>
          <w:tcPr>
            <w:tcW w:type="dxa" w:w="2160"/>
          </w:tcPr>
          <w:p>
            <w:r>
              <w:t>Daily</w:t>
            </w:r>
          </w:p>
        </w:tc>
      </w:tr>
      <w:tr>
        <w:tc>
          <w:tcPr>
            <w:tcW w:type="dxa" w:w="2160"/>
          </w:tcPr>
          <w:p>
            <w:r>
              <w:t>**Credit Risk Team**</w:t>
            </w:r>
          </w:p>
        </w:tc>
        <w:tc>
          <w:tcPr>
            <w:tcW w:type="dxa" w:w="2160"/>
          </w:tcPr>
          <w:p>
            <w:r>
              <w:t>A-IRB RWA, PD/LGD floors applied, EL shortfall</w:t>
            </w:r>
          </w:p>
        </w:tc>
        <w:tc>
          <w:tcPr>
            <w:tcW w:type="dxa" w:w="2160"/>
          </w:tcPr>
          <w:p>
            <w:r>
              <w:t>Dashboard page / Excel</w:t>
            </w:r>
          </w:p>
        </w:tc>
        <w:tc>
          <w:tcPr>
            <w:tcW w:type="dxa" w:w="2160"/>
          </w:tcPr>
          <w:p>
            <w:r>
              <w:t>Daily</w:t>
            </w:r>
          </w:p>
        </w:tc>
      </w:tr>
    </w:tbl>
    <w:p>
      <w:pPr>
        <w:pStyle w:val="Heading2"/>
        <w:jc w:val="left"/>
      </w:pPr>
      <w:r>
        <w:t>6.4 Technology Consumers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Downstream Consumer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Data Consumed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Interface</w:t>
            </w:r>
          </w:p>
        </w:tc>
      </w:tr>
      <w:tr>
        <w:tc>
          <w:tcPr>
            <w:tcW w:type="dxa" w:w="2880"/>
          </w:tcPr>
          <w:p>
            <w:r>
              <w:t>**PostgreSQL Database**</w:t>
            </w:r>
          </w:p>
        </w:tc>
        <w:tc>
          <w:tcPr>
            <w:tcW w:type="dxa" w:w="2880"/>
          </w:tcPr>
          <w:p>
            <w:r>
              <w:t>All run results persisted via `persistence.py`</w:t>
            </w:r>
          </w:p>
        </w:tc>
        <w:tc>
          <w:tcPr>
            <w:tcW w:type="dxa" w:w="2880"/>
          </w:tcPr>
          <w:p>
            <w:r>
              <w:t>psycopg2</w:t>
            </w:r>
          </w:p>
        </w:tc>
      </w:tr>
      <w:tr>
        <w:tc>
          <w:tcPr>
            <w:tcW w:type="dxa" w:w="2880"/>
          </w:tcPr>
          <w:p>
            <w:r>
              <w:t>**Streamlit Dashboard**</w:t>
            </w:r>
          </w:p>
        </w:tc>
        <w:tc>
          <w:tcPr>
            <w:tcW w:type="dxa" w:w="2880"/>
          </w:tcPr>
          <w:p>
            <w:r>
              <w:t>All JSON results rendered as charts and tables</w:t>
            </w:r>
          </w:p>
        </w:tc>
        <w:tc>
          <w:tcPr>
            <w:tcW w:type="dxa" w:w="2880"/>
          </w:tcPr>
          <w:p>
            <w:r>
              <w:t>Python direct call</w:t>
            </w:r>
          </w:p>
        </w:tc>
      </w:tr>
      <w:tr>
        <w:tc>
          <w:tcPr>
            <w:tcW w:type="dxa" w:w="2880"/>
          </w:tcPr>
          <w:p>
            <w:r>
              <w:t>**pgAdmin 4**</w:t>
            </w:r>
          </w:p>
        </w:tc>
        <w:tc>
          <w:tcPr>
            <w:tcW w:type="dxa" w:w="2880"/>
          </w:tcPr>
          <w:p>
            <w:r>
              <w:t>Schema exploration, query verification</w:t>
            </w:r>
          </w:p>
        </w:tc>
        <w:tc>
          <w:tcPr>
            <w:tcW w:type="dxa" w:w="2880"/>
          </w:tcPr>
          <w:p>
            <w:r>
              <w:t>PostgreSQL connection</w:t>
            </w:r>
          </w:p>
        </w:tc>
      </w:tr>
      <w:tr>
        <w:tc>
          <w:tcPr>
            <w:tcW w:type="dxa" w:w="2880"/>
          </w:tcPr>
          <w:p>
            <w:r>
              <w:t>**External Auditors**</w:t>
            </w:r>
          </w:p>
        </w:tc>
        <w:tc>
          <w:tcPr>
            <w:tcW w:type="dxa" w:w="2880"/>
          </w:tcPr>
          <w:p>
            <w:r>
              <w:t>Audit logs, calculation traces, formula references</w:t>
            </w:r>
          </w:p>
        </w:tc>
        <w:tc>
          <w:tcPr>
            <w:tcW w:type="dxa" w:w="2880"/>
          </w:tcPr>
          <w:p>
            <w:r>
              <w:t>Excel export / PostgreSQL read access</w:t>
            </w:r>
          </w:p>
        </w:tc>
      </w:tr>
    </w:tbl>
    <w:p>
      <w:pPr>
        <w:pStyle w:val="Heading1"/>
        <w:jc w:val="left"/>
      </w:pPr>
      <w:r>
        <w:t>7. BUSINESS REQUIREMENTS</w:t>
      </w:r>
    </w:p>
    <w:p>
      <w:pPr>
        <w:pStyle w:val="Heading2"/>
        <w:jc w:val="left"/>
      </w:pPr>
      <w:r>
        <w:t>7.1 BR-001 — Regulatory Capital Coverage (CRITICAL)</w:t>
      </w:r>
    </w:p>
    <w:p>
      <w:r>
        <w:t>The platform MUST calculate Risk-Weighted Assets for all regulatory components mandated by Basel III/IV. No component may be omitted, approximated beyond regulatory tolerances, or silently defaulted without an audit trace.</w:t>
      </w:r>
    </w:p>
    <w:p>
      <w:r>
        <w:rPr>
          <w:b/>
        </w:rPr>
        <w:t>Components required:</w:t>
      </w:r>
    </w:p>
    <w:p>
      <w:pPr>
        <w:pStyle w:val="ListNumber"/>
      </w:pPr>
      <w:r>
        <w:t>Credit Risk — A-IRB (CRE30–36)</w:t>
      </w:r>
    </w:p>
    <w:p>
      <w:pPr>
        <w:pStyle w:val="ListNumber"/>
      </w:pPr>
      <w:r>
        <w:t>Counterparty Credit Risk — SA-CCR (CRE52) and IMM (CRE53) with floor</w:t>
      </w:r>
    </w:p>
    <w:p>
      <w:pPr>
        <w:pStyle w:val="ListNumber"/>
      </w:pPr>
      <w:r>
        <w:t>Market Risk — FRTB SBM + IMA (MAR20–33)</w:t>
      </w:r>
    </w:p>
    <w:p>
      <w:pPr>
        <w:pStyle w:val="ListNumber"/>
      </w:pPr>
      <w:r>
        <w:t>CVA Risk — BA-CVA / SA-CVA (MAR50)</w:t>
      </w:r>
    </w:p>
    <w:p>
      <w:pPr>
        <w:pStyle w:val="ListNumber"/>
      </w:pPr>
      <w:r>
        <w:t>CCP Exposure — Qualified CCP + DFC (CRE54)</w:t>
      </w:r>
    </w:p>
    <w:p>
      <w:pPr>
        <w:pStyle w:val="ListNumber"/>
      </w:pPr>
      <w:r>
        <w:t>Operational Risk — OPE25 BIA stub</w:t>
      </w:r>
    </w:p>
    <w:p>
      <w:pPr>
        <w:pStyle w:val="ListNumber"/>
      </w:pPr>
      <w:r>
        <w:t>Output Floor — 72.5% SA-based floor (RBC20.11)</w:t>
      </w:r>
    </w:p>
    <w:p>
      <w:r>
        <w:rPr>
          <w:b/>
        </w:rPr>
        <w:t>Acceptance Criteria:</w:t>
      </w:r>
    </w:p>
    <w:p>
      <w:pPr>
        <w:pStyle w:val="ListBullet"/>
      </w:pPr>
      <w:r>
        <w:t>All six engines implemented and tested</w:t>
      </w:r>
    </w:p>
    <w:p>
      <w:pPr>
        <w:pStyle w:val="ListBullet"/>
      </w:pPr>
      <w:r>
        <w:t>Output floor formula verified against RBC20.11 and CAP10 FAQ1</w:t>
      </w:r>
    </w:p>
    <w:p>
      <w:pPr>
        <w:pStyle w:val="ListBullet"/>
      </w:pPr>
      <w:r>
        <w:t>100% test pass rate across all regulatory formulas</w:t>
      </w:r>
    </w:p>
    <w:p>
      <w:pPr>
        <w:pStyle w:val="Heading2"/>
        <w:jc w:val="left"/>
      </w:pPr>
      <w:r>
        <w:t>7.2 BR-002 — Portfolio Management (HIGH)</w:t>
      </w:r>
    </w:p>
    <w:p>
      <w:r>
        <w:t>The platform MUST support comprehensive, multi-asset-class portfolio modelling for both derivative and banking book exposures.</w:t>
      </w:r>
    </w:p>
    <w:p>
      <w:r>
        <w:rPr>
          <w:b/>
        </w:rPr>
        <w:t>Requirements:</w:t>
      </w:r>
    </w:p>
    <w:p>
      <w:pPr>
        <w:pStyle w:val="ListBullet"/>
      </w:pPr>
      <w:r>
        <w:t>Derivative portfolios with minimum 5 trades per netting set across IR, FX, Credit, Equity, and Commodity asset classes</w:t>
      </w:r>
    </w:p>
    <w:p>
      <w:pPr>
        <w:pStyle w:val="ListBullet"/>
      </w:pPr>
      <w:r>
        <w:t>Banking book portfolios with Corporate, SME, Residential Mortgage, and Revolving Credit exposure types</w:t>
      </w:r>
    </w:p>
    <w:p>
      <w:pPr>
        <w:pStyle w:val="ListBullet"/>
      </w:pPr>
      <w:r>
        <w:t>Portfolio identifiers following `DRV-YYYY-NNN` (derivatives) and `BBK-YYYY-NNN` (banking book) conventions</w:t>
      </w:r>
    </w:p>
    <w:p>
      <w:pPr>
        <w:pStyle w:val="ListBullet"/>
      </w:pPr>
      <w:r>
        <w:t>CSA parameters (IM, VM, Threshold, MTA, MPOR) modelled per netting set</w:t>
      </w:r>
    </w:p>
    <w:p>
      <w:pPr>
        <w:pStyle w:val="ListBullet"/>
      </w:pPr>
      <w:r>
        <w:t>Day-on-day portfolio tracking for regulatory consistency</w:t>
      </w:r>
    </w:p>
    <w:p>
      <w:pPr>
        <w:pStyle w:val="Heading2"/>
        <w:jc w:val="left"/>
      </w:pPr>
      <w:r>
        <w:t>7.3 BR-003 — Backtesting and Model Validation (CRITICAL)</w:t>
      </w:r>
    </w:p>
    <w:p>
      <w:r>
        <w:t>The platform MUST implement regulatory backtesting under the MAR99 traffic-light framework.</w:t>
      </w:r>
    </w:p>
    <w:p>
      <w:r>
        <w:rPr>
          <w:b/>
        </w:rPr>
        <w:t>Requirements:</w:t>
      </w:r>
    </w:p>
    <w:p>
      <w:pPr>
        <w:pStyle w:val="ListBullet"/>
      </w:pPr>
      <w:r>
        <w:t>250-day rolling backtesting window comparing P&amp;L against model VaR/ES</w:t>
      </w:r>
    </w:p>
    <w:p>
      <w:pPr>
        <w:pStyle w:val="ListBullet"/>
      </w:pPr>
      <w:r>
        <w:t>Traffic-light system: Green (0–4 exceptions), Amber (5–9), Red (≥10)</w:t>
      </w:r>
    </w:p>
    <w:p>
      <w:pPr>
        <w:pStyle w:val="ListBullet"/>
      </w:pPr>
      <w:r>
        <w:t>Spearman rank correlation test (ρ ≥ 0.50) and Kolmogorov-Smirnov test (p-value ≥ 0.05)</w:t>
      </w:r>
    </w:p>
    <w:p>
      <w:pPr>
        <w:pStyle w:val="ListBullet"/>
      </w:pPr>
      <w:r>
        <w:t>Percentage Liquidity Adequacy (PLA) test per MAR32</w:t>
      </w:r>
    </w:p>
    <w:p>
      <w:pPr>
        <w:pStyle w:val="ListBullet"/>
      </w:pPr>
      <w:r>
        <w:t>Automated breach alerting and logging</w:t>
      </w:r>
    </w:p>
    <w:p>
      <w:pPr>
        <w:pStyle w:val="Heading2"/>
        <w:jc w:val="left"/>
      </w:pPr>
      <w:r>
        <w:t>7.4 BR-004 — Real-Time Market Data Integration (HIGH)</w:t>
      </w:r>
    </w:p>
    <w:p>
      <w:r>
        <w:t>The platform MUST support dynamic market data feeds from industry-standard providers with intelligent fallback logic.</w:t>
      </w:r>
    </w:p>
    <w:p>
      <w:r>
        <w:rPr>
          <w:b/>
        </w:rPr>
        <w:t>Requirements:</w:t>
      </w:r>
    </w:p>
    <w:p>
      <w:pPr>
        <w:pStyle w:val="ListBullet"/>
      </w:pPr>
      <w:r>
        <w:t>Primary sources: Bloomberg Terminal API, Refinitiv/LSEG Eikon</w:t>
      </w:r>
    </w:p>
    <w:p>
      <w:pPr>
        <w:pStyle w:val="ListBullet"/>
      </w:pPr>
      <w:r>
        <w:t>Secondary source: Internal proprietary feeds</w:t>
      </w:r>
    </w:p>
    <w:p>
      <w:pPr>
        <w:pStyle w:val="ListBullet"/>
      </w:pPr>
      <w:r>
        <w:t>Last-resort: Static configuration-driven defaults</w:t>
      </w:r>
    </w:p>
    <w:p>
      <w:pPr>
        <w:pStyle w:val="ListBullet"/>
      </w:pPr>
      <w:r>
        <w:t>In-memory cache with configurable TTL (default 300 seconds)</w:t>
      </w:r>
    </w:p>
    <w:p>
      <w:pPr>
        <w:pStyle w:val="ListBullet"/>
      </w:pPr>
      <w:r>
        <w:t>Dynamic parameter adjustment (risk weights, correlations) based on real-time VIX, spreads, and volatility</w:t>
      </w:r>
    </w:p>
    <w:p>
      <w:pPr>
        <w:pStyle w:val="Heading2"/>
        <w:jc w:val="left"/>
      </w:pPr>
      <w:r>
        <w:t>7.5 BR-005 — Interactive Dashboard (MEDIUM)</w:t>
      </w:r>
    </w:p>
    <w:p>
      <w:r>
        <w:t>The platform MUST provide a web-based, interactive visualisation and reporting dashboard accessible to risk officers without programming expertise.</w:t>
      </w:r>
    </w:p>
    <w:p>
      <w:r>
        <w:rPr>
          <w:b/>
        </w:rPr>
        <w:t>Requirements:</w:t>
      </w:r>
    </w:p>
    <w:p>
      <w:pPr>
        <w:pStyle w:val="ListBullet"/>
      </w:pPr>
      <w:r>
        <w:t>8 functional pages: Overview, Derivative Risk, Banking Book, Backtesting, Capital Planning, Reports, Settings, Documentation</w:t>
      </w:r>
    </w:p>
    <w:p>
      <w:pPr>
        <w:pStyle w:val="ListBullet"/>
      </w:pPr>
      <w:r>
        <w:t>Institutional-grade visual design with export to xlsx/csv</w:t>
      </w:r>
    </w:p>
    <w:p>
      <w:pPr>
        <w:pStyle w:val="ListBullet"/>
      </w:pPr>
      <w:r>
        <w:t>Real-time data refresh capability</w:t>
      </w:r>
    </w:p>
    <w:p>
      <w:pPr>
        <w:pStyle w:val="ListBullet"/>
      </w:pPr>
      <w:r>
        <w:t>Responsive layout for desktop and tablet</w:t>
      </w:r>
    </w:p>
    <w:p>
      <w:pPr>
        <w:pStyle w:val="Heading2"/>
        <w:jc w:val="left"/>
      </w:pPr>
      <w:r>
        <w:t>7.6 BR-006 — Audit Trail and Compliance Reporting (CRITICAL)</w:t>
      </w:r>
    </w:p>
    <w:p>
      <w:r>
        <w:t>The platform MUST maintain immutable, complete audit logs for all calculations, method selections, fallback applications, and user actions.</w:t>
      </w:r>
    </w:p>
    <w:p>
      <w:r>
        <w:rPr>
          <w:b/>
        </w:rPr>
        <w:t>Requirements:</w:t>
      </w:r>
    </w:p>
    <w:p>
      <w:pPr>
        <w:pStyle w:val="ListBullet"/>
      </w:pPr>
      <w:r>
        <w:t>INFO-level logs for all calculations with timestamps</w:t>
      </w:r>
    </w:p>
    <w:p>
      <w:pPr>
        <w:pStyle w:val="ListBullet"/>
      </w:pPr>
      <w:r>
        <w:t>WARNING/ERROR logs for all exceptions (floor applications, fallbacks, backtesting breaches)</w:t>
      </w:r>
    </w:p>
    <w:p>
      <w:pPr>
        <w:pStyle w:val="ListBullet"/>
      </w:pPr>
      <w:r>
        <w:t>Fallback trace codes embedded in trade objects (format: `FALLBACK|trade_id|reason_code|description`)</w:t>
      </w:r>
    </w:p>
    <w:p>
      <w:pPr>
        <w:pStyle w:val="ListBullet"/>
      </w:pPr>
      <w:r>
        <w:t>Regulatory export templates compatible with Basel Pillar 3 disclosure formats</w:t>
      </w:r>
    </w:p>
    <w:p>
      <w:pPr>
        <w:pStyle w:val="ListBullet"/>
      </w:pPr>
      <w:r>
        <w:t>PostgreSQL `audit` schema with four immutable tables</w:t>
      </w:r>
    </w:p>
    <w:p>
      <w:pPr>
        <w:pStyle w:val="Heading2"/>
        <w:jc w:val="left"/>
      </w:pPr>
      <w:r>
        <w:t>7.7 BR-007 — Performance and Scalability (HIGH)</w:t>
      </w:r>
    </w:p>
    <w:p>
      <w:r>
        <w:t>The platform MUST complete a full daily risk run within acceptable time limits on target hardware.</w:t>
      </w:r>
    </w:p>
    <w:p>
      <w:r>
        <w:rPr>
          <w:b/>
        </w:rPr>
        <w:t>Requirements:</w:t>
      </w:r>
    </w:p>
    <w:p>
      <w:pPr>
        <w:pStyle w:val="ListBullet"/>
      </w:pPr>
      <w:r>
        <w:t>Full daily run: &lt; 5 minutes on M1 MacBook Air 8 GB</w:t>
      </w:r>
    </w:p>
    <w:p>
      <w:pPr>
        <w:pStyle w:val="ListBullet"/>
      </w:pPr>
      <w:r>
        <w:t>Monte Carlo simulation: 2,000 scenarios × 52 weekly time steps</w:t>
      </w:r>
    </w:p>
    <w:p>
      <w:pPr>
        <w:pStyle w:val="ListBullet"/>
      </w:pPr>
      <w:r>
        <w:t>Dashboard refresh: &lt; 3 seconds</w:t>
      </w:r>
    </w:p>
    <w:p>
      <w:pPr>
        <w:pStyle w:val="ListBullet"/>
      </w:pPr>
      <w:r>
        <w:t>Report generation: &lt; 10 seconds for 50 portfolios</w:t>
      </w:r>
    </w:p>
    <w:p>
      <w:pPr>
        <w:pStyle w:val="ListBullet"/>
      </w:pPr>
      <w:r>
        <w:t>Support 100+ derivative portfolios and 200+ banking book portfolios</w:t>
      </w:r>
    </w:p>
    <w:p>
      <w:pPr>
        <w:pStyle w:val="Heading1"/>
        <w:jc w:val="left"/>
      </w:pPr>
      <w:r>
        <w:t>8. FUNCTIONAL REQUIREMENTS</w:t>
      </w:r>
    </w:p>
    <w:p>
      <w:pPr>
        <w:pStyle w:val="Heading2"/>
        <w:jc w:val="left"/>
      </w:pPr>
      <w:r>
        <w:t>FR-001: SA-CCR Calculation Engine — Standardised Approach for Counterparty Credit Risk</w:t>
      </w:r>
    </w:p>
    <w:p>
      <w:r>
        <w:rPr>
          <w:b/>
        </w:rPr>
        <w:t>Basel Standard:</w:t>
      </w:r>
      <w:r>
        <w:t xml:space="preserve"> CRE52</w:t>
      </w:r>
    </w:p>
    <w:p>
      <w:r>
        <w:rPr>
          <w:b/>
        </w:rPr>
        <w:t>Priority:</w:t>
      </w:r>
      <w:r>
        <w:t xml:space="preserve"> CRITICAL</w:t>
      </w:r>
    </w:p>
    <w:p>
      <w:r>
        <w:rPr>
          <w:b/>
        </w:rPr>
        <w:t>Owner:</w:t>
      </w:r>
      <w:r>
        <w:t xml:space="preserve"> Credit Risk Team</w:t>
      </w:r>
    </w:p>
    <w:p>
      <w:r>
        <w:rPr>
          <w:b/>
        </w:rPr>
        <w:t>File:</w:t>
      </w:r>
      <w:r>
        <w:t xml:space="preserve"> `backend/engines/sa_ccr.py`</w:t>
      </w:r>
    </w:p>
    <w:p>
      <w:pPr>
        <w:pStyle w:val="Heading3"/>
        <w:jc w:val="left"/>
      </w:pPr>
      <w:r>
        <w:t>8.1.1 Use Case</w:t>
      </w:r>
    </w:p>
    <w:p>
      <w:r>
        <w:t xml:space="preserve">SA-CCR is the default regulatory approach for calculating </w:t>
      </w:r>
      <w:r>
        <w:rPr>
          <w:b/>
        </w:rPr>
        <w:t>Exposure at Default (EAD)</w:t>
      </w:r>
      <w:r>
        <w:t xml:space="preserve"> on derivative portfolios. It is required for all counterparty credit risk exposures and serves as the mandatory floor for the Internal Models Method (IMM). The use case is: given a set of trades in a netting set with associated CSA collateral terms, calculate the regulatory EAD that feeds into the CCR RWA component of the five-part RWA formula.</w:t>
      </w:r>
    </w:p>
    <w:p>
      <w:r>
        <w:t>SA-CCR is also used for:</w:t>
      </w:r>
    </w:p>
    <w:p>
      <w:pPr>
        <w:pStyle w:val="ListBullet"/>
      </w:pPr>
      <w:r>
        <w:t>Counterparties not eligible for IMM treatment</w:t>
      </w:r>
    </w:p>
    <w:p>
      <w:pPr>
        <w:pStyle w:val="ListBullet"/>
      </w:pPr>
      <w:r>
        <w:t>IMM floor enforcement (EAD_IMM ≥ 50% × EAD_SA-CCR per CRE53.5)</w:t>
      </w:r>
    </w:p>
    <w:p>
      <w:pPr>
        <w:pStyle w:val="ListBullet"/>
      </w:pPr>
      <w:r>
        <w:t>CVA calculation inputs (EAD into the BA-CVA formula)</w:t>
      </w:r>
    </w:p>
    <w:p>
      <w:pPr>
        <w:pStyle w:val="ListBullet"/>
      </w:pPr>
      <w:r>
        <w:t>CCP exposure calculation (cleared derivatives under CRE54)</w:t>
      </w:r>
    </w:p>
    <w:p>
      <w:pPr>
        <w:pStyle w:val="Heading3"/>
        <w:jc w:val="left"/>
      </w:pPr>
      <w:r>
        <w:t>8.1.2 Basel Context</w:t>
      </w:r>
    </w:p>
    <w:p>
      <w:r>
        <w:t>SA-CCR was introduced under CRE52 (effective January 2023) as the replacement for both the Current Exposure Method (CEM) and the Standardised Method (SM). Key design principles from the BCBS:</w:t>
      </w:r>
    </w:p>
    <w:p>
      <w:pPr>
        <w:pStyle w:val="ListBullet"/>
      </w:pPr>
      <w:r>
        <w:t>**Risk-sensitivity:** SA-CCR is more sensitive to netting, collateral, and hedging than CEM</w:t>
      </w:r>
    </w:p>
    <w:p>
      <w:pPr>
        <w:pStyle w:val="ListBullet"/>
      </w:pPr>
      <w:r>
        <w:t>**Simplicity vs. accuracy:** More complex than CEM but simpler than full IMM simulation</w:t>
      </w:r>
    </w:p>
    <w:p>
      <w:pPr>
        <w:pStyle w:val="ListBullet"/>
      </w:pPr>
      <w:r>
        <w:t>**Mandatory floor:** Prevents IMM from producing EAD below 50% of SA-CCR, ensuring a regulatory minimum</w:t>
      </w:r>
    </w:p>
    <w:p>
      <w:pPr>
        <w:pStyle w:val="ListBullet"/>
      </w:pPr>
      <w:r>
        <w:t>**Supervisory parameters:** Risk weights (supervisory factors, SF) are prescribed centrally by BCBS to prevent model risk</w:t>
      </w:r>
    </w:p>
    <w:p>
      <w:r>
        <w:t xml:space="preserve">The alpha multiplier of </w:t>
      </w:r>
      <w:r>
        <w:rPr>
          <w:b/>
        </w:rPr>
        <w:t>1.4</w:t>
      </w:r>
      <w:r>
        <w:t xml:space="preserve"> (CRE52.7) reflects the BCBS's recognition that EE-based measures understate true economic exposure due to portfolio complexity, correlation risk, and wrong-way risk.</w:t>
      </w:r>
    </w:p>
    <w:p>
      <w:pPr>
        <w:pStyle w:val="Heading3"/>
        <w:jc w:val="left"/>
      </w:pPr>
      <w:r>
        <w:t>8.1.3 Functional Objective of Calculations</w:t>
      </w:r>
    </w:p>
    <w:p>
      <w:r>
        <w:t>The SA-CCR engine computes EAD through three sequential components:</w:t>
      </w:r>
    </w:p>
    <w:p>
      <w:r>
        <w:rPr>
          <w:b/>
        </w:rPr>
        <w:t>Step 1 — Replacement Cost (RC):</w:t>
      </w:r>
      <w:r>
        <w:t xml:space="preserve"> CRE52.12–22</w:t>
      </w:r>
    </w:p>
    <w:p>
      <w:r>
        <w:t>Measures the immediate loss if the counterparty were to default today, accounting for current MTM value of the portfolio and collateral already posted.</w:t>
      </w:r>
    </w:p>
    <w:p>
      <w:r>
        <w:t>$$\text{RC} = \max\left(V - C,\ TH + MTA - NICA,\ 0\right)$$</w:t>
      </w:r>
    </w:p>
    <w:p>
      <w:r>
        <w:rPr>
          <w:b/>
        </w:rPr>
        <w:t>Step 2 — Potential Future Exposure (PFE) Multiplier:</w:t>
      </w:r>
      <w:r>
        <w:t xml:space="preserve"> CRE52.23</w:t>
      </w:r>
    </w:p>
    <w:p>
      <w:r>
        <w:t>Captures the likelihood that the exposure could grow beyond RC before a default is resolved. It modulates the Add-On based on the current over- or under-collateralisation of the portfolio.</w:t>
      </w:r>
    </w:p>
    <w:p>
      <w:r>
        <w:t>$$\text{mult} = \min\left(1,\ \text{Floor} + (1 - \text{Floor}) \cdot e^{\frac{V}{2(1 - \text{Floor}) \cdot \text{AddOn}_\text{agg}}}\right)$$</w:t>
      </w:r>
    </w:p>
    <w:p>
      <w:r>
        <w:rPr>
          <w:b/>
        </w:rPr>
        <w:t>Step 3 — Aggregate Add-On:</w:t>
      </w:r>
      <w:r>
        <w:t xml:space="preserve"> CRE52.24–75</w:t>
      </w:r>
    </w:p>
    <w:p>
      <w:r>
        <w:t>The Add-On captures potential future exposure over the MPOR, aggregated across five asset classes. For each asset class:</w:t>
      </w:r>
    </w:p>
    <w:p>
      <w:r>
        <w:t>$$\text{AddOn}_\text{AC} = \sum_{\text{hedging set}}\text{EffNotional}_k \times SF_k$$</w:t>
      </w:r>
    </w:p>
    <w:p>
      <w:r>
        <w:rPr>
          <w:b/>
        </w:rPr>
        <w:t>Step 4 — EAD:</w:t>
      </w:r>
      <w:r>
        <w:t xml:space="preserve"> CRE52.7</w:t>
      </w:r>
    </w:p>
    <w:p>
      <w:r>
        <w:t>$$\text{EAD} = \alpha \cdot (\text{RC} + \text{mult} \cdot \text{AddOn}_\text{agg}), \quad \alpha = 1.4$$</w:t>
      </w:r>
    </w:p>
    <w:p>
      <w:pPr>
        <w:pStyle w:val="Heading3"/>
        <w:jc w:val="left"/>
      </w:pPr>
      <w:r>
        <w:t>8.1.4 Parameter Significance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Symbol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Value / Source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Significance</w:t>
            </w:r>
          </w:p>
        </w:tc>
      </w:tr>
      <w:tr>
        <w:tc>
          <w:tcPr>
            <w:tcW w:type="dxa" w:w="2160"/>
          </w:tcPr>
          <w:p>
            <w:r>
              <w:t>**Alpha multiplier**</w:t>
            </w:r>
          </w:p>
        </w:tc>
        <w:tc>
          <w:tcPr>
            <w:tcW w:type="dxa" w:w="2160"/>
          </w:tcPr>
          <w:p>
            <w:r>
              <w:t>α</w:t>
            </w:r>
          </w:p>
        </w:tc>
        <w:tc>
          <w:tcPr>
            <w:tcW w:type="dxa" w:w="2160"/>
          </w:tcPr>
          <w:p>
            <w:r>
              <w:t>1.4 (CRE52.7)</w:t>
            </w:r>
          </w:p>
        </w:tc>
        <w:tc>
          <w:tcPr>
            <w:tcW w:type="dxa" w:w="2160"/>
          </w:tcPr>
          <w:p>
            <w:r>
              <w:t>Conservatism buffer over EE; accounts for correlation and wrong-way risk; fixed by BCBS</w:t>
            </w:r>
          </w:p>
        </w:tc>
      </w:tr>
      <w:tr>
        <w:tc>
          <w:tcPr>
            <w:tcW w:type="dxa" w:w="2160"/>
          </w:tcPr>
          <w:p>
            <w:r>
              <w:t>**PFE floor**</w:t>
            </w:r>
          </w:p>
        </w:tc>
        <w:tc>
          <w:tcPr>
            <w:tcW w:type="dxa" w:w="2160"/>
          </w:tcPr>
          <w:p>
            <w:r>
              <w:t>Floor</w:t>
            </w:r>
          </w:p>
        </w:tc>
        <w:tc>
          <w:tcPr>
            <w:tcW w:type="dxa" w:w="2160"/>
          </w:tcPr>
          <w:p>
            <w:r>
              <w:t>0.05 (5%)</w:t>
            </w:r>
          </w:p>
        </w:tc>
        <w:tc>
          <w:tcPr>
            <w:tcW w:type="dxa" w:w="2160"/>
          </w:tcPr>
          <w:p>
            <w:r>
              <w:t>Minimum multiplier even for fully overcollateralised portfolios; prevents zero EAD on CSA-covered netting sets</w:t>
            </w:r>
          </w:p>
        </w:tc>
      </w:tr>
      <w:tr>
        <w:tc>
          <w:tcPr>
            <w:tcW w:type="dxa" w:w="2160"/>
          </w:tcPr>
          <w:p>
            <w:r>
              <w:t>**Replacement Cost**</w:t>
            </w:r>
          </w:p>
        </w:tc>
        <w:tc>
          <w:tcPr>
            <w:tcW w:type="dxa" w:w="2160"/>
          </w:tcPr>
          <w:p>
            <w:r>
              <w:t>RC</w:t>
            </w:r>
          </w:p>
        </w:tc>
        <w:tc>
          <w:tcPr>
            <w:tcW w:type="dxa" w:w="2160"/>
          </w:tcPr>
          <w:p>
            <w:r>
              <w:t>Trade MTM − collateral</w:t>
            </w:r>
          </w:p>
        </w:tc>
        <w:tc>
          <w:tcPr>
            <w:tcW w:type="dxa" w:w="2160"/>
          </w:tcPr>
          <w:p>
            <w:r>
              <w:t>Represents immediate close-out loss; floored at max(TH+MTA−NICA, 0) to account for collateral thresholds</w:t>
            </w:r>
          </w:p>
        </w:tc>
      </w:tr>
      <w:tr>
        <w:tc>
          <w:tcPr>
            <w:tcW w:type="dxa" w:w="2160"/>
          </w:tcPr>
          <w:p>
            <w:r>
              <w:t>**Threshold**</w:t>
            </w:r>
          </w:p>
        </w:tc>
        <w:tc>
          <w:tcPr>
            <w:tcW w:type="dxa" w:w="2160"/>
          </w:tcPr>
          <w:p>
            <w:r>
              <w:t>TH</w:t>
            </w:r>
          </w:p>
        </w:tc>
        <w:tc>
          <w:tcPr>
            <w:tcW w:type="dxa" w:w="2160"/>
          </w:tcPr>
          <w:p>
            <w:r>
              <w:t>Per CSA</w:t>
            </w:r>
          </w:p>
        </w:tc>
        <w:tc>
          <w:tcPr>
            <w:tcW w:type="dxa" w:w="2160"/>
          </w:tcPr>
          <w:p>
            <w:r>
              <w:t>Minimum exposure before collateral call is triggered</w:t>
            </w:r>
          </w:p>
        </w:tc>
      </w:tr>
      <w:tr>
        <w:tc>
          <w:tcPr>
            <w:tcW w:type="dxa" w:w="2160"/>
          </w:tcPr>
          <w:p>
            <w:r>
              <w:t>**Minimum Transfer Amount**</w:t>
            </w:r>
          </w:p>
        </w:tc>
        <w:tc>
          <w:tcPr>
            <w:tcW w:type="dxa" w:w="2160"/>
          </w:tcPr>
          <w:p>
            <w:r>
              <w:t>MTA</w:t>
            </w:r>
          </w:p>
        </w:tc>
        <w:tc>
          <w:tcPr>
            <w:tcW w:type="dxa" w:w="2160"/>
          </w:tcPr>
          <w:p>
            <w:r>
              <w:t>Per CSA</w:t>
            </w:r>
          </w:p>
        </w:tc>
        <w:tc>
          <w:tcPr>
            <w:tcW w:type="dxa" w:w="2160"/>
          </w:tcPr>
          <w:p>
            <w:r>
              <w:t>Smallest increment of collateral that can be transferred</w:t>
            </w:r>
          </w:p>
        </w:tc>
      </w:tr>
      <w:tr>
        <w:tc>
          <w:tcPr>
            <w:tcW w:type="dxa" w:w="2160"/>
          </w:tcPr>
          <w:p>
            <w:r>
              <w:t>**Net Independent Collateral Amount**</w:t>
            </w:r>
          </w:p>
        </w:tc>
        <w:tc>
          <w:tcPr>
            <w:tcW w:type="dxa" w:w="2160"/>
          </w:tcPr>
          <w:p>
            <w:r>
              <w:t>NICA</w:t>
            </w:r>
          </w:p>
        </w:tc>
        <w:tc>
          <w:tcPr>
            <w:tcW w:type="dxa" w:w="2160"/>
          </w:tcPr>
          <w:p>
            <w:r>
              <w:t>Per netting set</w:t>
            </w:r>
          </w:p>
        </w:tc>
        <w:tc>
          <w:tcPr>
            <w:tcW w:type="dxa" w:w="2160"/>
          </w:tcPr>
          <w:p>
            <w:r>
              <w:t>Collateral received − collateral posted; net benefit of collateral arrangements</w:t>
            </w:r>
          </w:p>
        </w:tc>
      </w:tr>
      <w:tr>
        <w:tc>
          <w:tcPr>
            <w:tcW w:type="dxa" w:w="2160"/>
          </w:tcPr>
          <w:p>
            <w:r>
              <w:t>**Supervisory Factor**</w:t>
            </w:r>
          </w:p>
        </w:tc>
        <w:tc>
          <w:tcPr>
            <w:tcW w:type="dxa" w:w="2160"/>
          </w:tcPr>
          <w:p>
            <w:r>
              <w:t>SF</w:t>
            </w:r>
          </w:p>
        </w:tc>
        <w:tc>
          <w:tcPr>
            <w:tcW w:type="dxa" w:w="2160"/>
          </w:tcPr>
          <w:p>
            <w:r>
              <w:t>Table: IR=0.50%, FX=4.0%, EQ=32%, CDS IG=0.50%, CDS SG=5.0%, CMDTY=18%</w:t>
            </w:r>
          </w:p>
        </w:tc>
        <w:tc>
          <w:tcPr>
            <w:tcW w:type="dxa" w:w="2160"/>
          </w:tcPr>
          <w:p>
            <w:r>
              <w:t>BCBS-prescribed risk weights reflecting asset class volatility over MPOR</w:t>
            </w:r>
          </w:p>
        </w:tc>
      </w:tr>
      <w:tr>
        <w:tc>
          <w:tcPr>
            <w:tcW w:type="dxa" w:w="2160"/>
          </w:tcPr>
          <w:p>
            <w:r>
              <w:t>**Maturity Factor**</w:t>
            </w:r>
          </w:p>
        </w:tc>
        <w:tc>
          <w:tcPr>
            <w:tcW w:type="dxa" w:w="2160"/>
          </w:tcPr>
          <w:p>
            <w:r>
              <w:t>MF</w:t>
            </w:r>
          </w:p>
        </w:tc>
        <w:tc>
          <w:tcPr>
            <w:tcW w:type="dxa" w:w="2160"/>
          </w:tcPr>
          <w:p>
            <w:r>
              <w:t>Margined: √(MPOR/250); Unmargined: √(min(M,1))</w:t>
            </w:r>
          </w:p>
        </w:tc>
        <w:tc>
          <w:tcPr>
            <w:tcW w:type="dxa" w:w="2160"/>
          </w:tcPr>
          <w:p>
            <w:r>
              <w:t>Scales exposure by square root of time, capturing diffusion over margin period</w:t>
            </w:r>
          </w:p>
        </w:tc>
      </w:tr>
      <w:tr>
        <w:tc>
          <w:tcPr>
            <w:tcW w:type="dxa" w:w="2160"/>
          </w:tcPr>
          <w:p>
            <w:r>
              <w:t>**Supervisory Duration**</w:t>
            </w:r>
          </w:p>
        </w:tc>
        <w:tc>
          <w:tcPr>
            <w:tcW w:type="dxa" w:w="2160"/>
          </w:tcPr>
          <w:p>
            <w:r>
              <w:t>SD</w:t>
            </w:r>
          </w:p>
        </w:tc>
        <w:tc>
          <w:tcPr>
            <w:tcW w:type="dxa" w:w="2160"/>
          </w:tcPr>
          <w:p>
            <w:r>
              <w:t>(e^(−0.05S) − e^(−0.05E)) / 0.05</w:t>
            </w:r>
          </w:p>
        </w:tc>
        <w:tc>
          <w:tcPr>
            <w:tcW w:type="dxa" w:w="2160"/>
          </w:tcPr>
          <w:p>
            <w:r>
              <w:t>For IR trades: scales notional by present value of the floating payment duration (CRE52.39)</w:t>
            </w:r>
          </w:p>
        </w:tc>
      </w:tr>
      <w:tr>
        <w:tc>
          <w:tcPr>
            <w:tcW w:type="dxa" w:w="2160"/>
          </w:tcPr>
          <w:p>
            <w:r>
              <w:t>**MPOR**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10 days (margined), 20 days (unmargined)</w:t>
            </w:r>
          </w:p>
        </w:tc>
        <w:tc>
          <w:tcPr>
            <w:tcW w:type="dxa" w:w="2160"/>
          </w:tcPr>
          <w:p>
            <w:r>
              <w:t>Margin Period of Risk; time to replace portfolio after counterparty default and collateral dispute</w:t>
            </w:r>
          </w:p>
        </w:tc>
      </w:tr>
      <w:tr>
        <w:tc>
          <w:tcPr>
            <w:tcW w:type="dxa" w:w="2160"/>
          </w:tcPr>
          <w:p>
            <w:r>
              <w:t>**Supervisory Delta**</w:t>
            </w:r>
          </w:p>
        </w:tc>
        <w:tc>
          <w:tcPr>
            <w:tcW w:type="dxa" w:w="2160"/>
          </w:tcPr>
          <w:p>
            <w:r>
              <w:t>δ</w:t>
            </w:r>
          </w:p>
        </w:tc>
        <w:tc>
          <w:tcPr>
            <w:tcW w:type="dxa" w:w="2160"/>
          </w:tcPr>
          <w:p>
            <w:r>
              <w:t>+1 long, −1 short; option-adjusted for non-linear</w:t>
            </w:r>
          </w:p>
        </w:tc>
        <w:tc>
          <w:tcPr>
            <w:tcW w:type="dxa" w:w="2160"/>
          </w:tcPr>
          <w:p>
            <w:r>
              <w:t>Accounts for directionality and optionality in adjusted notional calculation</w:t>
            </w:r>
          </w:p>
        </w:tc>
      </w:tr>
    </w:tbl>
    <w:p>
      <w:pPr>
        <w:pStyle w:val="Heading3"/>
        <w:jc w:val="left"/>
      </w:pPr>
      <w:r>
        <w:t>8.1.5 Key Success Criteria</w:t>
      </w:r>
    </w:p>
    <w:p>
      <w:pPr>
        <w:pStyle w:val="ListBullet"/>
      </w:pPr>
      <w:r>
        <w:t>EAD calculation matches BCBS CRE52 worked examples within 0.01% tolerance</w:t>
      </w:r>
    </w:p>
    <w:p>
      <w:pPr>
        <w:pStyle w:val="ListBullet"/>
      </w:pPr>
      <w:r>
        <w:t>All five asset classes (IR, FX, EQ, Credit, CMDTY) produce non-negative Add-Ons</w:t>
      </w:r>
    </w:p>
    <w:p>
      <w:pPr>
        <w:pStyle w:val="ListBullet"/>
      </w:pPr>
      <w:r>
        <w:t>IMM eligibility check returns correct trace code for ineligible trades</w:t>
      </w:r>
    </w:p>
    <w:p>
      <w:pPr>
        <w:pStyle w:val="ListBullet"/>
      </w:pPr>
      <w:r>
        <w:t>Regulatory floor (EAD_IMM ≥ 50% × EAD_SA-CCR) is enforced with logged fallback trace</w:t>
      </w:r>
    </w:p>
    <w:p>
      <w:pPr>
        <w:pStyle w:val="ListBullet"/>
      </w:pPr>
      <w:r>
        <w:t>12/12 SA-CCR unit tests in `tests/test_engines.py` pass</w:t>
      </w:r>
    </w:p>
    <w:p>
      <w:pPr>
        <w:pStyle w:val="Heading2"/>
        <w:jc w:val="left"/>
      </w:pPr>
      <w:r>
        <w:t>FR-002: IMM Monte Carlo Engine — Internal Models Method</w:t>
      </w:r>
    </w:p>
    <w:p>
      <w:r>
        <w:rPr>
          <w:b/>
        </w:rPr>
        <w:t>Basel Standard:</w:t>
      </w:r>
      <w:r>
        <w:t xml:space="preserve"> CRE53</w:t>
      </w:r>
    </w:p>
    <w:p>
      <w:r>
        <w:rPr>
          <w:b/>
        </w:rPr>
        <w:t>Priority:</w:t>
      </w:r>
      <w:r>
        <w:t xml:space="preserve"> HIGH</w:t>
      </w:r>
    </w:p>
    <w:p>
      <w:r>
        <w:rPr>
          <w:b/>
        </w:rPr>
        <w:t>Owner:</w:t>
      </w:r>
      <w:r>
        <w:t xml:space="preserve"> Quantitative Risk Team</w:t>
      </w:r>
    </w:p>
    <w:p>
      <w:r>
        <w:rPr>
          <w:b/>
        </w:rPr>
        <w:t>File:</w:t>
      </w:r>
      <w:r>
        <w:t xml:space="preserve"> `backend/engines/imm.py`</w:t>
      </w:r>
    </w:p>
    <w:p>
      <w:pPr>
        <w:pStyle w:val="Heading3"/>
        <w:jc w:val="left"/>
      </w:pPr>
      <w:r>
        <w:t>8.2.1 Use Case</w:t>
      </w:r>
    </w:p>
    <w:p>
      <w:r>
        <w:t xml:space="preserve">The IMM engine provides a more risk-sensitive alternative to SA-CCR for eligible derivative trades. Using Monte Carlo simulation, it models the </w:t>
      </w:r>
      <w:r>
        <w:rPr>
          <w:b/>
        </w:rPr>
        <w:t>Effective Expected Positive Exposure (EEPE)</w:t>
      </w:r>
      <w:r>
        <w:t xml:space="preserve"> under both normal and stressed market conditions. Banks with supervisory approval may use IMM to calculate EAD, typically achieving 20–40% reduction in CCR RWA compared to SA-CCR, subject to the regulatory floor.</w:t>
      </w:r>
    </w:p>
    <w:p>
      <w:r>
        <w:t xml:space="preserve">The IMM is also the source of </w:t>
      </w:r>
      <w:r>
        <w:rPr>
          <w:b/>
        </w:rPr>
        <w:t>exposure profiles</w:t>
      </w:r>
      <w:r>
        <w:t xml:space="preserve"> (EE, EEPE, PFE) for CVA desk risk management and for dynamic collateral modelling under CSA terms.</w:t>
      </w:r>
    </w:p>
    <w:p>
      <w:pPr>
        <w:pStyle w:val="Heading3"/>
        <w:jc w:val="left"/>
      </w:pPr>
      <w:r>
        <w:t>8.2.2 Basel Context</w:t>
      </w:r>
    </w:p>
    <w:p>
      <w:r>
        <w:t>CRE53 permits approved banks to use an internal model for counterparty credit exposure rather than the standardised SA-CCR. The core BCBS requirements are:</w:t>
      </w:r>
    </w:p>
    <w:p>
      <w:pPr>
        <w:pStyle w:val="ListBullet"/>
      </w:pPr>
      <w:r>
        <w:t>**2,000+ simulation scenarios** for statistical robustness (PROMETHEUS uses 2,000 for M1 hardware compatibility)</w:t>
      </w:r>
    </w:p>
    <w:p>
      <w:pPr>
        <w:pStyle w:val="ListBullet"/>
      </w:pPr>
      <w:r>
        <w:t>**Stressed EEPE** calibrated to a 1-year stress period (2007–2009 financial crisis) to prevent pro-cyclicality</w:t>
      </w:r>
    </w:p>
    <w:p>
      <w:pPr>
        <w:pStyle w:val="ListBullet"/>
      </w:pPr>
      <w:r>
        <w:t>**Regulatory floor:** EAD_IMM ≥ 50% × EAD_SA-CCR (CRE53.5) — prevents IMM from being used to game capital</w:t>
      </w:r>
    </w:p>
    <w:p>
      <w:pPr>
        <w:pStyle w:val="ListBullet"/>
      </w:pPr>
      <w:r>
        <w:t>**CSA path-level modelling:** Collateral must be modelled at the path level, not post-hoc</w:t>
      </w:r>
    </w:p>
    <w:p>
      <w:pPr>
        <w:pStyle w:val="ListBullet"/>
      </w:pPr>
      <w:r>
        <w:t>**Alpha multiplier of 1.4** applies equally to IMM EAD (CRE53.6)</w:t>
      </w:r>
    </w:p>
    <w:p>
      <w:pPr>
        <w:pStyle w:val="Heading3"/>
        <w:jc w:val="left"/>
      </w:pPr>
      <w:r>
        <w:t>8.2.3 Functional Objective of Calculations</w:t>
      </w:r>
    </w:p>
    <w:p>
      <w:r>
        <w:rPr>
          <w:b/>
        </w:rPr>
        <w:t>Step 1 — Risk Factor Path Generation (GBM / Hull-White):</w:t>
      </w:r>
    </w:p>
    <w:p>
      <w:r>
        <w:t>For equity and FX (Geometric Brownian Motion):</w:t>
      </w:r>
    </w:p>
    <w:p>
      <w:r>
        <w:t>$$S(t+\Delta t) = S(t) \cdot \exp\left[\left(\mu - \frac{\sigma^2}{2}\right)\Delta t + \sigma\sqrt{\Delta t}\,Z\right]$$</w:t>
      </w:r>
    </w:p>
    <w:p>
      <w:r>
        <w:t>For interest rates (Hull-White 1-Factor):</w:t>
      </w:r>
    </w:p>
    <w:p>
      <w:r>
        <w:t>$$dr(t) = \kappa\,[\theta - r(t)]\,dt + \sigma_r\,dW(t)$$</w:t>
      </w:r>
    </w:p>
    <w:p>
      <w:r>
        <w:t>Antithetic variance reduction doubles effective scenario count: for each random vector Z, −Z is also simulated.</w:t>
      </w:r>
    </w:p>
    <w:p>
      <w:r>
        <w:rPr>
          <w:b/>
        </w:rPr>
        <w:t>Step 2 — Portfolio Revaluation:</w:t>
      </w:r>
    </w:p>
    <w:p>
      <w:r>
        <w:t>$$\text{NPV}[t, \text{scenario}] = \sum_k \text{TradeValue}_k(t, \text{scenario})$$</w:t>
      </w:r>
    </w:p>
    <w:p>
      <w:r>
        <w:rPr>
          <w:b/>
        </w:rPr>
        <w:t>Step 3 — CSA-Adjusted Exposure:</w:t>
      </w:r>
    </w:p>
    <w:p>
      <w:r>
        <w:t>$$\text{Exposure}[t, s] = \max\left(\text{NPV}[t,s] - \text{Collateral}[t,s],\ 0\right)$$</w:t>
      </w:r>
    </w:p>
    <w:p>
      <w:r>
        <w:rPr>
          <w:b/>
        </w:rPr>
        <w:t>Step 4 — Expected Exposure and EEPE:</w:t>
      </w:r>
    </w:p>
    <w:p>
      <w:r>
        <w:t>$$\text{EE}(t) = \frac{1}{N}\sum_{s=1}^{N} \text{Exposure}[t, s]$$</w:t>
      </w:r>
    </w:p>
    <w:p>
      <w:r>
        <w:t>$$\text{EEE}(t) = \max_{u \leq t} \text{EE}(u) \quad \text{(non-decreasing constraint)}$$</w:t>
      </w:r>
    </w:p>
    <w:p>
      <w:r>
        <w:t>$$\text{EEPE} = \frac{1}{T_1}\int_0^{T_1} \text{EEE}(t)\,dt \approx \frac{1}{T}\sum_{t=1}^{T}\text{EEE}(t)$$</w:t>
      </w:r>
    </w:p>
    <w:p>
      <w:r>
        <w:rPr>
          <w:b/>
        </w:rPr>
        <w:t>Step 5 — EAD:</w:t>
      </w:r>
    </w:p>
    <w:p>
      <w:r>
        <w:t>$$\text{EAD}_\text{IMM} = \alpha \cdot \text{EEPE}, \quad \alpha = 1.4$$</w:t>
      </w:r>
    </w:p>
    <w:p>
      <w:r>
        <w:rPr>
          <w:b/>
        </w:rPr>
        <w:t>Step 6 — Stressed EEPE:</w:t>
      </w:r>
    </w:p>
    <w:p>
      <w:r>
        <w:t>Paths are generated using volatility parameters calibrated to the 2007–2009 window (`stressed_vol ≈ 40%` vs. `vol ≈ 20%` normal), producing `EAD_stressed = α × EEPE_stressed`.</w:t>
      </w:r>
    </w:p>
    <w:p>
      <w:pPr>
        <w:pStyle w:val="Heading3"/>
        <w:jc w:val="left"/>
      </w:pPr>
      <w:r>
        <w:t>8.2.4 Parameter Significance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 / Config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Significance</w:t>
            </w:r>
          </w:p>
        </w:tc>
      </w:tr>
      <w:tr>
        <w:tc>
          <w:tcPr>
            <w:tcW w:type="dxa" w:w="2880"/>
          </w:tcPr>
          <w:p>
            <w:r>
              <w:t>**Scenarios (N)**</w:t>
            </w:r>
          </w:p>
        </w:tc>
        <w:tc>
          <w:tcPr>
            <w:tcW w:type="dxa" w:w="2880"/>
          </w:tcPr>
          <w:p>
            <w:r>
              <w:t>2,000 (`IMM.num_scenarios`)</w:t>
            </w:r>
          </w:p>
        </w:tc>
        <w:tc>
          <w:tcPr>
            <w:tcW w:type="dxa" w:w="2880"/>
          </w:tcPr>
          <w:p>
            <w:r>
              <w:t>Statistical convergence; BCBS requires sufficient paths; capped for M1 RAM constraint (~40 MB)</w:t>
            </w:r>
          </w:p>
        </w:tc>
      </w:tr>
      <w:tr>
        <w:tc>
          <w:tcPr>
            <w:tcW w:type="dxa" w:w="2880"/>
          </w:tcPr>
          <w:p>
            <w:r>
              <w:t>**Time Steps**</w:t>
            </w:r>
          </w:p>
        </w:tc>
        <w:tc>
          <w:tcPr>
            <w:tcW w:type="dxa" w:w="2880"/>
          </w:tcPr>
          <w:p>
            <w:r>
              <w:t>52 weekly (`IMM.time_steps`)</w:t>
            </w:r>
          </w:p>
        </w:tc>
        <w:tc>
          <w:tcPr>
            <w:tcW w:type="dxa" w:w="2880"/>
          </w:tcPr>
          <w:p>
            <w:r>
              <w:t>Weekly revaluation over 1-year horizon; balances granularity and compute</w:t>
            </w:r>
          </w:p>
        </w:tc>
      </w:tr>
      <w:tr>
        <w:tc>
          <w:tcPr>
            <w:tcW w:type="dxa" w:w="2880"/>
          </w:tcPr>
          <w:p>
            <w:r>
              <w:t>**Alpha**</w:t>
            </w:r>
          </w:p>
        </w:tc>
        <w:tc>
          <w:tcPr>
            <w:tcW w:type="dxa" w:w="2880"/>
          </w:tcPr>
          <w:p>
            <w:r>
              <w:t>1.4 (`IMM.alpha`)</w:t>
            </w:r>
          </w:p>
        </w:tc>
        <w:tc>
          <w:tcPr>
            <w:tcW w:type="dxa" w:w="2880"/>
          </w:tcPr>
          <w:p>
            <w:r>
              <w:t>Same as SA-CCR; regulatory conservatism multiplier</w:t>
            </w:r>
          </w:p>
        </w:tc>
      </w:tr>
      <w:tr>
        <w:tc>
          <w:tcPr>
            <w:tcW w:type="dxa" w:w="2880"/>
          </w:tcPr>
          <w:p>
            <w:r>
              <w:t>**GBM drift (μ)**</w:t>
            </w:r>
          </w:p>
        </w:tc>
        <w:tc>
          <w:tcPr>
            <w:tcW w:type="dxa" w:w="2880"/>
          </w:tcPr>
          <w:p>
            <w:r>
              <w:t>0.05 (5% p.a.)</w:t>
            </w:r>
          </w:p>
        </w:tc>
        <w:tc>
          <w:tcPr>
            <w:tcW w:type="dxa" w:w="2880"/>
          </w:tcPr>
          <w:p>
            <w:r>
              <w:t>Risk-neutral drift for equity and FX paths</w:t>
            </w:r>
          </w:p>
        </w:tc>
      </w:tr>
      <w:tr>
        <w:tc>
          <w:tcPr>
            <w:tcW w:type="dxa" w:w="2880"/>
          </w:tcPr>
          <w:p>
            <w:r>
              <w:t>**GBM volatility (σ)**</w:t>
            </w:r>
          </w:p>
        </w:tc>
        <w:tc>
          <w:tcPr>
            <w:tcW w:type="dxa" w:w="2880"/>
          </w:tcPr>
          <w:p>
            <w:r>
              <w:t>0.20 normal; 0.40 stressed</w:t>
            </w:r>
          </w:p>
        </w:tc>
        <w:tc>
          <w:tcPr>
            <w:tcW w:type="dxa" w:w="2880"/>
          </w:tcPr>
          <w:p>
            <w:r>
              <w:t>Normal from historical calibration; stressed from 2007–09 window</w:t>
            </w:r>
          </w:p>
        </w:tc>
      </w:tr>
      <w:tr>
        <w:tc>
          <w:tcPr>
            <w:tcW w:type="dxa" w:w="2880"/>
          </w:tcPr>
          <w:p>
            <w:r>
              <w:t>**Hull-White mean reversion (κ)**</w:t>
            </w:r>
          </w:p>
        </w:tc>
        <w:tc>
          <w:tcPr>
            <w:tcW w:type="dxa" w:w="2880"/>
          </w:tcPr>
          <w:p>
            <w:r>
              <w:t>0.10</w:t>
            </w:r>
          </w:p>
        </w:tc>
        <w:tc>
          <w:tcPr>
            <w:tcW w:type="dxa" w:w="2880"/>
          </w:tcPr>
          <w:p>
            <w:r>
              <w:t>Speed at which rates revert to long-run mean; higher κ = faster reversion</w:t>
            </w:r>
          </w:p>
        </w:tc>
      </w:tr>
      <w:tr>
        <w:tc>
          <w:tcPr>
            <w:tcW w:type="dxa" w:w="2880"/>
          </w:tcPr>
          <w:p>
            <w:r>
              <w:t>**Hull-White long-run rate (θ)**</w:t>
            </w:r>
          </w:p>
        </w:tc>
        <w:tc>
          <w:tcPr>
            <w:tcW w:type="dxa" w:w="2880"/>
          </w:tcPr>
          <w:p>
            <w:r>
              <w:t>0.045 (4.5%)</w:t>
            </w:r>
          </w:p>
        </w:tc>
        <w:tc>
          <w:tcPr>
            <w:tcW w:type="dxa" w:w="2880"/>
          </w:tcPr>
          <w:p>
            <w:r>
              <w:t>OIS forward curve long-run calibration anchor</w:t>
            </w:r>
          </w:p>
        </w:tc>
      </w:tr>
      <w:tr>
        <w:tc>
          <w:tcPr>
            <w:tcW w:type="dxa" w:w="2880"/>
          </w:tcPr>
          <w:p>
            <w:r>
              <w:t>**IR volatility (σ_r)**</w:t>
            </w:r>
          </w:p>
        </w:tc>
        <w:tc>
          <w:tcPr>
            <w:tcW w:type="dxa" w:w="2880"/>
          </w:tcPr>
          <w:p>
            <w:r>
              <w:t>0.015 normal; 0.030 stressed</w:t>
            </w:r>
          </w:p>
        </w:tc>
        <w:tc>
          <w:tcPr>
            <w:tcW w:type="dxa" w:w="2880"/>
          </w:tcPr>
          <w:p>
            <w:r>
              <w:t>Interest rate shock magnitude per unit of time</w:t>
            </w:r>
          </w:p>
        </w:tc>
      </w:tr>
      <w:tr>
        <w:tc>
          <w:tcPr>
            <w:tcW w:type="dxa" w:w="2880"/>
          </w:tcPr>
          <w:p>
            <w:r>
              <w:t>**MPOR (days)**</w:t>
            </w:r>
          </w:p>
        </w:tc>
        <w:tc>
          <w:tcPr>
            <w:tcW w:type="dxa" w:w="2880"/>
          </w:tcPr>
          <w:p>
            <w:r>
              <w:t>10 margined; 20 unmargined</w:t>
            </w:r>
          </w:p>
        </w:tc>
        <w:tc>
          <w:tcPr>
            <w:tcW w:type="dxa" w:w="2880"/>
          </w:tcPr>
          <w:p>
            <w:r>
              <w:t>Lag between counterparty default and collateral replacement; drives CSA path delay</w:t>
            </w:r>
          </w:p>
        </w:tc>
      </w:tr>
      <w:tr>
        <w:tc>
          <w:tcPr>
            <w:tcW w:type="dxa" w:w="2880"/>
          </w:tcPr>
          <w:p>
            <w:r>
              <w:t>**Stress window**</w:t>
            </w:r>
          </w:p>
        </w:tc>
        <w:tc>
          <w:tcPr>
            <w:tcW w:type="dxa" w:w="2880"/>
          </w:tcPr>
          <w:p>
            <w:r>
              <w:t>2007-06-01 to 2009-06-30</w:t>
            </w:r>
          </w:p>
        </w:tc>
        <w:tc>
          <w:tcPr>
            <w:tcW w:type="dxa" w:w="2880"/>
          </w:tcPr>
          <w:p>
            <w:r>
              <w:t>BCBS-prescribed crisis calibration period for stressed EEPE</w:t>
            </w:r>
          </w:p>
        </w:tc>
      </w:tr>
      <w:tr>
        <w:tc>
          <w:tcPr>
            <w:tcW w:type="dxa" w:w="2880"/>
          </w:tcPr>
          <w:p>
            <w:r>
              <w:t>**Random seed**</w:t>
            </w:r>
          </w:p>
        </w:tc>
        <w:tc>
          <w:tcPr>
            <w:tcW w:type="dxa" w:w="2880"/>
          </w:tcPr>
          <w:p>
            <w:r>
              <w:t>42</w:t>
            </w:r>
          </w:p>
        </w:tc>
        <w:tc>
          <w:tcPr>
            <w:tcW w:type="dxa" w:w="2880"/>
          </w:tcPr>
          <w:p>
            <w:r>
              <w:t>Reproducibility for audit and regression testing</w:t>
            </w:r>
          </w:p>
        </w:tc>
      </w:tr>
      <w:tr>
        <w:tc>
          <w:tcPr>
            <w:tcW w:type="dxa" w:w="2880"/>
          </w:tcPr>
          <w:p>
            <w:r>
              <w:t>**Confidence Level**</w:t>
            </w:r>
          </w:p>
        </w:tc>
        <w:tc>
          <w:tcPr>
            <w:tcW w:type="dxa" w:w="2880"/>
          </w:tcPr>
          <w:p>
            <w:r>
              <w:t>95th percentile</w:t>
            </w:r>
          </w:p>
        </w:tc>
        <w:tc>
          <w:tcPr>
            <w:tcW w:type="dxa" w:w="2880"/>
          </w:tcPr>
          <w:p>
            <w:r>
              <w:t>For PFE profile reporting (not the EAD measure)</w:t>
            </w:r>
          </w:p>
        </w:tc>
      </w:tr>
    </w:tbl>
    <w:p>
      <w:pPr>
        <w:pStyle w:val="Heading3"/>
        <w:jc w:val="left"/>
      </w:pPr>
      <w:r>
        <w:t>8.2.5 Key Success Criteria</w:t>
      </w:r>
    </w:p>
    <w:p>
      <w:pPr>
        <w:pStyle w:val="ListBullet"/>
      </w:pPr>
      <w:r>
        <w:t>EEPE convergence: variance of EEPE &lt; 1% between 2,000 and 10,000 scenario runs</w:t>
      </w:r>
    </w:p>
    <w:p>
      <w:pPr>
        <w:pStyle w:val="ListBullet"/>
      </w:pPr>
      <w:r>
        <w:t>Stressed EAD consistently exceeds normal EAD (confirms crisis calibration is binding)</w:t>
      </w:r>
    </w:p>
    <w:p>
      <w:pPr>
        <w:pStyle w:val="ListBullet"/>
      </w:pPr>
      <w:r>
        <w:t>CSA-adjusted EAD &lt; uncollateralised EAD (confirms collateral benefit is captured)</w:t>
      </w:r>
    </w:p>
    <w:p>
      <w:pPr>
        <w:pStyle w:val="ListBullet"/>
      </w:pPr>
      <w:r>
        <w:t>IMM floor check: EAD_IMM_CSA &lt; 50% × EAD_SA-CCR triggers FALLBACK trace code logged with `REGULATORY_FLOOR|CRE53.5`</w:t>
      </w:r>
    </w:p>
    <w:p>
      <w:pPr>
        <w:pStyle w:val="ListBullet"/>
      </w:pPr>
      <w:r>
        <w:t>8/8 IMM unit tests pass including GBM, Hull-White, CSA path-level modelling</w:t>
      </w:r>
    </w:p>
    <w:p>
      <w:pPr>
        <w:pStyle w:val="Heading2"/>
        <w:jc w:val="left"/>
      </w:pPr>
      <w:r>
        <w:t>FR-003: A-IRB Credit Risk Engine — Advanced Internal Ratings-Based Approach</w:t>
      </w:r>
    </w:p>
    <w:p>
      <w:r>
        <w:rPr>
          <w:b/>
        </w:rPr>
        <w:t>Basel Standard:</w:t>
      </w:r>
      <w:r>
        <w:t xml:space="preserve"> CRE30–36</w:t>
      </w:r>
    </w:p>
    <w:p>
      <w:r>
        <w:rPr>
          <w:b/>
        </w:rPr>
        <w:t>Priority:</w:t>
      </w:r>
      <w:r>
        <w:t xml:space="preserve"> CRITICAL</w:t>
      </w:r>
    </w:p>
    <w:p>
      <w:r>
        <w:rPr>
          <w:b/>
        </w:rPr>
        <w:t>Owner:</w:t>
      </w:r>
      <w:r>
        <w:t xml:space="preserve"> Credit Risk Team</w:t>
      </w:r>
    </w:p>
    <w:p>
      <w:r>
        <w:rPr>
          <w:b/>
        </w:rPr>
        <w:t>File:</w:t>
      </w:r>
      <w:r>
        <w:t xml:space="preserve"> `backend/engines/a_irb.py`</w:t>
      </w:r>
    </w:p>
    <w:p>
      <w:pPr>
        <w:pStyle w:val="Heading3"/>
        <w:jc w:val="left"/>
      </w:pPr>
      <w:r>
        <w:t>8.3.1 Use Case</w:t>
      </w:r>
    </w:p>
    <w:p>
      <w:r>
        <w:t xml:space="preserve">The A-IRB engine calculates </w:t>
      </w:r>
      <w:r>
        <w:rPr>
          <w:b/>
        </w:rPr>
        <w:t>Credit RWA</w:t>
      </w:r>
      <w:r>
        <w:t xml:space="preserve"> for the banking book — loans, revolving facilities, mortgages, and other non-traded credit exposures. By using the bank's own internal estimates of PD, LGD, and EAD (subject to regulatory floors), A-IRB produces significantly more risk-sensitive capital requirements than the Credit Standardised Approach (CSA), typically reducing credit RWA by 25–40% for well-rated portfolios.</w:t>
      </w:r>
    </w:p>
    <w:p>
      <w:r>
        <w:t>The engine also supports:</w:t>
      </w:r>
    </w:p>
    <w:p>
      <w:pPr>
        <w:pStyle w:val="ListBullet"/>
      </w:pPr>
      <w:r>
        <w:t>**Double-default treatment** for CDS-protected exposures (CRE22), reducing capital for guaranteed credit</w:t>
      </w:r>
    </w:p>
    <w:p>
      <w:pPr>
        <w:pStyle w:val="ListBullet"/>
      </w:pPr>
      <w:r>
        <w:t>**EL shortfall calculation** (CRE35): if EL &gt; provisions, the shortfall deducts from CET1 capital</w:t>
      </w:r>
    </w:p>
    <w:p>
      <w:pPr>
        <w:pStyle w:val="ListBullet"/>
      </w:pPr>
      <w:r>
        <w:t>**SME adjustment**: lower correlation for SME obligors (CRE31.9), reducing SME capital requirements</w:t>
      </w:r>
    </w:p>
    <w:p>
      <w:pPr>
        <w:pStyle w:val="ListBullet"/>
      </w:pPr>
      <w:r>
        <w:t>**Sector-based correlation adjustments** for Financials, Real Estate, Retail, and other sectors</w:t>
      </w:r>
    </w:p>
    <w:p>
      <w:pPr>
        <w:pStyle w:val="Heading3"/>
        <w:jc w:val="left"/>
      </w:pPr>
      <w:r>
        <w:t>8.3.2 Basel Context</w:t>
      </w:r>
    </w:p>
    <w:p>
      <w:r>
        <w:t xml:space="preserve">The A-IRB approach under CRE31 is built on the </w:t>
      </w:r>
      <w:r>
        <w:rPr>
          <w:b/>
        </w:rPr>
        <w:t>Asymptotic Single Risk Factor (ASRF)</w:t>
      </w:r>
      <w:r>
        <w:t xml:space="preserve"> model. The key assumptions are:</w:t>
      </w:r>
    </w:p>
    <w:p>
      <w:pPr>
        <w:pStyle w:val="ListNumber"/>
      </w:pPr>
      <w:r>
        <w:t>All systematic risk derives from a single global factor (the state of the economy)</w:t>
      </w:r>
    </w:p>
    <w:p>
      <w:pPr>
        <w:pStyle w:val="ListNumber"/>
      </w:pPr>
      <w:r>
        <w:t>Idiosyncratic risk diversifies away in large portfolios</w:t>
      </w:r>
    </w:p>
    <w:p>
      <w:pPr>
        <w:pStyle w:val="ListNumber"/>
      </w:pPr>
      <w:r>
        <w:t>Correlations between borrowers are driven by their common exposure to the economic factor</w:t>
      </w:r>
    </w:p>
    <w:p>
      <w:r>
        <w:t>This model yields a closed-form capital formula, but at the cost of requiring banks to estimate PD and LGD with statistical rigour subject to:</w:t>
      </w:r>
    </w:p>
    <w:p>
      <w:pPr>
        <w:pStyle w:val="ListBullet"/>
      </w:pPr>
      <w:r>
        <w:t>**PD floor:** 0.03% (3 basis points) — CRE31.4</w:t>
      </w:r>
    </w:p>
    <w:p>
      <w:pPr>
        <w:pStyle w:val="ListBullet"/>
      </w:pPr>
      <w:r>
        <w:t>**LGD floor (unsecured):** 25% — CRE32</w:t>
      </w:r>
    </w:p>
    <w:p>
      <w:pPr>
        <w:pStyle w:val="ListBullet"/>
      </w:pPr>
      <w:r>
        <w:t>**Maturity floor/cap:** 1 year to 5 years</w:t>
      </w:r>
    </w:p>
    <w:p>
      <w:pPr>
        <w:pStyle w:val="Heading3"/>
        <w:jc w:val="left"/>
      </w:pPr>
      <w:r>
        <w:t>8.3.3 Functional Objective of Calculations</w:t>
      </w:r>
    </w:p>
    <w:p>
      <w:r>
        <w:rPr>
          <w:b/>
        </w:rPr>
        <w:t>Step 1 — Apply Regulatory Floors:</w:t>
      </w:r>
    </w:p>
    <w:p>
      <w:r>
        <w:t>$$PD_\text{adj} = \max(PD,\ 0.0003)$$</w:t>
      </w:r>
    </w:p>
    <w:p>
      <w:r>
        <w:t>$$LGD_\text{adj} = \max(LGD,\ 0.25) \quad \text{(unsecured)}$$</w:t>
      </w:r>
    </w:p>
    <w:p>
      <w:r>
        <w:rPr>
          <w:b/>
        </w:rPr>
        <w:t>Step 2 — Asset Correlation (CRE31.3):</w:t>
      </w:r>
    </w:p>
    <w:p>
      <w:r>
        <w:t>$$R = 0.12 \cdot \frac{1 - e^{-50 \cdot PD}}{1 - e^{-50}} + 0.24 \cdot \left[1 - \frac{1 - e^{-50 \cdot PD}}{1 - e^{-50}}\right]$$</w:t>
      </w:r>
    </w:p>
    <w:p>
      <w:r>
        <w:t>SME adjustment (if sales &lt; €50M):</w:t>
      </w:r>
    </w:p>
    <w:p>
      <w:r>
        <w:t>$$R_\text{SME} = R - 0.04 \cdot \left(1 - \frac{S - 5}{45}\right)$$</w:t>
      </w:r>
    </w:p>
    <w:p>
      <w:r>
        <w:rPr>
          <w:b/>
        </w:rPr>
        <w:t>Step 3 — Maturity Adjustment (CRE31.7):</w:t>
      </w:r>
    </w:p>
    <w:p>
      <w:r>
        <w:t>$$b = (0.11852 - 0.05478 \cdot \ln PD)^2$$</w:t>
      </w:r>
    </w:p>
    <w:p>
      <w:r>
        <w:t>$$M_\text{adj} = \min(\max(M,\ 1.0),\ 5.0)$$</w:t>
      </w:r>
    </w:p>
    <w:p>
      <w:r>
        <w:t>$$\text{MA} = \frac{1 + (M_\text{adj} - 2.5) \cdot b}{1 - 1.5 \cdot b}$$</w:t>
      </w:r>
    </w:p>
    <w:p>
      <w:r>
        <w:rPr>
          <w:b/>
        </w:rPr>
        <w:t>Step 4 — Capital Requirement (K):</w:t>
      </w:r>
    </w:p>
    <w:p>
      <w:r>
        <w:t>$$K = \left[LGD \cdot \Phi\!\left(\frac{\Phi^{-1}(PD)}{\sqrt{1 - R}} + \sqrt{\frac{R}{1-R}}\,\Phi^{-1}(0.999)\right) - PD \cdot LGD\right] \cdot \text{MA}$$</w:t>
      </w:r>
    </w:p>
    <w:p>
      <w:r>
        <w:rPr>
          <w:b/>
        </w:rPr>
        <w:t>Step 5 — RWA:</w:t>
      </w:r>
    </w:p>
    <w:p>
      <w:r>
        <w:t>$$\text{RWA} = K \times 12.5 \times \text{EAD}$$</w:t>
      </w:r>
    </w:p>
    <w:p>
      <w:r>
        <w:rPr>
          <w:b/>
        </w:rPr>
        <w:t>Step 6 — Expected Loss (EL) Shortfall (CRE35):</w:t>
      </w:r>
    </w:p>
    <w:p>
      <w:r>
        <w:t>$$\text{EL} = PD \times LGD \times \text{EAD}$$</w:t>
      </w:r>
    </w:p>
    <w:p>
      <w:r>
        <w:t>$$\text{Shortfall} = \max(\sum \text{EL} - \text{Provisions},\ 0)$$</w:t>
      </w:r>
    </w:p>
    <w:p>
      <w:pPr>
        <w:pStyle w:val="Heading3"/>
        <w:jc w:val="left"/>
      </w:pPr>
      <w:r>
        <w:t>8.3.4 Parameter Significance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Symbol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Regulatory Source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Significance</w:t>
            </w:r>
          </w:p>
        </w:tc>
      </w:tr>
      <w:tr>
        <w:tc>
          <w:tcPr>
            <w:tcW w:type="dxa" w:w="2160"/>
          </w:tcPr>
          <w:p>
            <w:r>
              <w:t>**Probability of Default**</w:t>
            </w:r>
          </w:p>
        </w:tc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Bank internal model (CRE36)</w:t>
            </w:r>
          </w:p>
        </w:tc>
        <w:tc>
          <w:tcPr>
            <w:tcW w:type="dxa" w:w="2160"/>
          </w:tcPr>
          <w:p>
            <w:r>
              <w:t>Annual probability borrower defaults; must be through-the-cycle (TTC) average; floored at 3bp</w:t>
            </w:r>
          </w:p>
        </w:tc>
      </w:tr>
      <w:tr>
        <w:tc>
          <w:tcPr>
            <w:tcW w:type="dxa" w:w="2160"/>
          </w:tcPr>
          <w:p>
            <w:r>
              <w:t>**Loss Given Default**</w:t>
            </w:r>
          </w:p>
        </w:tc>
        <w:tc>
          <w:tcPr>
            <w:tcW w:type="dxa" w:w="2160"/>
          </w:tcPr>
          <w:p>
            <w:r>
              <w:t>LGD</w:t>
            </w:r>
          </w:p>
        </w:tc>
        <w:tc>
          <w:tcPr>
            <w:tcW w:type="dxa" w:w="2160"/>
          </w:tcPr>
          <w:p>
            <w:r>
              <w:t>Bank internal model (CRE32)</w:t>
            </w:r>
          </w:p>
        </w:tc>
        <w:tc>
          <w:tcPr>
            <w:tcW w:type="dxa" w:w="2160"/>
          </w:tcPr>
          <w:p>
            <w:r>
              <w:t>Fraction of EAD lost if default occurs; reflects collateral quality, recovery seniority</w:t>
            </w:r>
          </w:p>
        </w:tc>
      </w:tr>
      <w:tr>
        <w:tc>
          <w:tcPr>
            <w:tcW w:type="dxa" w:w="2160"/>
          </w:tcPr>
          <w:p>
            <w:r>
              <w:t>**Effective Maturity**</w:t>
            </w:r>
          </w:p>
        </w:tc>
        <w:tc>
          <w:tcPr>
            <w:tcW w:type="dxa" w:w="2160"/>
          </w:tcPr>
          <w:p>
            <w:r>
              <w:t>M</w:t>
            </w:r>
          </w:p>
        </w:tc>
        <w:tc>
          <w:tcPr>
            <w:tcW w:type="dxa" w:w="2160"/>
          </w:tcPr>
          <w:p>
            <w:r>
              <w:t>CRE31.7</w:t>
            </w:r>
          </w:p>
        </w:tc>
        <w:tc>
          <w:tcPr>
            <w:tcW w:type="dxa" w:w="2160"/>
          </w:tcPr>
          <w:p>
            <w:r>
              <w:t>Weighted average cash-flow maturity; longer maturity → more uncertainty → higher capital</w:t>
            </w:r>
          </w:p>
        </w:tc>
      </w:tr>
      <w:tr>
        <w:tc>
          <w:tcPr>
            <w:tcW w:type="dxa" w:w="2160"/>
          </w:tcPr>
          <w:p>
            <w:r>
              <w:t>**Exposure at Default**</w:t>
            </w:r>
          </w:p>
        </w:tc>
        <w:tc>
          <w:tcPr>
            <w:tcW w:type="dxa" w:w="2160"/>
          </w:tcPr>
          <w:p>
            <w:r>
              <w:t>EAD</w:t>
            </w:r>
          </w:p>
        </w:tc>
        <w:tc>
          <w:tcPr>
            <w:tcW w:type="dxa" w:w="2160"/>
          </w:tcPr>
          <w:p>
            <w:r>
              <w:t>SA-CCR for derivatives; drawn + CCF × undrawn for loans</w:t>
            </w:r>
          </w:p>
        </w:tc>
        <w:tc>
          <w:tcPr>
            <w:tcW w:type="dxa" w:w="2160"/>
          </w:tcPr>
          <w:p>
            <w:r>
              <w:t>Amount exposed at the point of default, including unfunded commitment utilisation</w:t>
            </w:r>
          </w:p>
        </w:tc>
      </w:tr>
      <w:tr>
        <w:tc>
          <w:tcPr>
            <w:tcW w:type="dxa" w:w="2160"/>
          </w:tcPr>
          <w:p>
            <w:r>
              <w:t>**Asset Correlation**</w:t>
            </w:r>
          </w:p>
        </w:tc>
        <w:tc>
          <w:tcPr>
            <w:tcW w:type="dxa" w:w="2160"/>
          </w:tcPr>
          <w:p>
            <w:r>
              <w:t>R</w:t>
            </w:r>
          </w:p>
        </w:tc>
        <w:tc>
          <w:tcPr>
            <w:tcW w:type="dxa" w:w="2160"/>
          </w:tcPr>
          <w:p>
            <w:r>
              <w:t>CRE31.3</w:t>
            </w:r>
          </w:p>
        </w:tc>
        <w:tc>
          <w:tcPr>
            <w:tcW w:type="dxa" w:w="2160"/>
          </w:tcPr>
          <w:p>
            <w:r>
              <w:t>Sensitivity to common economic factor; high R = systemic risk; varies 12–24% across PD range</w:t>
            </w:r>
          </w:p>
        </w:tc>
      </w:tr>
      <w:tr>
        <w:tc>
          <w:tcPr>
            <w:tcW w:type="dxa" w:w="2160"/>
          </w:tcPr>
          <w:p>
            <w:r>
              <w:t>**PD floor**</w:t>
            </w:r>
          </w:p>
        </w:tc>
        <w:tc>
          <w:tcPr>
            <w:tcW w:type="dxa" w:w="2160"/>
          </w:tcPr>
          <w:p>
            <w:r>
              <w:t>0.0003</w:t>
            </w:r>
          </w:p>
        </w:tc>
        <w:tc>
          <w:tcPr>
            <w:tcW w:type="dxa" w:w="2160"/>
          </w:tcPr>
          <w:p>
            <w:r>
              <w:t>CRE31.4</w:t>
            </w:r>
          </w:p>
        </w:tc>
        <w:tc>
          <w:tcPr>
            <w:tcW w:type="dxa" w:w="2160"/>
          </w:tcPr>
          <w:p>
            <w:r>
              <w:t>Prevents unrealistically low PD estimates; 3bp is BCBS minimum for any non-sovereign borrower</w:t>
            </w:r>
          </w:p>
        </w:tc>
      </w:tr>
      <w:tr>
        <w:tc>
          <w:tcPr>
            <w:tcW w:type="dxa" w:w="2160"/>
          </w:tcPr>
          <w:p>
            <w:r>
              <w:t>**LGD floor (unsecured)**</w:t>
            </w:r>
          </w:p>
        </w:tc>
        <w:tc>
          <w:tcPr>
            <w:tcW w:type="dxa" w:w="2160"/>
          </w:tcPr>
          <w:p>
            <w:r>
              <w:t>0.25</w:t>
            </w:r>
          </w:p>
        </w:tc>
        <w:tc>
          <w:tcPr>
            <w:tcW w:type="dxa" w:w="2160"/>
          </w:tcPr>
          <w:p>
            <w:r>
              <w:t>CRE32</w:t>
            </w:r>
          </w:p>
        </w:tc>
        <w:tc>
          <w:tcPr>
            <w:tcW w:type="dxa" w:w="2160"/>
          </w:tcPr>
          <w:p>
            <w:r>
              <w:t>25% minimum LGD; prevents banks understating loss in default; covered bonds / secured may have lower LGD</w:t>
            </w:r>
          </w:p>
        </w:tc>
      </w:tr>
      <w:tr>
        <w:tc>
          <w:tcPr>
            <w:tcW w:type="dxa" w:w="2160"/>
          </w:tcPr>
          <w:p>
            <w:r>
              <w:t>**Maturity floor/cap**</w:t>
            </w:r>
          </w:p>
        </w:tc>
        <w:tc>
          <w:tcPr>
            <w:tcW w:type="dxa" w:w="2160"/>
          </w:tcPr>
          <w:p>
            <w:r>
              <w:t>1–5 years</w:t>
            </w:r>
          </w:p>
        </w:tc>
        <w:tc>
          <w:tcPr>
            <w:tcW w:type="dxa" w:w="2160"/>
          </w:tcPr>
          <w:p>
            <w:r>
              <w:t>CRE31.7</w:t>
            </w:r>
          </w:p>
        </w:tc>
        <w:tc>
          <w:tcPr>
            <w:tcW w:type="dxa" w:w="2160"/>
          </w:tcPr>
          <w:p>
            <w:r>
              <w:t>1-year floor prevents gaming with short-dated rollovers; 5-year cap prevents disproportionate long-maturity capital</w:t>
            </w:r>
          </w:p>
        </w:tc>
      </w:tr>
      <w:tr>
        <w:tc>
          <w:tcPr>
            <w:tcW w:type="dxa" w:w="2160"/>
          </w:tcPr>
          <w:p>
            <w:r>
              <w:t>**ASRF confidence level**</w:t>
            </w:r>
          </w:p>
        </w:tc>
        <w:tc>
          <w:tcPr>
            <w:tcW w:type="dxa" w:w="2160"/>
          </w:tcPr>
          <w:p>
            <w:r>
              <w:t>99.9%</w:t>
            </w:r>
          </w:p>
        </w:tc>
        <w:tc>
          <w:tcPr>
            <w:tcW w:type="dxa" w:w="2160"/>
          </w:tcPr>
          <w:p>
            <w:r>
              <w:t>CRE31.1</w:t>
            </w:r>
          </w:p>
        </w:tc>
        <w:tc>
          <w:tcPr>
            <w:tcW w:type="dxa" w:w="2160"/>
          </w:tcPr>
          <w:p>
            <w:r>
              <w:t>One-year capital held to cover 99.9% of credit losses; calibrated to 1-in-1000 year loss</w:t>
            </w:r>
          </w:p>
        </w:tc>
      </w:tr>
      <w:tr>
        <w:tc>
          <w:tcPr>
            <w:tcW w:type="dxa" w:w="2160"/>
          </w:tcPr>
          <w:p>
            <w:r>
              <w:t>**SME threshold**</w:t>
            </w:r>
          </w:p>
        </w:tc>
        <w:tc>
          <w:tcPr>
            <w:tcW w:type="dxa" w:w="2160"/>
          </w:tcPr>
          <w:p>
            <w:r>
              <w:t>€50M sales</w:t>
            </w:r>
          </w:p>
        </w:tc>
        <w:tc>
          <w:tcPr>
            <w:tcW w:type="dxa" w:w="2160"/>
          </w:tcPr>
          <w:p>
            <w:r>
              <w:t>CRE31.9</w:t>
            </w:r>
          </w:p>
        </w:tc>
        <w:tc>
          <w:tcPr>
            <w:tcW w:type="dxa" w:w="2160"/>
          </w:tcPr>
          <w:p>
            <w:r>
              <w:t>Obligors with &lt; €50M annual sales receive SME adjustment; reduces correlation → reduces capital</w:t>
            </w:r>
          </w:p>
        </w:tc>
      </w:tr>
      <w:tr>
        <w:tc>
          <w:tcPr>
            <w:tcW w:type="dxa" w:w="2160"/>
          </w:tcPr>
          <w:p>
            <w:r>
              <w:t>**Double-default factor**</w:t>
            </w:r>
          </w:p>
        </w:tc>
        <w:tc>
          <w:tcPr>
            <w:tcW w:type="dxa" w:w="2160"/>
          </w:tcPr>
          <w:p>
            <w:r>
              <w:t>p_g × p_o</w:t>
            </w:r>
          </w:p>
        </w:tc>
        <w:tc>
          <w:tcPr>
            <w:tcW w:type="dxa" w:w="2160"/>
          </w:tcPr>
          <w:p>
            <w:r>
              <w:t>CRE22</w:t>
            </w:r>
          </w:p>
        </w:tc>
        <w:tc>
          <w:tcPr>
            <w:tcW w:type="dxa" w:w="2160"/>
          </w:tcPr>
          <w:p>
            <w:r>
              <w:t>For CDS-protected exposures: probability that both the obligor AND guarantor default simultaneously; materially reduces K</w:t>
            </w:r>
          </w:p>
        </w:tc>
      </w:tr>
    </w:tbl>
    <w:p>
      <w:pPr>
        <w:pStyle w:val="Heading3"/>
        <w:jc w:val="left"/>
      </w:pPr>
      <w:r>
        <w:t>8.3.5 Key Success Criteria</w:t>
      </w:r>
    </w:p>
    <w:p>
      <w:pPr>
        <w:pStyle w:val="ListBullet"/>
      </w:pPr>
      <w:r>
        <w:t>Capital requirement K matches Basel CRE31 formula output within numerical precision (&lt; 0.001%)</w:t>
      </w:r>
    </w:p>
    <w:p>
      <w:pPr>
        <w:pStyle w:val="ListBullet"/>
      </w:pPr>
      <w:r>
        <w:t>SME adjustment correctly reduces RWA for eligible obligors</w:t>
      </w:r>
    </w:p>
    <w:p>
      <w:pPr>
        <w:pStyle w:val="ListBullet"/>
      </w:pPr>
      <w:r>
        <w:t>Double-default K is strictly less than single-name K for the same exposure</w:t>
      </w:r>
    </w:p>
    <w:p>
      <w:pPr>
        <w:pStyle w:val="ListBullet"/>
      </w:pPr>
      <w:r>
        <w:t>EL shortfall correctly triggers CET1 deduction when shortfall &gt; 0</w:t>
      </w:r>
    </w:p>
    <w:p>
      <w:pPr>
        <w:pStyle w:val="ListBullet"/>
      </w:pPr>
      <w:r>
        <w:t>PD and LGD floor flags are recorded for each exposure in the trade results</w:t>
      </w:r>
    </w:p>
    <w:p>
      <w:pPr>
        <w:pStyle w:val="ListBullet"/>
      </w:pPr>
      <w:r>
        <w:t>10/10 A-IRB unit tests covering corporate, SME, secured, unsecured, and double-default pass</w:t>
      </w:r>
    </w:p>
    <w:p>
      <w:pPr>
        <w:pStyle w:val="Heading2"/>
        <w:jc w:val="left"/>
      </w:pPr>
      <w:r>
        <w:t>FR-004: FRTB Market Risk Engine — Fundamental Review of the Trading Book</w:t>
      </w:r>
    </w:p>
    <w:p>
      <w:r>
        <w:rPr>
          <w:b/>
        </w:rPr>
        <w:t>Basel Standard:</w:t>
      </w:r>
      <w:r>
        <w:t xml:space="preserve"> MAR20–33</w:t>
      </w:r>
    </w:p>
    <w:p>
      <w:r>
        <w:rPr>
          <w:b/>
        </w:rPr>
        <w:t>Priority:</w:t>
      </w:r>
      <w:r>
        <w:t xml:space="preserve"> CRITICAL</w:t>
      </w:r>
    </w:p>
    <w:p>
      <w:r>
        <w:rPr>
          <w:b/>
        </w:rPr>
        <w:t>Owner:</w:t>
      </w:r>
      <w:r>
        <w:t xml:space="preserve"> Market Risk Team</w:t>
      </w:r>
    </w:p>
    <w:p>
      <w:r>
        <w:rPr>
          <w:b/>
        </w:rPr>
        <w:t>File:</w:t>
      </w:r>
      <w:r>
        <w:t xml:space="preserve"> `backend/engines/frtb.py` (1,710 lines)</w:t>
      </w:r>
    </w:p>
    <w:p>
      <w:pPr>
        <w:pStyle w:val="Heading3"/>
        <w:jc w:val="left"/>
      </w:pPr>
      <w:r>
        <w:t>8.4.1 Use Case</w:t>
      </w:r>
    </w:p>
    <w:p>
      <w:r>
        <w:t xml:space="preserve">The FRTB engine calculates </w:t>
      </w:r>
      <w:r>
        <w:rPr>
          <w:b/>
        </w:rPr>
        <w:t>Market Risk Capital</w:t>
      </w:r>
      <w:r>
        <w:t xml:space="preserve"> for the trading book. It implements both the Sensitivities-Based Method (SBM) and the Internal Models Approach (IMA) per MAR21–33, along with the Default Risk Charge (DRC), Residual Risk Add-On (RRAO), and a full backtesting framework under MAR99.</w:t>
      </w:r>
    </w:p>
    <w:p>
      <w:r>
        <w:t>The engine applies across all major risk classes:</w:t>
      </w:r>
    </w:p>
    <w:p>
      <w:pPr>
        <w:pStyle w:val="ListBullet"/>
      </w:pPr>
      <w:r>
        <w:t>**GIRR:** General Interest Rate Risk (tenor-based sensitivity)</w:t>
      </w:r>
    </w:p>
    <w:p>
      <w:pPr>
        <w:pStyle w:val="ListBullet"/>
      </w:pPr>
      <w:r>
        <w:t>**CSR_NS:** Credit Spread Risk — Non-Securitised</w:t>
      </w:r>
    </w:p>
    <w:p>
      <w:pPr>
        <w:pStyle w:val="ListBullet"/>
      </w:pPr>
      <w:r>
        <w:t>**CSR_SEC:** Credit Spread Risk — Securitised</w:t>
      </w:r>
    </w:p>
    <w:p>
      <w:pPr>
        <w:pStyle w:val="ListBullet"/>
      </w:pPr>
      <w:r>
        <w:t>**EQ:** Equity Risk (large-cap and small-cap)</w:t>
      </w:r>
    </w:p>
    <w:p>
      <w:pPr>
        <w:pStyle w:val="ListBullet"/>
      </w:pPr>
      <w:r>
        <w:t>**FX:** Foreign Exchange Risk</w:t>
      </w:r>
    </w:p>
    <w:p>
      <w:pPr>
        <w:pStyle w:val="ListBullet"/>
      </w:pPr>
      <w:r>
        <w:t>**CMDTY:** Commodity Risk (energy, metals, agriculture, other)</w:t>
      </w:r>
    </w:p>
    <w:p>
      <w:r>
        <w:t xml:space="preserve">The engine also features </w:t>
      </w:r>
      <w:r>
        <w:rPr>
          <w:b/>
        </w:rPr>
        <w:t>real-time market condition integration</w:t>
      </w:r>
      <w:r>
        <w:t xml:space="preserve"> (`MarketRegime`, `DynamicParameterAdjustment`) that scales risk weights and correlations based on live VIX, HY spreads, and equity volatility — implementing a counter-cyclical buffer directly in the risk weight calculus.</w:t>
      </w:r>
    </w:p>
    <w:p>
      <w:pPr>
        <w:pStyle w:val="Heading3"/>
        <w:jc w:val="left"/>
      </w:pPr>
      <w:r>
        <w:t>8.4.2 Basel Context</w:t>
      </w:r>
    </w:p>
    <w:p>
      <w:r>
        <w:t>FRTB (Fundamental Review of the Trading Book) was introduced by BCBS in response to the Global Financial Crisis (2007–09), during which the pre-existing market risk framework (based on Value-at-Risk) proved inadequate. Key FRTB design principles:</w:t>
      </w:r>
    </w:p>
    <w:p>
      <w:pPr>
        <w:pStyle w:val="ListNumber"/>
      </w:pPr>
      <w:r>
        <w:t>**Expected Shortfall (ES) replaces VaR** — ES is a coherent risk measure that captures tail risk beyond VaR; used at 97.5% confidence for IMA</w:t>
      </w:r>
    </w:p>
    <w:p>
      <w:pPr>
        <w:pStyle w:val="ListNumber"/>
      </w:pPr>
      <w:r>
        <w:t>**Sensitivities-based SBM** replaces the original SA market risk approach — provides more granular, risk-sensitive capital</w:t>
      </w:r>
    </w:p>
    <w:p>
      <w:pPr>
        <w:pStyle w:val="ListNumber"/>
      </w:pPr>
      <w:r>
        <w:t>**Desk-level IMA approval** — the regulator approves individual trading desks, not the entire book; desks failing the PLA test revert to SBM</w:t>
      </w:r>
    </w:p>
    <w:p>
      <w:pPr>
        <w:pStyle w:val="ListNumber"/>
      </w:pPr>
      <w:r>
        <w:t>**Three correlation scenarios** — SBM is computed under low, medium, and high correlation scenarios and the worst case is taken; prevents correlation arbitrage</w:t>
      </w:r>
    </w:p>
    <w:p>
      <w:pPr>
        <w:pStyle w:val="ListNumber"/>
      </w:pPr>
      <w:r>
        <w:t>**Liquidity horizons** — different risk factors are assigned different liquidity horizons (10–120 days) reflecting how long it takes to exit positions</w:t>
      </w:r>
    </w:p>
    <w:p>
      <w:pPr>
        <w:pStyle w:val="Heading3"/>
        <w:jc w:val="left"/>
      </w:pPr>
      <w:r>
        <w:t>8.4.3 Functional Objective of Calculations</w:t>
      </w:r>
    </w:p>
    <w:p>
      <w:pPr>
        <w:pStyle w:val="Heading3"/>
        <w:jc w:val="left"/>
      </w:pPr>
      <w:r>
        <w:t>A. Sensitivities-Based Method (SBM) — MAR21–25</w:t>
      </w:r>
    </w:p>
    <w:p>
      <w:r>
        <w:rPr>
          <w:b/>
        </w:rPr>
        <w:t>Weighted Sensitivity:</w:t>
      </w:r>
    </w:p>
    <w:p>
      <w:r>
        <w:t>$$WS_k = RW_k \times s_k$$</w:t>
      </w:r>
    </w:p>
    <w:p>
      <w:r>
        <w:rPr>
          <w:b/>
        </w:rPr>
        <w:t>Intra-bucket aggregation (Delta per risk class and bucket b):</w:t>
      </w:r>
    </w:p>
    <w:p>
      <w:r>
        <w:t>$$K_b = \sqrt{\sum_k WS_k^2 + \sum_{k \neq l} \rho_{kl} \cdot WS_k \cdot WS_l}$$</w:t>
      </w:r>
    </w:p>
    <w:p>
      <w:r>
        <w:rPr>
          <w:b/>
        </w:rPr>
        <w:t>Inter-bucket aggregation (across buckets within risk class):</w:t>
      </w:r>
    </w:p>
    <w:p>
      <w:r>
        <w:t>$$\Delta = \sqrt{\sum_b K_b^2 + \sum_{b \neq c} \gamma_{bc} \cdot K_b \cdot K_c}$$</w:t>
      </w:r>
    </w:p>
    <w:p>
      <w:r>
        <w:rPr>
          <w:b/>
        </w:rPr>
        <w:t>Regulatory Floor (MAR21.100):</w:t>
      </w:r>
    </w:p>
    <w:p>
      <w:r>
        <w:t>$$\text{SBM}_\text{delta} = \max\!\left(\Delta,\; \sum_k |WS_k|\right)$$</w:t>
      </w:r>
    </w:p>
    <w:p>
      <w:r>
        <w:rPr>
          <w:b/>
        </w:rPr>
        <w:t>Three correlation scenarios (MAR21.6):</w:t>
      </w:r>
    </w:p>
    <w:p>
      <w:pPr>
        <w:pStyle w:val="ListBullet"/>
      </w:pPr>
      <w:r>
        <w:t>**Low:** $\rho_\text{low} = \max(2\rho - 1,\; 0.5625\rho,\; 0)$</w:t>
      </w:r>
    </w:p>
    <w:p>
      <w:pPr>
        <w:pStyle w:val="ListBullet"/>
      </w:pPr>
      <w:r>
        <w:t>**Medium:** $\rho_\text{med} = \rho$</w:t>
      </w:r>
    </w:p>
    <w:p>
      <w:pPr>
        <w:pStyle w:val="ListBullet"/>
      </w:pPr>
      <w:r>
        <w:t>**High:** $\rho_\text{high} = \min(\rho + 0.25(1 - |\rho|),\; 1)$</w:t>
      </w:r>
    </w:p>
    <w:p>
      <w:r>
        <w:t xml:space="preserve">The capital charge is the </w:t>
      </w:r>
      <w:r>
        <w:rPr>
          <w:b/>
        </w:rPr>
        <w:t>maximum</w:t>
      </w:r>
      <w:r>
        <w:t xml:space="preserve"> across all three scenarios.</w:t>
      </w:r>
    </w:p>
    <w:p>
      <w:r>
        <w:rPr>
          <w:b/>
        </w:rPr>
        <w:t>Total SBM:</w:t>
      </w:r>
    </w:p>
    <w:p>
      <w:r>
        <w:t>$$\text{SBM}_\text{total} = \text{SBM}_\text{delta} + \text{SBM}_\text{vega} + \text{SBM}_\text{curvature}$$</w:t>
      </w:r>
    </w:p>
    <w:p>
      <w:pPr>
        <w:pStyle w:val="Heading3"/>
        <w:jc w:val="left"/>
      </w:pPr>
      <w:r>
        <w:t>B. Internal Models Approach (IMA) — MAR33</w:t>
      </w:r>
    </w:p>
    <w:p>
      <w:r>
        <w:rPr>
          <w:b/>
        </w:rPr>
        <w:t>Expected Shortfall:</w:t>
      </w:r>
    </w:p>
    <w:p>
      <w:r>
        <w:t>$$\text{ES}_{97.5\%} = -\text{Percentile}(\text{P\&amp;L},\; 2.5\%)$$</w:t>
      </w:r>
    </w:p>
    <w:p>
      <w:r>
        <w:rPr>
          <w:b/>
        </w:rPr>
        <w:t>Liquidity Horizon Adjustment (MAR33.4):</w:t>
      </w:r>
    </w:p>
    <w:p>
      <w:r>
        <w:t>$$\text{ES}_{10d} = \text{ES}_{1d} \times \sqrt{10}$$</w:t>
      </w:r>
    </w:p>
    <w:p>
      <w:r>
        <w:rPr>
          <w:b/>
        </w:rPr>
        <w:t>Stressed ES Calibration:</w:t>
      </w:r>
    </w:p>
    <w:p>
      <w:r>
        <w:t>$$\text{ES}_\text{stressed} = \text{ES from the worst 12-month window in 2007–2009 data}$$</w:t>
      </w:r>
    </w:p>
    <w:p>
      <w:r>
        <w:rPr>
          <w:b/>
        </w:rPr>
        <w:t>Total IMA:</w:t>
      </w:r>
    </w:p>
    <w:p>
      <w:r>
        <w:t>$$\text{IMA} = \max(\text{ES}_{10d},\; \text{ES}_\text{stressed})$$</w:t>
      </w:r>
    </w:p>
    <w:p>
      <w:pPr>
        <w:pStyle w:val="Heading3"/>
        <w:jc w:val="left"/>
      </w:pPr>
      <w:r>
        <w:t>C. Default Risk Charge (DRC) — MAR22</w:t>
      </w:r>
    </w:p>
    <w:p>
      <w:r>
        <w:t>$$\text{DRC} = \sum_i \text{LGD}_i \times \text{Notional}_i \times P(\text{JTD}_i)$$</w:t>
      </w:r>
    </w:p>
    <w:p>
      <w:r>
        <w:t>Jump-to-Default probability applies regulatory net long/short positions across rating buckets.</w:t>
      </w:r>
    </w:p>
    <w:p>
      <w:pPr>
        <w:pStyle w:val="Heading3"/>
        <w:jc w:val="left"/>
      </w:pPr>
      <w:r>
        <w:t>D. Residual Risk Add-On (RRAO) — MAR23.5</w:t>
      </w:r>
    </w:p>
    <w:p>
      <w:r>
        <w:t>$$\text{RRAO} = 1.0\% \times N_\text{exotic} + 0.1\% \times N_\text{residual}$$</w:t>
      </w:r>
    </w:p>
    <w:p>
      <w:r>
        <w:t>where $N_\text{exotic}$ is total gross notional of instruments with exotic underlyings, and $N_\text{residual}$ is gross notional with gap/correlation/behavioural risk.</w:t>
      </w:r>
    </w:p>
    <w:p>
      <w:pPr>
        <w:pStyle w:val="Heading3"/>
        <w:jc w:val="left"/>
      </w:pPr>
      <w:r>
        <w:t>E. Total Market Risk Capital:</w:t>
      </w:r>
    </w:p>
    <w:p>
      <w:r>
        <w:t>$$\text{Capital}_\text{market} = \text{SBM}_\text{total} + \text{IMA} + \text{DRC} + \text{RRAO}$$</w:t>
      </w:r>
    </w:p>
    <w:p>
      <w:r>
        <w:t>$$\text{RWA}_\text{market} = \text{Capital}_\text{market} \times 12.5$$</w:t>
      </w:r>
    </w:p>
    <w:p>
      <w:pPr>
        <w:pStyle w:val="Heading3"/>
        <w:jc w:val="left"/>
      </w:pPr>
      <w:r>
        <w:t>8.4.4 Parameter Significance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Significance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</w:r>
          </w:p>
        </w:tc>
      </w:tr>
      <w:tr>
        <w:tc>
          <w:tcPr>
            <w:tcW w:type="dxa" w:w="1728"/>
          </w:tcPr>
          <w:p>
            <w:r>
              <w:t>**Delta Risk Weights (GIRR)**</w:t>
            </w:r>
          </w:p>
        </w:tc>
        <w:tc>
          <w:tcPr>
            <w:tcW w:type="dxa" w:w="1728"/>
          </w:tcPr>
          <w:p>
            <w:r>
              <w:t>1.1%–1.8% by tenor</w:t>
            </w:r>
          </w:p>
        </w:tc>
        <w:tc>
          <w:tcPr>
            <w:tcW w:type="dxa" w:w="1728"/>
          </w:tcPr>
          <w:p>
            <w:r>
              <w:t>Prescribed sensitivity of 1bp rate move to capital; higher for short and very long tenors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**Delta Risk Weights (FX)**</w:t>
            </w:r>
          </w:p>
        </w:tc>
        <w:tc>
          <w:tcPr>
            <w:tcW w:type="dxa" w:w="1728"/>
          </w:tcPr>
          <w:p>
            <w:r>
              <w:t>15%</w:t>
            </w:r>
          </w:p>
        </w:tc>
        <w:tc>
          <w:tcPr>
            <w:tcW w:type="dxa" w:w="1728"/>
          </w:tcPr>
          <w:p>
            <w:r>
              <w:t>Calibrated to observed FX volatility; all currency pairs treated equally under SBM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**Delta Risk Weights (EQ Large)**</w:t>
            </w:r>
          </w:p>
        </w:tc>
        <w:tc>
          <w:tcPr>
            <w:tcW w:type="dxa" w:w="1728"/>
          </w:tcPr>
          <w:p>
            <w:r>
              <w:t>30%–70% by sector/bucket</w:t>
            </w:r>
          </w:p>
        </w:tc>
        <w:tc>
          <w:tcPr>
            <w:tcW w:type="dxa" w:w="1728"/>
          </w:tcPr>
          <w:p>
            <w:r>
              <w:t>Reflects equity volatility by sector; emerging markets (bucket 8) highest at 70%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**Delta Risk Weights (CMDTY)**</w:t>
            </w:r>
          </w:p>
        </w:tc>
        <w:tc>
          <w:tcPr>
            <w:tcW w:type="dxa" w:w="1728"/>
          </w:tcPr>
          <w:p>
            <w:r>
              <w:t>16%–80% by commodity type</w:t>
            </w:r>
          </w:p>
        </w:tc>
        <w:tc>
          <w:tcPr>
            <w:tcW w:type="dxa" w:w="1728"/>
          </w:tcPr>
          <w:p>
            <w:r>
              <w:t>Energy (bucket 3) highest at 60%; agriculture (buckets 13–15) lower at 18%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**Vega Risk Weights**</w:t>
            </w:r>
          </w:p>
        </w:tc>
        <w:tc>
          <w:tcPr>
            <w:tcW w:type="dxa" w:w="1728"/>
          </w:tcPr>
          <w:p>
            <w:r>
              <w:t>GIRR: 55%, EQ: 78%, FX: 47%, CMDTY: 100%</w:t>
            </w:r>
          </w:p>
        </w:tc>
        <w:tc>
          <w:tcPr>
            <w:tcW w:type="dxa" w:w="1728"/>
          </w:tcPr>
          <w:p>
            <w:r>
              <w:t>Reflects implied vol market liquidity; CMDTY at 100% due to low vol-of-vol liquidity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**Intra-bucket correlation (GIRR)**</w:t>
            </w:r>
          </w:p>
        </w:tc>
        <w:tc>
          <w:tcPr>
            <w:tcW w:type="dxa" w:w="1728"/>
          </w:tcPr>
          <w:p>
            <w:r>
              <w:t>Tenor-gap: exp(−0.03·</w:t>
            </w:r>
          </w:p>
        </w:tc>
        <w:tc>
          <w:tcPr>
            <w:tcW w:type="dxa" w:w="1728"/>
          </w:tcPr>
          <w:p>
            <w:r>
              <w:t>ln(t₁/t₂)</w:t>
            </w:r>
          </w:p>
        </w:tc>
        <w:tc>
          <w:tcPr>
            <w:tcW w:type="dxa" w:w="1728"/>
          </w:tcPr>
          <w:p>
            <w:r>
              <w:t>)</w:t>
            </w:r>
          </w:p>
        </w:tc>
        <w:tc>
          <w:tcPr>
            <w:tcW w:type="dxa" w:w="1728"/>
          </w:tcPr>
          <w:p>
            <w:r>
              <w:t>Exponential decay with tenor-gap distance; close tenors highly correlated</w:t>
            </w:r>
          </w:p>
        </w:tc>
      </w:tr>
      <w:tr>
        <w:tc>
          <w:tcPr>
            <w:tcW w:type="dxa" w:w="1728"/>
          </w:tcPr>
          <w:p>
            <w:r>
              <w:t>**Intra-bucket correlation (EQ)**</w:t>
            </w:r>
          </w:p>
        </w:tc>
        <w:tc>
          <w:tcPr>
            <w:tcW w:type="dxa" w:w="1728"/>
          </w:tcPr>
          <w:p>
            <w:r>
              <w:t>15%</w:t>
            </w:r>
          </w:p>
        </w:tc>
        <w:tc>
          <w:tcPr>
            <w:tcW w:type="dxa" w:w="1728"/>
          </w:tcPr>
          <w:p>
            <w:r>
              <w:t>Low intra-bucket correlation; individual stock risk diversifies within sector bucket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**Inter-bucket correlation (GIRR)**</w:t>
            </w:r>
          </w:p>
        </w:tc>
        <w:tc>
          <w:tcPr>
            <w:tcW w:type="dxa" w:w="1728"/>
          </w:tcPr>
          <w:p>
            <w:r>
              <w:t>50%</w:t>
            </w:r>
          </w:p>
        </w:tc>
        <w:tc>
          <w:tcPr>
            <w:tcW w:type="dxa" w:w="1728"/>
          </w:tcPr>
          <w:p>
            <w:r>
              <w:t>Cross-currency rate correlation; key for multi-currency trading books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**Inter-bucket correlation (CSR_NS)**</w:t>
            </w:r>
          </w:p>
        </w:tc>
        <w:tc>
          <w:tcPr>
            <w:tcW w:type="dxa" w:w="1728"/>
          </w:tcPr>
          <w:p>
            <w:r>
              <w:t>0%</w:t>
            </w:r>
          </w:p>
        </w:tc>
        <w:tc>
          <w:tcPr>
            <w:tcW w:type="dxa" w:w="1728"/>
          </w:tcPr>
          <w:p>
            <w:r>
              <w:t>Different credit sectors treated as uncorrelated; no diversification benefit across sectors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**Curvature CVR**</w:t>
            </w:r>
          </w:p>
        </w:tc>
        <w:tc>
          <w:tcPr>
            <w:tcW w:type="dxa" w:w="1728"/>
          </w:tcPr>
          <w:p>
            <w:r>
              <w:t>CVR_k = −min(CVR_up, CVR_dn, 0)</w:t>
            </w:r>
          </w:p>
        </w:tc>
        <w:tc>
          <w:tcPr>
            <w:tcW w:type="dxa" w:w="1728"/>
          </w:tcPr>
          <w:p>
            <w:r>
              <w:t>Captures convexity risk from non-linear instruments (options); asymmetric P&amp;L from rate shifts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**Stressed ES multiplier**</w:t>
            </w:r>
          </w:p>
        </w:tc>
        <w:tc>
          <w:tcPr>
            <w:tcW w:type="dxa" w:w="1728"/>
          </w:tcPr>
          <w:p>
            <w:r>
              <w:t>1.5 (`ima_multiplier`)</w:t>
            </w:r>
          </w:p>
        </w:tc>
        <w:tc>
          <w:tcPr>
            <w:tcW w:type="dxa" w:w="1728"/>
          </w:tcPr>
          <w:p>
            <w:r>
              <w:t>IMA capital floored at 1.5× current ES when model underperforms in backtesting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**NMRF charge**</w:t>
            </w:r>
          </w:p>
        </w:tc>
        <w:tc>
          <w:tcPr>
            <w:tcW w:type="dxa" w:w="1728"/>
          </w:tcPr>
          <w:p>
            <w:r>
              <w:t>0.15% of average notional</w:t>
            </w:r>
          </w:p>
        </w:tc>
        <w:tc>
          <w:tcPr>
            <w:tcW w:type="dxa" w:w="1728"/>
          </w:tcPr>
          <w:p>
            <w:r>
              <w:t>Non-Modellable Risk Factor charge per MAR31.14; assets with insufficient price history get individual ES stress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**Confidence level**</w:t>
            </w:r>
          </w:p>
        </w:tc>
        <w:tc>
          <w:tcPr>
            <w:tcW w:type="dxa" w:w="1728"/>
          </w:tcPr>
          <w:p>
            <w:r>
              <w:t>97.5% (ES)</w:t>
            </w:r>
          </w:p>
        </w:tc>
        <w:tc>
          <w:tcPr>
            <w:tcW w:type="dxa" w:w="1728"/>
          </w:tcPr>
          <w:p>
            <w:r>
              <w:t>Tail risk measure; captures average loss in the worst 2.5% of scenarios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**Holding period**</w:t>
            </w:r>
          </w:p>
        </w:tc>
        <w:tc>
          <w:tcPr>
            <w:tcW w:type="dxa" w:w="1728"/>
          </w:tcPr>
          <w:p>
            <w:r>
              <w:t>10 days</w:t>
            </w:r>
          </w:p>
        </w:tc>
        <w:tc>
          <w:tcPr>
            <w:tcW w:type="dxa" w:w="1728"/>
          </w:tcPr>
          <w:p>
            <w:r>
              <w:t>Minimum regulatory horizon; extended for illiquid risk factors (up to 120 days for complex credit)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**Backtesting window**</w:t>
            </w:r>
          </w:p>
        </w:tc>
        <w:tc>
          <w:tcPr>
            <w:tcW w:type="dxa" w:w="1728"/>
          </w:tcPr>
          <w:p>
            <w:r>
              <w:t>260 days</w:t>
            </w:r>
          </w:p>
        </w:tc>
        <w:tc>
          <w:tcPr>
            <w:tcW w:type="dxa" w:w="1728"/>
          </w:tcPr>
          <w:p>
            <w:r>
              <w:t>One calendar year of trading days for traffic-light assessment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/>
          </w:p>
        </w:tc>
      </w:tr>
    </w:tbl>
    <w:p>
      <w:pPr>
        <w:pStyle w:val="Heading3"/>
        <w:jc w:val="left"/>
      </w:pPr>
      <w:r>
        <w:t>8.4.5 Key Success Criteria</w:t>
      </w:r>
    </w:p>
    <w:p>
      <w:pPr>
        <w:pStyle w:val="ListBullet"/>
      </w:pPr>
      <w:r>
        <w:t>SBM delta charge is non-negative and passes the regulatory floor (MAR21.100) check</w:t>
      </w:r>
    </w:p>
    <w:p>
      <w:pPr>
        <w:pStyle w:val="ListBullet"/>
      </w:pPr>
      <w:r>
        <w:t>Three-scenario correlation framework produces the maximum-charge scenario as the result</w:t>
      </w:r>
    </w:p>
    <w:p>
      <w:pPr>
        <w:pStyle w:val="ListBullet"/>
      </w:pPr>
      <w:r>
        <w:t>IMA ES correctly identifies the worst 2.5th percentile of the 260-day P&amp;L distribution</w:t>
      </w:r>
    </w:p>
    <w:p>
      <w:pPr>
        <w:pStyle w:val="ListBullet"/>
      </w:pPr>
      <w:r>
        <w:t>Stressed ES &gt; current ES (confirms stressed calibration is more severe)</w:t>
      </w:r>
    </w:p>
    <w:p>
      <w:pPr>
        <w:pStyle w:val="ListBullet"/>
      </w:pPr>
      <w:r>
        <w:t>GIRR intra-bucket correlations follow the tenor-gap exponential decay formula</w:t>
      </w:r>
    </w:p>
    <w:p>
      <w:pPr>
        <w:pStyle w:val="ListBullet"/>
      </w:pPr>
      <w:r>
        <w:t>Backtesting traffic-light zone is correctly classified (Green/Amber/Red) based on exception count</w:t>
      </w:r>
    </w:p>
    <w:p>
      <w:pPr>
        <w:pStyle w:val="ListBullet"/>
      </w:pPr>
      <w:r>
        <w:t>PLA test zone (MAR32) is computed and surfaced in `FRTBResult.pla_zone`</w:t>
      </w:r>
    </w:p>
    <w:p>
      <w:pPr>
        <w:pStyle w:val="ListBullet"/>
      </w:pPr>
      <w:r>
        <w:t>Dynamic market condition adjustment scales risk weights upward during VIX &gt; 40 (crisis regime)</w:t>
      </w:r>
    </w:p>
    <w:p>
      <w:pPr>
        <w:pStyle w:val="ListBullet"/>
      </w:pPr>
      <w:r>
        <w:t>6/6 SBM/IMA/DRC unit tests pass; zero type errors under Pylance strict mode</w:t>
      </w:r>
    </w:p>
    <w:p>
      <w:pPr>
        <w:pStyle w:val="Heading2"/>
        <w:jc w:val="left"/>
      </w:pPr>
      <w:r>
        <w:t>FR-005: CVA Risk Engine — Credit Valuation Adjustment</w:t>
      </w:r>
    </w:p>
    <w:p>
      <w:r>
        <w:rPr>
          <w:b/>
        </w:rPr>
        <w:t>Basel Standard:</w:t>
      </w:r>
      <w:r>
        <w:t xml:space="preserve"> MAR50</w:t>
      </w:r>
    </w:p>
    <w:p>
      <w:r>
        <w:rPr>
          <w:b/>
        </w:rPr>
        <w:t>Priority:</w:t>
      </w:r>
      <w:r>
        <w:t xml:space="preserve"> HIGH</w:t>
      </w:r>
    </w:p>
    <w:p>
      <w:r>
        <w:rPr>
          <w:b/>
        </w:rPr>
        <w:t>Owner:</w:t>
      </w:r>
      <w:r>
        <w:t xml:space="preserve"> CVA Desk</w:t>
      </w:r>
    </w:p>
    <w:p>
      <w:r>
        <w:rPr>
          <w:b/>
        </w:rPr>
        <w:t>File:</w:t>
      </w:r>
      <w:r>
        <w:t xml:space="preserve"> `backend/engines/cva.py`</w:t>
      </w:r>
    </w:p>
    <w:p>
      <w:pPr>
        <w:pStyle w:val="Heading3"/>
        <w:jc w:val="left"/>
      </w:pPr>
      <w:r>
        <w:t>8.5.1 Use Case</w:t>
      </w:r>
    </w:p>
    <w:p>
      <w:r>
        <w:t xml:space="preserve">The CVA Risk engine calculates regulatory capital against </w:t>
      </w:r>
      <w:r>
        <w:rPr>
          <w:b/>
        </w:rPr>
        <w:t>CVA Volatility Risk</w:t>
      </w:r>
      <w:r>
        <w:t xml:space="preserve"> — the risk that the mark-to-model CVA of a derivatives portfolio moves adversely due to changes in counterparty credit quality (CDS spreads) or market factors. CVA capital was introduced after the financial crisis, as roughly two-thirds of financial-crisis CCR losses came from CVA P&amp;L volatility rather than actual defaults.</w:t>
      </w:r>
    </w:p>
    <w:p>
      <w:r>
        <w:t>The engine supports two approaches:</w:t>
      </w:r>
    </w:p>
    <w:p>
      <w:pPr>
        <w:pStyle w:val="ListBullet"/>
      </w:pPr>
      <w:r>
        <w:t>**BA-CVA (Basic Approach):** Always available; simpler EAD-based formula; used as fallback</w:t>
      </w:r>
    </w:p>
    <w:p>
      <w:pPr>
        <w:pStyle w:val="ListBullet"/>
      </w:pPr>
      <w:r>
        <w:t>**SA-CVA (Standardised Approach):** Requires supervisory approval; sensitivity-based; more risk-sensitive</w:t>
      </w:r>
    </w:p>
    <w:p>
      <w:pPr>
        <w:pStyle w:val="Heading3"/>
        <w:jc w:val="left"/>
      </w:pPr>
      <w:r>
        <w:t>8.5.2 Basel Context</w:t>
      </w:r>
    </w:p>
    <w:p>
      <w:r>
        <w:t>MAR50 requires banks to hold capital against movements in CVA, which is the mark-to-market adjustment to a derivatives portfolio's value reflecting counterparty default risk. CVA is distinct from the CCR capital computed by SA-CCR/IMM:</w:t>
      </w:r>
    </w:p>
    <w:p>
      <w:pPr>
        <w:pStyle w:val="ListBullet"/>
      </w:pPr>
      <w:r>
        <w:t>**CCR capital** (SA-CCR/IMM) covers **expected and unexpected losses from default events**</w:t>
      </w:r>
    </w:p>
    <w:p>
      <w:pPr>
        <w:pStyle w:val="ListBullet"/>
      </w:pPr>
      <w:r>
        <w:t>**CVA capital** (MAR50) covers **MTM losses from changes in the probability of default** (spread widening) without an actual default occurring</w:t>
      </w:r>
    </w:p>
    <w:p>
      <w:r>
        <w:t xml:space="preserve">Key regulatory treatment: </w:t>
      </w:r>
      <w:r>
        <w:rPr>
          <w:b/>
        </w:rPr>
        <w:t>CVA RWA is excluded from the output floor base</w:t>
      </w:r>
      <w:r>
        <w:t xml:space="preserve"> (CAP10 FAQ1). This prevents double-counting, as CVA is already sensitive to SA credit spread assumptions.</w:t>
      </w:r>
    </w:p>
    <w:p>
      <w:r>
        <w:t>The CVA engine integrates with real-time market conditions via `CVAMarketDataFeed`:</w:t>
      </w:r>
    </w:p>
    <w:p>
      <w:pPr>
        <w:pStyle w:val="ListBullet"/>
      </w:pPr>
      <w:r>
        <w:t>SOFR/OIS rate from FRED API (series: `SOFR`)</w:t>
      </w:r>
    </w:p>
    <w:p>
      <w:pPr>
        <w:pStyle w:val="ListBullet"/>
      </w:pPr>
      <w:r>
        <w:t>IG OAS from FRED (series: `BAMLC0A0CM`)</w:t>
      </w:r>
    </w:p>
    <w:p>
      <w:pPr>
        <w:pStyle w:val="ListBullet"/>
      </w:pPr>
      <w:r>
        <w:t>HY OAS from FRED (series: `BAMLH0A0HYM2`)</w:t>
      </w:r>
    </w:p>
    <w:p>
      <w:pPr>
        <w:pStyle w:val="ListBullet"/>
      </w:pPr>
      <w:r>
        <w:t>VIX from FRED or yfinance (series: `VIXCLS`)</w:t>
      </w:r>
    </w:p>
    <w:p>
      <w:pPr>
        <w:pStyle w:val="Heading3"/>
        <w:jc w:val="left"/>
      </w:pPr>
      <w:r>
        <w:t>8.5.3 Functional Objective of Calculations</w:t>
      </w:r>
    </w:p>
    <w:p>
      <w:r>
        <w:rPr>
          <w:b/>
        </w:rPr>
        <w:t>BA-CVA (MAR50, Basic Approach):</w:t>
      </w:r>
    </w:p>
    <w:p>
      <w:r>
        <w:t>$$\text{CVA}_\text{capital} = 0.75 \times \text{EAD} \times RW$$</w:t>
      </w:r>
    </w:p>
    <w:p>
      <w:r>
        <w:t>where $RW$ is the regulatory risk weight for the counterparty's credit quality tier.</w:t>
      </w:r>
    </w:p>
    <w:p>
      <w:r>
        <w:rPr>
          <w:b/>
        </w:rPr>
        <w:t>SA-CVA (MAR50.3, Standardised Approach — requires approval):</w:t>
      </w:r>
    </w:p>
    <w:p>
      <w:r>
        <w:t>Sensitivity-based calculation analogous to FRTB SBM; sensitivities are derived from CVA's dependence on CDS spreads, interest rates, FX, equity, and commodity risk factors.</w:t>
      </w:r>
    </w:p>
    <w:p>
      <w:r>
        <w:rPr>
          <w:b/>
        </w:rPr>
        <w:t>Automatic fallback logic: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if not sa_cva_approved: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method = "BA-CVA"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log_trace("FALLBACK|CVA|SA-CVA_NOT_APPROVED|Using BA-CVA per MAR50.12")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else: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method = "SA-CVA"</w:t>
      </w:r>
    </w:p>
    <w:p>
      <w:r>
        <w:rPr>
          <w:b/>
        </w:rPr>
        <w:t>Materiality threshold (MAR50.9):</w:t>
      </w:r>
    </w:p>
    <w:p>
      <w:r>
        <w:t>If the notional of derivatives subject to CVA risk is below the BCBS materiality threshold, the institution may use 100% of CCR RWA as a proxy CVA capital charge.</w:t>
      </w:r>
    </w:p>
    <w:p>
      <w:r>
        <w:rPr>
          <w:b/>
        </w:rPr>
        <w:t>Real-time parameter adjustment:</w:t>
      </w:r>
    </w:p>
    <w:p>
      <w:r>
        <w:t>$$\rho_\text{supervisory} = \min(0.50 + 0.30 \times \text{stress\_index},\; 0.80)$$</w:t>
      </w:r>
    </w:p>
    <w:p>
      <w:r>
        <w:t>where stress index is a function of VIX and HY spreads (floored at 0.50 per MAR50.29 in normal conditions; rising to 0.80 in crisis).</w:t>
      </w:r>
    </w:p>
    <w:p>
      <w:pPr>
        <w:pStyle w:val="Heading3"/>
        <w:jc w:val="left"/>
      </w:pPr>
      <w:r>
        <w:t>8.5.4 Parameter Significance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Significance</w:t>
            </w:r>
          </w:p>
        </w:tc>
      </w:tr>
      <w:tr>
        <w:tc>
          <w:tcPr>
            <w:tcW w:type="dxa" w:w="2880"/>
          </w:tcPr>
          <w:p>
            <w:r>
              <w:t>**BA-CVA coefficient**</w:t>
            </w:r>
          </w:p>
        </w:tc>
        <w:tc>
          <w:tcPr>
            <w:tcW w:type="dxa" w:w="2880"/>
          </w:tcPr>
          <w:p>
            <w:r>
              <w:t>0.75</w:t>
            </w:r>
          </w:p>
        </w:tc>
        <w:tc>
          <w:tcPr>
            <w:tcW w:type="dxa" w:w="2880"/>
          </w:tcPr>
          <w:p>
            <w:r>
              <w:t>Conservative simplification; 75% of EAD-derived charge; penalty for not using SA-CVA</w:t>
            </w:r>
          </w:p>
        </w:tc>
      </w:tr>
      <w:tr>
        <w:tc>
          <w:tcPr>
            <w:tcW w:type="dxa" w:w="2880"/>
          </w:tcPr>
          <w:p>
            <w:r>
              <w:t>**SA-CVA supervisory rho (ρ)**</w:t>
            </w:r>
          </w:p>
        </w:tc>
        <w:tc>
          <w:tcPr>
            <w:tcW w:type="dxa" w:w="2880"/>
          </w:tcPr>
          <w:p>
            <w:r>
              <w:t>0.50 (floor) to 0.80 (crisis)</w:t>
            </w:r>
          </w:p>
        </w:tc>
        <w:tc>
          <w:tcPr>
            <w:tcW w:type="dxa" w:w="2880"/>
          </w:tcPr>
          <w:p>
            <w:r>
              <w:t>Correlation between CVA and systematic market risk factors; higher in crisis (diversification breakdown)</w:t>
            </w:r>
          </w:p>
        </w:tc>
      </w:tr>
      <w:tr>
        <w:tc>
          <w:tcPr>
            <w:tcW w:type="dxa" w:w="2880"/>
          </w:tcPr>
          <w:p>
            <w:r>
              <w:t>**Risk weight by rating**</w:t>
            </w:r>
          </w:p>
        </w:tc>
        <w:tc>
          <w:tcPr>
            <w:tcW w:type="dxa" w:w="2880"/>
          </w:tcPr>
          <w:p>
            <w:r>
              <w:t>AAA: 0.5%, AA: 1%, A: 2%, BBB: 3%, BB: 6%, B: 12%, CCC: 25%</w:t>
            </w:r>
          </w:p>
        </w:tc>
        <w:tc>
          <w:tcPr>
            <w:tcW w:type="dxa" w:w="2880"/>
          </w:tcPr>
          <w:p>
            <w:r>
              <w:t>Represents idiosyncratic credit spread volatility by rating tier</w:t>
            </w:r>
          </w:p>
        </w:tc>
      </w:tr>
      <w:tr>
        <w:tc>
          <w:tcPr>
            <w:tcW w:type="dxa" w:w="2880"/>
          </w:tcPr>
          <w:p>
            <w:r>
              <w:t>**LGD (sector-specific)**</w:t>
            </w:r>
          </w:p>
        </w:tc>
        <w:tc>
          <w:tcPr>
            <w:tcW w:type="dxa" w:w="2880"/>
          </w:tcPr>
          <w:p>
            <w:r>
              <w:t>Financials: 60%, Corporates: 60%, Sovereigns: 75%</w:t>
            </w:r>
          </w:p>
        </w:tc>
        <w:tc>
          <w:tcPr>
            <w:tcW w:type="dxa" w:w="2880"/>
          </w:tcPr>
          <w:p>
            <w:r>
              <w:t>Market-implied LGD from CDS recovery rates; affects discount factor in CVA formula</w:t>
            </w:r>
          </w:p>
        </w:tc>
      </w:tr>
      <w:tr>
        <w:tc>
          <w:tcPr>
            <w:tcW w:type="dxa" w:w="2880"/>
          </w:tcPr>
          <w:p>
            <w:r>
              <w:t>**Risk-free rate (OIS/SOFR)**</w:t>
            </w:r>
          </w:p>
        </w:tc>
        <w:tc>
          <w:tcPr>
            <w:tcW w:type="dxa" w:w="2880"/>
          </w:tcPr>
          <w:p>
            <w:r>
              <w:t>Live FRED fetch</w:t>
            </w:r>
          </w:p>
        </w:tc>
        <w:tc>
          <w:tcPr>
            <w:tcW w:type="dxa" w:w="2880"/>
          </w:tcPr>
          <w:p>
            <w:r>
              <w:t>Discount rate for CVA NPV; affects maturity of the CVA exposure</w:t>
            </w:r>
          </w:p>
        </w:tc>
      </w:tr>
      <w:tr>
        <w:tc>
          <w:tcPr>
            <w:tcW w:type="dxa" w:w="2880"/>
          </w:tcPr>
          <w:p>
            <w:r>
              <w:t>**CVA EAD**</w:t>
            </w:r>
          </w:p>
        </w:tc>
        <w:tc>
          <w:tcPr>
            <w:tcW w:type="dxa" w:w="2880"/>
          </w:tcPr>
          <w:p>
            <w:r>
              <w:t>From SA-CCR output</w:t>
            </w:r>
          </w:p>
        </w:tc>
        <w:tc>
          <w:tcPr>
            <w:tcW w:type="dxa" w:w="2880"/>
          </w:tcPr>
          <w:p>
            <w:r>
              <w:t>CVA capital is computed on the same EAD as CCR; ensures consistency</w:t>
            </w:r>
          </w:p>
        </w:tc>
      </w:tr>
      <w:tr>
        <w:tc>
          <w:tcPr>
            <w:tcW w:type="dxa" w:w="2880"/>
          </w:tcPr>
          <w:p>
            <w:r>
              <w:t>**Materiality threshold**</w:t>
            </w:r>
          </w:p>
        </w:tc>
        <w:tc>
          <w:tcPr>
            <w:tcW w:type="dxa" w:w="2880"/>
          </w:tcPr>
          <w:p>
            <w:r>
              <w:t>As per MAR50.9</w:t>
            </w:r>
          </w:p>
        </w:tc>
        <w:tc>
          <w:tcPr>
            <w:tcW w:type="dxa" w:w="2880"/>
          </w:tcPr>
          <w:p>
            <w:r>
              <w:t>Below threshold → proxy approach; above → full BA-CVA or SA-CVA required</w:t>
            </w:r>
          </w:p>
        </w:tc>
      </w:tr>
    </w:tbl>
    <w:p>
      <w:pPr>
        <w:pStyle w:val="Heading3"/>
        <w:jc w:val="left"/>
      </w:pPr>
      <w:r>
        <w:t>8.5.5 Key Success Criteria</w:t>
      </w:r>
    </w:p>
    <w:p>
      <w:pPr>
        <w:pStyle w:val="ListBullet"/>
      </w:pPr>
      <w:r>
        <w:t>BA-CVA capital output matches MAR50 formula within &lt; 0.01% tolerance</w:t>
      </w:r>
    </w:p>
    <w:p>
      <w:pPr>
        <w:pStyle w:val="ListBullet"/>
      </w:pPr>
      <w:r>
        <w:t>SA-CVA fallback trace is logged when `sa_cva_approved = False`</w:t>
      </w:r>
    </w:p>
    <w:p>
      <w:pPr>
        <w:pStyle w:val="ListBullet"/>
      </w:pPr>
      <w:r>
        <w:t>`supervisory_rho()` correctly increases from 0.50 to 0.80 as VIX increases from 15 to 80</w:t>
      </w:r>
    </w:p>
    <w:p>
      <w:pPr>
        <w:pStyle w:val="ListBullet"/>
      </w:pPr>
      <w:r>
        <w:t>CVA RWA is correctly **excluded** from the output floor base in `main.py::PrometheusRunner.run_daily()`</w:t>
      </w:r>
    </w:p>
    <w:p>
      <w:pPr>
        <w:pStyle w:val="ListBullet"/>
      </w:pPr>
      <w:r>
        <w:t>Live FRED API fetch succeeds; graceful fallback to hard-coded defaults on network failure</w:t>
      </w:r>
    </w:p>
    <w:p>
      <w:pPr>
        <w:pStyle w:val="ListBullet"/>
      </w:pPr>
      <w:r>
        <w:t>6/6 CVA unit tests pass</w:t>
      </w:r>
    </w:p>
    <w:p>
      <w:pPr>
        <w:pStyle w:val="Heading2"/>
        <w:jc w:val="left"/>
      </w:pPr>
      <w:r>
        <w:t>FR-006: CCP Exposure Engine — Central Counterparty Capital</w:t>
      </w:r>
    </w:p>
    <w:p>
      <w:r>
        <w:rPr>
          <w:b/>
        </w:rPr>
        <w:t>Basel Standard:</w:t>
      </w:r>
      <w:r>
        <w:t xml:space="preserve"> CRE54</w:t>
      </w:r>
    </w:p>
    <w:p>
      <w:r>
        <w:rPr>
          <w:b/>
        </w:rPr>
        <w:t>Priority:</w:t>
      </w:r>
      <w:r>
        <w:t xml:space="preserve"> MEDIUM</w:t>
      </w:r>
    </w:p>
    <w:p>
      <w:r>
        <w:rPr>
          <w:b/>
        </w:rPr>
        <w:t>Owner:</w:t>
      </w:r>
      <w:r>
        <w:t xml:space="preserve"> Clearing Operations</w:t>
      </w:r>
    </w:p>
    <w:p>
      <w:r>
        <w:rPr>
          <w:b/>
        </w:rPr>
        <w:t>File:</w:t>
      </w:r>
      <w:r>
        <w:t xml:space="preserve"> `backend/engines/ccp.py`</w:t>
      </w:r>
    </w:p>
    <w:p>
      <w:pPr>
        <w:pStyle w:val="Heading3"/>
        <w:jc w:val="left"/>
      </w:pPr>
      <w:r>
        <w:t>8.6.1 Use Case</w:t>
      </w:r>
    </w:p>
    <w:p>
      <w:r>
        <w:t xml:space="preserve">The CCP engine calculates the regulatory capital a clearing member must hold against its exposures to a </w:t>
      </w:r>
      <w:r>
        <w:rPr>
          <w:b/>
        </w:rPr>
        <w:t>Central Counterparty (CCP)</w:t>
      </w:r>
      <w:r>
        <w:t>. As derivatives clearing mandates (EMIR, Dodd-Frank) have shifted a large portion of OTC derivatives to central clearing, CCP exposure has become a material component of CCR capital.</w:t>
      </w:r>
    </w:p>
    <w:p>
      <w:r>
        <w:t>Two exposure types are captured:</w:t>
      </w:r>
    </w:p>
    <w:p>
      <w:pPr>
        <w:pStyle w:val="ListNumber"/>
      </w:pPr>
      <w:r>
        <w:t>**Trade Exposure:** The mark-to-market exposure from cleared trades, including posted initial margin</w:t>
      </w:r>
    </w:p>
    <w:p>
      <w:pPr>
        <w:pStyle w:val="ListNumber"/>
      </w:pPr>
      <w:r>
        <w:t>**Default Fund Contribution (DFC):** Capital against the bank's prefunded contribution to the CCP's default waterfall</w:t>
      </w:r>
    </w:p>
    <w:p>
      <w:pPr>
        <w:pStyle w:val="Heading3"/>
        <w:jc w:val="left"/>
      </w:pPr>
      <w:r>
        <w:t>8.6.2 Basel Context</w:t>
      </w:r>
    </w:p>
    <w:p>
      <w:r>
        <w:t xml:space="preserve">CRE54 provides preferential capital treatment for </w:t>
      </w:r>
      <w:r>
        <w:rPr>
          <w:b/>
        </w:rPr>
        <w:t>Qualifying CCPs (QCCPs)</w:t>
      </w:r>
      <w:r>
        <w:t xml:space="preserve"> — typically major clearing houses (LCH, CME, Eurex, JSCC) that meet CPMI-IOSCO Principles for Financial Market Infrastructures. The rationale: CCPs' multilateral netting, margining, and default management procedures reduce systemic risk, so banks should not be discouraged from central clearing by prohibitively high capital charges.</w:t>
      </w:r>
    </w:p>
    <w:p>
      <w:r>
        <w:t>Non-qualifying CCPs receive a 100% risk weight (same as a corporate counterparty), providing a strong incentive to use qualifying clearing venues.</w:t>
      </w:r>
    </w:p>
    <w:p>
      <w:pPr>
        <w:pStyle w:val="Heading3"/>
        <w:jc w:val="left"/>
      </w:pPr>
      <w:r>
        <w:t>8.6.3 Functional Objective of Calculations</w:t>
      </w:r>
    </w:p>
    <w:p>
      <w:r>
        <w:rPr>
          <w:b/>
        </w:rPr>
        <w:t>QCCP Trade Exposure (CRE54.4):</w:t>
      </w:r>
    </w:p>
    <w:p>
      <w:r>
        <w:t>$$\text{RWA}_\text{trade} = \text{EAD}_\text{trade} \times 2\% \times 12.5$$</w:t>
      </w:r>
    </w:p>
    <w:p>
      <w:r>
        <w:rPr>
          <w:b/>
        </w:rPr>
        <w:t>Initial Margin posted:</w:t>
      </w:r>
    </w:p>
    <w:p>
      <w:pPr>
        <w:pStyle w:val="ListBullet"/>
      </w:pPr>
      <w:r>
        <w:t>Segregated IM → 0% risk weight (CRE54.15): protected from CCP default</w:t>
      </w:r>
    </w:p>
    <w:p>
      <w:pPr>
        <w:pStyle w:val="ListBullet"/>
      </w:pPr>
      <w:r>
        <w:t>Non-segregated IM → 2% risk weight: commingled; exposed to CCP default</w:t>
      </w:r>
    </w:p>
    <w:p>
      <w:r>
        <w:rPr>
          <w:b/>
        </w:rPr>
        <w:t>Default Fund Capital (CRE54.31–39 — simplified):</w:t>
      </w:r>
    </w:p>
    <w:p>
      <w:r>
        <w:t>$$K_\text{DFC} = \min(0.08 \times K_\text{CCP},\; \text{DFC} \times 1.6\%)$$</w:t>
      </w:r>
    </w:p>
    <w:p>
      <w:r>
        <w:t>$$\text{RWA}_\text{DFC} = K_\text{DFC} \times 12.5$$</w:t>
      </w:r>
    </w:p>
    <w:p>
      <w:r>
        <w:rPr>
          <w:b/>
        </w:rPr>
        <w:t>Unfunded DFC commitments (CRE54.42):</w:t>
      </w:r>
    </w:p>
    <w:p>
      <w:r>
        <w:t>$$\text{RWA}_\text{unfunded} = \text{DFC}_\text{unfunded} \times 12.5 \quad \text{(100\% capital requirement)}$$</w:t>
      </w:r>
    </w:p>
    <w:p>
      <w:r>
        <w:rPr>
          <w:b/>
        </w:rPr>
        <w:t>Client Clearing Intermediary (CRE54.5):</w:t>
      </w:r>
    </w:p>
    <w:p>
      <w:r>
        <w:t>$$\text{RWA}_\text{client} = \text{EAD}_\text{client} \times 2\% \times 12.5 \quad \text{(if QCCP)}$$</w:t>
      </w:r>
    </w:p>
    <w:p>
      <w:pPr>
        <w:pStyle w:val="Heading3"/>
        <w:jc w:val="left"/>
      </w:pPr>
      <w:r>
        <w:t>8.6.4 Parameter Significance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Significance</w:t>
            </w:r>
          </w:p>
        </w:tc>
      </w:tr>
      <w:tr>
        <w:tc>
          <w:tcPr>
            <w:tcW w:type="dxa" w:w="2880"/>
          </w:tcPr>
          <w:p>
            <w:r>
              <w:t>**QCCP risk weight**</w:t>
            </w:r>
          </w:p>
        </w:tc>
        <w:tc>
          <w:tcPr>
            <w:tcW w:type="dxa" w:w="2880"/>
          </w:tcPr>
          <w:p>
            <w:r>
              <w:t>2%</w:t>
            </w:r>
          </w:p>
        </w:tc>
        <w:tc>
          <w:tcPr>
            <w:tcW w:type="dxa" w:w="2880"/>
          </w:tcPr>
          <w:p>
            <w:r>
              <w:t>Preferential rate; reflects CCP risk mitigation (netting, margining); vs. 100% for bilateral</w:t>
            </w:r>
          </w:p>
        </w:tc>
      </w:tr>
      <w:tr>
        <w:tc>
          <w:tcPr>
            <w:tcW w:type="dxa" w:w="2880"/>
          </w:tcPr>
          <w:p>
            <w:r>
              <w:t>**Non-QCCP risk weight**</w:t>
            </w:r>
          </w:p>
        </w:tc>
        <w:tc>
          <w:tcPr>
            <w:tcW w:type="dxa" w:w="2880"/>
          </w:tcPr>
          <w:p>
            <w:r>
              <w:t>100%</w:t>
            </w:r>
          </w:p>
        </w:tc>
        <w:tc>
          <w:tcPr>
            <w:tcW w:type="dxa" w:w="2880"/>
          </w:tcPr>
          <w:p>
            <w:r>
              <w:t>Full corporate credit risk weight; intended to deter use of non-qualifying CCPs</w:t>
            </w:r>
          </w:p>
        </w:tc>
      </w:tr>
      <w:tr>
        <w:tc>
          <w:tcPr>
            <w:tcW w:type="dxa" w:w="2880"/>
          </w:tcPr>
          <w:p>
            <w:r>
              <w:t>**Segregated IM risk weight**</w:t>
            </w:r>
          </w:p>
        </w:tc>
        <w:tc>
          <w:tcPr>
            <w:tcW w:type="dxa" w:w="2880"/>
          </w:tcPr>
          <w:p>
            <w:r>
              <w:t>0%</w:t>
            </w:r>
          </w:p>
        </w:tc>
        <w:tc>
          <w:tcPr>
            <w:tcW w:type="dxa" w:w="2880"/>
          </w:tcPr>
          <w:p>
            <w:r>
              <w:t>IM held in segregated account is protected from CCP insolvency; therefore zero capital</w:t>
            </w:r>
          </w:p>
        </w:tc>
      </w:tr>
      <w:tr>
        <w:tc>
          <w:tcPr>
            <w:tcW w:type="dxa" w:w="2880"/>
          </w:tcPr>
          <w:p>
            <w:r>
              <w:t>**Non-segregated IM risk weight**</w:t>
            </w:r>
          </w:p>
        </w:tc>
        <w:tc>
          <w:tcPr>
            <w:tcW w:type="dxa" w:w="2880"/>
          </w:tcPr>
          <w:p>
            <w:r>
              <w:t>2%</w:t>
            </w:r>
          </w:p>
        </w:tc>
        <w:tc>
          <w:tcPr>
            <w:tcW w:type="dxa" w:w="2880"/>
          </w:tcPr>
          <w:p>
            <w:r>
              <w:t>Commingled IM exposed to CCP default; treated as trade exposure</w:t>
            </w:r>
          </w:p>
        </w:tc>
      </w:tr>
      <w:tr>
        <w:tc>
          <w:tcPr>
            <w:tcW w:type="dxa" w:w="2880"/>
          </w:tcPr>
          <w:p>
            <w:r>
              <w:t>**DFC flat rate (fallback)**</w:t>
            </w:r>
          </w:p>
        </w:tc>
        <w:tc>
          <w:tcPr>
            <w:tcW w:type="dxa" w:w="2880"/>
          </w:tcPr>
          <w:p>
            <w:r>
              <w:t>1.6% (CRE54.33)</w:t>
            </w:r>
          </w:p>
        </w:tc>
        <w:tc>
          <w:tcPr>
            <w:tcW w:type="dxa" w:w="2880"/>
          </w:tcPr>
          <w:p>
            <w:r>
              <w:t>Simplified DFC capital rate when CCP's KCCP (hypothetical capital) is not available</w:t>
            </w:r>
          </w:p>
        </w:tc>
      </w:tr>
      <w:tr>
        <w:tc>
          <w:tcPr>
            <w:tcW w:type="dxa" w:w="2880"/>
          </w:tcPr>
          <w:p>
            <w:r>
              <w:t>**Unfunded DFC**</w:t>
            </w:r>
          </w:p>
        </w:tc>
        <w:tc>
          <w:tcPr>
            <w:tcW w:type="dxa" w:w="2880"/>
          </w:tcPr>
          <w:p>
            <w:r>
              <w:t>1250% RW → 100% capital</w:t>
            </w:r>
          </w:p>
        </w:tc>
        <w:tc>
          <w:tcPr>
            <w:tcW w:type="dxa" w:w="2880"/>
          </w:tcPr>
          <w:p>
            <w:r>
              <w:t>Commitment to contribute additional funds to CCP default waterfall; extreme risk weight reflects contingent nature</w:t>
            </w:r>
          </w:p>
        </w:tc>
      </w:tr>
    </w:tbl>
    <w:p>
      <w:pPr>
        <w:pStyle w:val="Heading3"/>
        <w:jc w:val="left"/>
      </w:pPr>
      <w:r>
        <w:t>8.6.5 Key Success Criteria</w:t>
      </w:r>
    </w:p>
    <w:p>
      <w:pPr>
        <w:pStyle w:val="ListBullet"/>
      </w:pPr>
      <w:r>
        <w:t>QCCP trade EAD correctly attracts 2% risk weight; non-QCCP attracts 100%</w:t>
      </w:r>
    </w:p>
    <w:p>
      <w:pPr>
        <w:pStyle w:val="ListBullet"/>
      </w:pPr>
      <w:r>
        <w:t>Segregated IM produces 0 RWA; non-segregated IM produces 2% RWA</w:t>
      </w:r>
    </w:p>
    <w:p>
      <w:pPr>
        <w:pStyle w:val="ListBullet"/>
      </w:pPr>
      <w:r>
        <w:t>DFC capital correctly applies 1.6% flat rate when KCCP is not provided</w:t>
      </w:r>
    </w:p>
    <w:p>
      <w:pPr>
        <w:pStyle w:val="ListBullet"/>
      </w:pPr>
      <w:r>
        <w:t>Total CCP RWA aggregated across all CCPs and fed into the five-part formula</w:t>
      </w:r>
    </w:p>
    <w:p>
      <w:pPr>
        <w:pStyle w:val="ListBullet"/>
      </w:pPr>
      <w:r>
        <w:t>4/4 CCP unit tests pass</w:t>
      </w:r>
    </w:p>
    <w:p>
      <w:pPr>
        <w:pStyle w:val="Heading2"/>
        <w:jc w:val="left"/>
      </w:pPr>
      <w:r>
        <w:t>FR-007: Daily Risk Orchestrator — Five-Part RWA Formula</w:t>
      </w:r>
    </w:p>
    <w:p>
      <w:r>
        <w:rPr>
          <w:b/>
        </w:rPr>
        <w:t>Basel Standard:</w:t>
      </w:r>
      <w:r>
        <w:t xml:space="preserve"> RBC20.9, RBC20.11</w:t>
      </w:r>
    </w:p>
    <w:p>
      <w:r>
        <w:rPr>
          <w:b/>
        </w:rPr>
        <w:t>Priority:</w:t>
      </w:r>
      <w:r>
        <w:t xml:space="preserve"> CRITICAL</w:t>
      </w:r>
    </w:p>
    <w:p>
      <w:r>
        <w:rPr>
          <w:b/>
        </w:rPr>
        <w:t>Owner:</w:t>
      </w:r>
      <w:r>
        <w:t xml:space="preserve"> Risk Operations</w:t>
      </w:r>
    </w:p>
    <w:p>
      <w:r>
        <w:rPr>
          <w:b/>
        </w:rPr>
        <w:t>File:</w:t>
      </w:r>
      <w:r>
        <w:t xml:space="preserve"> `backend/main.py` (`PrometheusRunner`)</w:t>
      </w:r>
    </w:p>
    <w:p>
      <w:pPr>
        <w:pStyle w:val="Heading3"/>
        <w:jc w:val="left"/>
      </w:pPr>
      <w:r>
        <w:t>8.7.1 Use Case</w:t>
      </w:r>
    </w:p>
    <w:p>
      <w:r>
        <w:t>The Orchestrator (`PrometheusRunner`) coordinates all six engines into a single, sequential daily risk run. It loads portfolio data, dispatches calculations to each engine, aggregates RWA components, applies the output floor, and persists results with a full audit trail. It is the single entry point for the daily risk calculation cycle.</w:t>
      </w:r>
    </w:p>
    <w:p>
      <w:pPr>
        <w:pStyle w:val="Heading3"/>
        <w:jc w:val="left"/>
      </w:pPr>
      <w:r>
        <w:t>8.7.2 Basel Context</w:t>
      </w:r>
    </w:p>
    <w:p>
      <w:r>
        <w:t>RBC20.9 specifies that Total RWA is the sum of all risk components:</w:t>
      </w:r>
    </w:p>
    <w:p>
      <w:r>
        <w:t>$$\text{Total RWA} = \text{RWA}_\text{Credit} + \text{RWA}_\text{CCR} + \text{RWA}_\text{Market} + \text{RWA}_\text{CVA} + \text{RWA}_\text{CCP} + \text{RWA}_\text{OpRisk}$$</w:t>
      </w:r>
    </w:p>
    <w:p>
      <w:r>
        <w:t>RBC20.11 imposes the output floor:</w:t>
      </w:r>
    </w:p>
    <w:p>
      <w:r>
        <w:t>$$\text{Final RWA} = \max\!\left(\text{Total RWA},\; 72.5\% \times \text{SA-based RWA}\right)$$</w:t>
      </w:r>
    </w:p>
    <w:p>
      <w:r>
        <w:rPr>
          <w:b/>
        </w:rPr>
        <w:t>CVA excluded from floor base (CAP10 FAQ1):</w:t>
      </w:r>
      <w:r>
        <w:t xml:space="preserve"> The SA-based RWA in the floor denominator excludes CVA RWA, as CVA is already sensitivity-based. Including it would introduce double-counting.</w:t>
      </w:r>
    </w:p>
    <w:p>
      <w:pPr>
        <w:pStyle w:val="Heading3"/>
        <w:jc w:val="left"/>
      </w:pPr>
      <w:r>
        <w:t>8.7.3 Functional Objective of Calculations</w:t>
      </w:r>
    </w:p>
    <w:p>
      <w:r>
        <w:t>The orchestration flow executes in strict sequential order to ensure dependencies are met: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1. Load dataset (portfolio_generator.build_full_dataset)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2. For each derivative portfolio: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a. SA-CCR EAD calculation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b. IMM EAD calculation (if IMM-eligible trades present)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c. IMM floor check: if EAD_IMM_CSA &lt; 50% × EAD_SA-CCR → FALLBACK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d. FRTB SBM + IMA calculation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e. Aggregate RWA_CCR and RWA_Market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3. For each banking book portfolio: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a. A-IRB RWA calculation (including double-default, SME, EL shortfall)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b. Aggregate RWA_Credit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4. CVA calculation (BA-CVA or SA-CVA based on approval flag)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5. CCP RWA calculation (QCCP + DFC)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6. Operational Risk RWA stub (OPE25 BIA)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7. Five-part RWA formula: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Total_RWA = RWA_Credit + RWA_CCR + RWA_Market + RWA_CVA + RWA_CCP + RWA_OpRisk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8. Output floor: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SA_base = RWA_Credit_SA + RWA_CCR_SA + RWA_Market_SA + RWA_CCP_SA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Final_RWA = max(Total_RWA, 0.725 × SA_base)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9. Capital requirement: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Capital = Final_RWA × 8%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10. Persist results + audit logs (persistence.py)</w:t>
      </w:r>
    </w:p>
    <w:p>
      <w:pPr>
        <w:pStyle w:val="Heading3"/>
        <w:jc w:val="left"/>
      </w:pPr>
      <w:r>
        <w:t>8.7.4 Parameter Significance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Parameter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Significance</w:t>
            </w:r>
          </w:p>
        </w:tc>
      </w:tr>
      <w:tr>
        <w:tc>
          <w:tcPr>
            <w:tcW w:type="dxa" w:w="2880"/>
          </w:tcPr>
          <w:p>
            <w:r>
              <w:t>**Output floor**</w:t>
            </w:r>
          </w:p>
        </w:tc>
        <w:tc>
          <w:tcPr>
            <w:tcW w:type="dxa" w:w="2880"/>
          </w:tcPr>
          <w:p>
            <w:r>
              <w:t>72.5%</w:t>
            </w:r>
          </w:p>
        </w:tc>
        <w:tc>
          <w:tcPr>
            <w:tcW w:type="dxa" w:w="2880"/>
          </w:tcPr>
          <w:p>
            <w:r>
              <w:t>Basel IV transition floor; prevents advanced approach banks from holding &lt; 72.5% of SA-equivalent RWA; reaches 100% by 2028 in BCBS phased timeline</w:t>
            </w:r>
          </w:p>
        </w:tc>
      </w:tr>
      <w:tr>
        <w:tc>
          <w:tcPr>
            <w:tcW w:type="dxa" w:w="2880"/>
          </w:tcPr>
          <w:p>
            <w:r>
              <w:t>**Capital ratio**</w:t>
            </w:r>
          </w:p>
        </w:tc>
        <w:tc>
          <w:tcPr>
            <w:tcW w:type="dxa" w:w="2880"/>
          </w:tcPr>
          <w:p>
            <w:r>
              <w:t>8%</w:t>
            </w:r>
          </w:p>
        </w:tc>
        <w:tc>
          <w:tcPr>
            <w:tcW w:type="dxa" w:w="2880"/>
          </w:tcPr>
          <w:p>
            <w:r>
              <w:t>Minimum CET1+T1+T2 ratio per RBC20; Total RWA × 8% = minimum required regulatory capital</w:t>
            </w:r>
          </w:p>
        </w:tc>
      </w:tr>
      <w:tr>
        <w:tc>
          <w:tcPr>
            <w:tcW w:type="dxa" w:w="2880"/>
          </w:tcPr>
          <w:p>
            <w:r>
              <w:t>**Alpha (SA-CCR/IMM)**</w:t>
            </w:r>
          </w:p>
        </w:tc>
        <w:tc>
          <w:tcPr>
            <w:tcW w:type="dxa" w:w="2880"/>
          </w:tcPr>
          <w:p>
            <w:r>
              <w:t>1.4</w:t>
            </w:r>
          </w:p>
        </w:tc>
        <w:tc>
          <w:tcPr>
            <w:tcW w:type="dxa" w:w="2880"/>
          </w:tcPr>
          <w:p>
            <w:r>
              <w:t>Common multiplier applied before feeding EAD to RWA formula; ensures conservatism regardless of approach</w:t>
            </w:r>
          </w:p>
        </w:tc>
      </w:tr>
      <w:tr>
        <w:tc>
          <w:tcPr>
            <w:tcW w:type="dxa" w:w="2880"/>
          </w:tcPr>
          <w:p>
            <w:r>
              <w:t>**IMM floor**</w:t>
            </w:r>
          </w:p>
        </w:tc>
        <w:tc>
          <w:tcPr>
            <w:tcW w:type="dxa" w:w="2880"/>
          </w:tcPr>
          <w:p>
            <w:r>
              <w:t>50%</w:t>
            </w:r>
          </w:p>
        </w:tc>
        <w:tc>
          <w:tcPr>
            <w:tcW w:type="dxa" w:w="2880"/>
          </w:tcPr>
          <w:p>
            <w:r>
              <w:t>EAD_IMM must be at least 50% of EAD_SA-CCR; prevents excessive IMM optimisation</w:t>
            </w:r>
          </w:p>
        </w:tc>
      </w:tr>
      <w:tr>
        <w:tc>
          <w:tcPr>
            <w:tcW w:type="dxa" w:w="2880"/>
          </w:tcPr>
          <w:p>
            <w:r>
              <w:t>**OPE25 BIA factor**</w:t>
            </w:r>
          </w:p>
        </w:tc>
        <w:tc>
          <w:tcPr>
            <w:tcW w:type="dxa" w:w="2880"/>
          </w:tcPr>
          <w:p>
            <w:r>
              <w:t>15%</w:t>
            </w:r>
          </w:p>
        </w:tc>
        <w:tc>
          <w:tcPr>
            <w:tcW w:type="dxa" w:w="2880"/>
          </w:tcPr>
          <w:p>
            <w:r>
              <w:t>Basic Indicator Approach: 15% × 3-year average gross income; placeholder pending Sprint E</w:t>
            </w:r>
          </w:p>
        </w:tc>
      </w:tr>
    </w:tbl>
    <w:p>
      <w:pPr>
        <w:pStyle w:val="Heading3"/>
        <w:jc w:val="left"/>
      </w:pPr>
      <w:r>
        <w:t>8.7.5 Key Success Criteria</w:t>
      </w:r>
    </w:p>
    <w:p>
      <w:pPr>
        <w:pStyle w:val="ListBullet"/>
      </w:pPr>
      <w:r>
        <w:t>All six RWA components produced in a single run call</w:t>
      </w:r>
    </w:p>
    <w:p>
      <w:pPr>
        <w:pStyle w:val="ListBullet"/>
      </w:pPr>
      <w:r>
        <w:t>Output floor correctly applied; CVA excluded from floor base</w:t>
      </w:r>
    </w:p>
    <w:p>
      <w:pPr>
        <w:pStyle w:val="ListBullet"/>
      </w:pPr>
      <w:r>
        <w:t>IMM fallback trace logged at WARNING level when floor violated</w:t>
      </w:r>
    </w:p>
    <w:p>
      <w:pPr>
        <w:pStyle w:val="ListBullet"/>
      </w:pPr>
      <w:r>
        <w:t>Total run time &lt; 5 minutes on M1 MacBook Air 8 GB</w:t>
      </w:r>
    </w:p>
    <w:p>
      <w:pPr>
        <w:pStyle w:val="ListBullet"/>
      </w:pPr>
      <w:r>
        <w:t>Results persisted to PostgreSQL `risk.rwa_results` and `audit.run_logs`</w:t>
      </w:r>
    </w:p>
    <w:p>
      <w:pPr>
        <w:pStyle w:val="ListBullet"/>
      </w:pPr>
      <w:r>
        <w:t>Results JSON structure fully populated for dashboard consumption</w:t>
      </w:r>
    </w:p>
    <w:p>
      <w:pPr>
        <w:pStyle w:val="Heading2"/>
        <w:jc w:val="left"/>
      </w:pPr>
      <w:r>
        <w:t>FR-008: Market Data Integration</w:t>
      </w:r>
    </w:p>
    <w:p>
      <w:r>
        <w:rPr>
          <w:b/>
        </w:rPr>
        <w:t>Priority:</w:t>
      </w:r>
      <w:r>
        <w:t xml:space="preserve"> HIGH</w:t>
      </w:r>
    </w:p>
    <w:p>
      <w:r>
        <w:rPr>
          <w:b/>
        </w:rPr>
        <w:t>Owner:</w:t>
      </w:r>
      <w:r>
        <w:t xml:space="preserve"> IT Infrastructure / Market Risk</w:t>
      </w:r>
    </w:p>
    <w:p>
      <w:r>
        <w:rPr>
          <w:b/>
        </w:rPr>
        <w:t>Files:</w:t>
      </w:r>
      <w:r>
        <w:t xml:space="preserve"> `backend/data</w:t>
      </w:r>
      <w:r>
        <w:rPr>
          <w:i/>
        </w:rPr>
        <w:t>sources/market</w:t>
      </w:r>
      <w:r>
        <w:t>data</w:t>
      </w:r>
      <w:r>
        <w:rPr>
          <w:i/>
        </w:rPr>
        <w:t>provider.py`, `backend/data</w:t>
      </w:r>
      <w:r>
        <w:t>sources/cds</w:t>
      </w:r>
      <w:r>
        <w:rPr>
          <w:i/>
        </w:rPr>
        <w:t>spread</w:t>
      </w:r>
      <w:r>
        <w:t>service.py`, `backend/data</w:t>
      </w:r>
      <w:r>
        <w:rPr>
          <w:i/>
        </w:rPr>
        <w:t>sources/market</w:t>
      </w:r>
      <w:r>
        <w:t>state.py`, `backend/data_sources/calibration.py`</w:t>
      </w:r>
    </w:p>
    <w:p>
      <w:pPr>
        <w:pStyle w:val="Heading3"/>
        <w:jc w:val="left"/>
      </w:pPr>
      <w:r>
        <w:t>8.8.1 Use Case</w:t>
      </w:r>
    </w:p>
    <w:p>
      <w:r>
        <w:t>The market data infrastructure supplies real-time and historical inputs to all risk engines: CDS spreads (for CVA and A-IRB), yield curves (for SA-CCR duration calculation), volatility surfaces (for FRTB vega), VIX and credit indices (for market regime classification), and OIS/SOFR rates (for CVA discounting).</w:t>
      </w:r>
    </w:p>
    <w:p>
      <w:pPr>
        <w:pStyle w:val="Heading3"/>
        <w:jc w:val="left"/>
      </w:pPr>
      <w:r>
        <w:t>8.8.2 Functional Objective</w:t>
      </w:r>
    </w:p>
    <w:p>
      <w:r>
        <w:t>The abstract `MarketDataProvider` interface defines three core methods:</w:t>
      </w:r>
    </w:p>
    <w:p>
      <w:pPr>
        <w:pStyle w:val="ListBullet"/>
      </w:pPr>
      <w:r>
        <w:t>`fetch_cds_spreads(obligor_id, tenors, as_of_date)` → Dict[tenor, spread_bp]</w:t>
      </w:r>
    </w:p>
    <w:p>
      <w:pPr>
        <w:pStyle w:val="ListBullet"/>
      </w:pPr>
      <w:r>
        <w:t>`fetch_recovery_rate(obligor_id, as_of_date)` → float</w:t>
      </w:r>
    </w:p>
    <w:p>
      <w:pPr>
        <w:pStyle w:val="ListBullet"/>
      </w:pPr>
      <w:r>
        <w:t>`fetch_risk_free_rate(currency, tenor, as_of_date)` → float</w:t>
      </w:r>
    </w:p>
    <w:p>
      <w:r>
        <w:t>Concrete implementations: `BloombergProvider`, `RefinitivProvider`, `InternalFeedProvider`, `StaticTestProvider`.</w:t>
      </w:r>
    </w:p>
    <w:p>
      <w:r>
        <w:t>`CDSSpreadService` wraps providers with:</w:t>
      </w:r>
    </w:p>
    <w:p>
      <w:pPr>
        <w:pStyle w:val="ListBullet"/>
      </w:pPr>
      <w:r>
        <w:t>Primary→fallback cascade logic</w:t>
      </w:r>
    </w:p>
    <w:p>
      <w:pPr>
        <w:pStyle w:val="ListBullet"/>
      </w:pPr>
      <w:r>
        <w:t>5-minute TTL in-memory cache</w:t>
      </w:r>
    </w:p>
    <w:p>
      <w:pPr>
        <w:pStyle w:val="ListBullet"/>
      </w:pPr>
      <w:r>
        <w:t>Bulk fetch for multiple obligors</w:t>
      </w:r>
    </w:p>
    <w:p>
      <w:pPr>
        <w:pStyle w:val="ListBullet"/>
      </w:pPr>
      <w:r>
        <w:t>Conversion to `CreditSpreadsData` for A-IRB engine</w:t>
      </w:r>
    </w:p>
    <w:p>
      <w:r>
        <w:t>`CVAMarketDataFeed` fetches SOFR, IG OAS, HY OAS, and VIX from FRED public API (no subscription required), with graceful fallback to hard-coded defaults if the network is unavailable.</w:t>
      </w:r>
    </w:p>
    <w:p>
      <w:pPr>
        <w:pStyle w:val="Heading3"/>
        <w:jc w:val="left"/>
      </w:pPr>
      <w:r>
        <w:t>8.8.3 Key Success Criteria</w:t>
      </w:r>
    </w:p>
    <w:p>
      <w:pPr>
        <w:pStyle w:val="ListBullet"/>
      </w:pPr>
      <w:r>
        <w:t>Bloomberg and Refinitiv providers correctly fail gracefully when API is unavailable, falling to the next tier</w:t>
      </w:r>
    </w:p>
    <w:p>
      <w:pPr>
        <w:pStyle w:val="ListBullet"/>
      </w:pPr>
      <w:r>
        <w:t>`StaticTestProvider` returns deterministic test data for CI/CD pipeline</w:t>
      </w:r>
    </w:p>
    <w:p>
      <w:pPr>
        <w:pStyle w:val="ListBullet"/>
      </w:pPr>
      <w:r>
        <w:t>Cache hit rate reduces external API calls by &gt; 80% in normal daily operation</w:t>
      </w:r>
    </w:p>
    <w:p>
      <w:pPr>
        <w:pStyle w:val="ListBullet"/>
      </w:pPr>
      <w:r>
        <w:t>All engines receive valid (non-NaN, non-None) market data inputs or default gracefully</w:t>
      </w:r>
    </w:p>
    <w:p>
      <w:pPr>
        <w:pStyle w:val="Heading2"/>
        <w:jc w:val="left"/>
      </w:pPr>
      <w:r>
        <w:t>FR-009: Backtesting Framework — Traffic-Light System</w:t>
      </w:r>
    </w:p>
    <w:p>
      <w:r>
        <w:rPr>
          <w:b/>
        </w:rPr>
        <w:t>Basel Standard:</w:t>
      </w:r>
      <w:r>
        <w:t xml:space="preserve"> MAR99</w:t>
      </w:r>
    </w:p>
    <w:p>
      <w:r>
        <w:rPr>
          <w:b/>
        </w:rPr>
        <w:t>Priority:</w:t>
      </w:r>
      <w:r>
        <w:t xml:space="preserve"> CRITICAL</w:t>
      </w:r>
    </w:p>
    <w:p>
      <w:r>
        <w:rPr>
          <w:b/>
        </w:rPr>
        <w:t>Owner:</w:t>
      </w:r>
      <w:r>
        <w:t xml:space="preserve"> Market Risk / Model Validation</w:t>
      </w:r>
    </w:p>
    <w:p>
      <w:r>
        <w:rPr>
          <w:b/>
        </w:rPr>
        <w:t>File:</w:t>
      </w:r>
      <w:r>
        <w:t xml:space="preserve"> `backend/engines/frtb.py` (`BacktestEngine`)</w:t>
      </w:r>
    </w:p>
    <w:p>
      <w:pPr>
        <w:pStyle w:val="Heading3"/>
        <w:jc w:val="left"/>
      </w:pPr>
      <w:r>
        <w:t>8.9.1 Use Case</w:t>
      </w:r>
    </w:p>
    <w:p>
      <w:r>
        <w:t>The backtesting framework validates the FRTB IMA's predictive accuracy by comparing the model's predicted risk measures (ES/VaR) against actual observed P&amp;L over a rolling 260-day window. Under MAR99, if the model consistently underestimates losses (produces too many exceptions), the regulator requires model revision or imposes a capital multiplier add-on.</w:t>
      </w:r>
    </w:p>
    <w:p>
      <w:pPr>
        <w:pStyle w:val="Heading3"/>
        <w:jc w:val="left"/>
      </w:pPr>
      <w:r>
        <w:t>8.9.2 Basel Context</w:t>
      </w:r>
    </w:p>
    <w:p>
      <w:r>
        <w:t xml:space="preserve">MAR99 defines a </w:t>
      </w:r>
      <w:r>
        <w:rPr>
          <w:b/>
        </w:rPr>
        <w:t>traffic-light system</w:t>
      </w:r>
      <w:r>
        <w:t xml:space="preserve"> for IMA backtesting:</w:t>
      </w:r>
    </w:p>
    <w:p>
      <w:pPr>
        <w:pStyle w:val="ListBullet"/>
      </w:pPr>
      <w:r>
        <w:t>**Green Zone** (0–4 exceptions in 250 days): Model acceptable; no additional capital</w:t>
      </w:r>
    </w:p>
    <w:p>
      <w:pPr>
        <w:pStyle w:val="ListBullet"/>
      </w:pPr>
      <w:r>
        <w:t>**Amber Zone** (5–9 exceptions): Enhanced monitoring; potential multiplier (plus add-on factor)</w:t>
      </w:r>
    </w:p>
    <w:p>
      <w:pPr>
        <w:pStyle w:val="ListBullet"/>
      </w:pPr>
      <w:r>
        <w:t>**Red Zone** (10+ exceptions): Model revision required; significant capital add-on</w:t>
      </w:r>
    </w:p>
    <w:p>
      <w:r>
        <w:t>An "exception" occurs when the actual daily P&amp;L loss exceeds the model's predicted 1-day VaR at 99% confidence.</w:t>
      </w:r>
    </w:p>
    <w:p>
      <w:r>
        <w:t xml:space="preserve">The </w:t>
      </w:r>
      <w:r>
        <w:rPr>
          <w:b/>
        </w:rPr>
        <w:t>PLA Test (MAR32)</w:t>
      </w:r>
      <w:r>
        <w:t xml:space="preserve"> compares Hypothetical P&amp;L (HPL, sensitivity-based) against Actual P&amp;L (APL, full revaluation) using Spearman rank correlation (ρ ≥ 0.50) and the Kolmogorov-Smirnov test (p-value ≥ 0.05). Desks failing PLA must use SBM.</w:t>
      </w:r>
    </w:p>
    <w:p>
      <w:pPr>
        <w:pStyle w:val="Heading3"/>
        <w:jc w:val="left"/>
      </w:pPr>
      <w:r>
        <w:t>8.9.3 Functional Objective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For each trading day d in [t-260, t]: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exception(d) = 1 if |actual_pnl(d)| &gt; VaR_model(d) else 0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n_exceptions = Σ exception(d)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if   n_exceptions ≤ 4: zone = "GREEN"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elif n_exceptions ≤ 9: zone = "AMBER"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else:                  zone = "RED"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PLA Spearman:  ρ = spearmanr(HPL, APL)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PLA KS:        p_value = ks_2samp(HPL, APL).pvalue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pla_zone = "GREEN" if ρ ≥ 0.50 and p_value ≥ 0.05 else "AMBER/RED"</w:t>
      </w:r>
    </w:p>
    <w:p>
      <w:pPr>
        <w:pStyle w:val="Heading3"/>
        <w:jc w:val="left"/>
      </w:pPr>
      <w:r>
        <w:t>8.9.4 Key Success Criteria</w:t>
      </w:r>
    </w:p>
    <w:p>
      <w:pPr>
        <w:pStyle w:val="ListBullet"/>
      </w:pPr>
      <w:r>
        <w:t>Exception count correctly identifies the traffic-light zone</w:t>
      </w:r>
    </w:p>
    <w:p>
      <w:pPr>
        <w:pStyle w:val="ListBullet"/>
      </w:pPr>
      <w:r>
        <w:t>Breach at Amber or Red triggers a WARNING log with alert details</w:t>
      </w:r>
    </w:p>
    <w:p>
      <w:pPr>
        <w:pStyle w:val="ListBullet"/>
      </w:pPr>
      <w:r>
        <w:t>Spearman ρ and KS p-value computed and returned in `FRTBResult.pla_zone`</w:t>
      </w:r>
    </w:p>
    <w:p>
      <w:pPr>
        <w:pStyle w:val="ListBullet"/>
      </w:pPr>
      <w:r>
        <w:t>Backtesting results surfaced on the Streamlit Backtesting page with historical exception timeline</w:t>
      </w:r>
    </w:p>
    <w:p>
      <w:pPr>
        <w:pStyle w:val="Heading2"/>
        <w:jc w:val="left"/>
      </w:pPr>
      <w:r>
        <w:t>FR-010: Interactive Dashboard</w:t>
      </w:r>
    </w:p>
    <w:p>
      <w:r>
        <w:rPr>
          <w:b/>
        </w:rPr>
        <w:t>Priority:</w:t>
      </w:r>
      <w:r>
        <w:t xml:space="preserve"> MEDIUM</w:t>
      </w:r>
    </w:p>
    <w:p>
      <w:r>
        <w:rPr>
          <w:b/>
        </w:rPr>
        <w:t>Owner:</w:t>
      </w:r>
      <w:r>
        <w:t xml:space="preserve"> Risk Control / IT</w:t>
      </w:r>
    </w:p>
    <w:p>
      <w:r>
        <w:rPr>
          <w:b/>
        </w:rPr>
        <w:t>File:</w:t>
      </w:r>
      <w:r>
        <w:t xml:space="preserve"> `dashboard/app.py` (844 lines)</w:t>
      </w:r>
    </w:p>
    <w:p>
      <w:pPr>
        <w:pStyle w:val="Heading3"/>
        <w:jc w:val="left"/>
      </w:pPr>
      <w:r>
        <w:t>8.10.1 Use Case</w:t>
      </w:r>
    </w:p>
    <w:p>
      <w:r>
        <w:t xml:space="preserve">The Streamlit dashboard provides a </w:t>
      </w:r>
      <w:r>
        <w:rPr>
          <w:b/>
        </w:rPr>
        <w:t>zero-code interface</w:t>
      </w:r>
      <w:r>
        <w:t xml:space="preserve"> for risk officers, treasury managers, and regulators to view capital results, explore exposure breakdowns, analyse backtesting performance, run stress scenarios, and export regulatory reports — all in a browser.</w:t>
      </w:r>
    </w:p>
    <w:p>
      <w:pPr>
        <w:pStyle w:val="Heading3"/>
        <w:jc w:val="left"/>
      </w:pPr>
      <w:r>
        <w:t>8.10.2 Dashboard Pages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Page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Content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Primary User</w:t>
            </w:r>
          </w:p>
        </w:tc>
      </w:tr>
      <w:tr>
        <w:tc>
          <w:tcPr>
            <w:tcW w:type="dxa" w:w="2880"/>
          </w:tcPr>
          <w:p>
            <w:r>
              <w:t>**Overview**</w:t>
            </w:r>
          </w:p>
        </w:tc>
        <w:tc>
          <w:tcPr>
            <w:tcW w:type="dxa" w:w="2880"/>
          </w:tcPr>
          <w:p>
            <w:r>
              <w:t>Five-part RWA summary, capital ratio, output floor</w:t>
            </w:r>
          </w:p>
        </w:tc>
        <w:tc>
          <w:tcPr>
            <w:tcW w:type="dxa" w:w="2880"/>
          </w:tcPr>
          <w:p>
            <w:r>
              <w:t>CRO, Head of Treasury</w:t>
            </w:r>
          </w:p>
        </w:tc>
      </w:tr>
      <w:tr>
        <w:tc>
          <w:tcPr>
            <w:tcW w:type="dxa" w:w="2880"/>
          </w:tcPr>
          <w:p>
            <w:r>
              <w:t>**Derivative Risk**</w:t>
            </w:r>
          </w:p>
        </w:tc>
        <w:tc>
          <w:tcPr>
            <w:tcW w:type="dxa" w:w="2880"/>
          </w:tcPr>
          <w:p>
            <w:r>
              <w:t>SA-CCR and IMM by portfolio, FRTB capital</w:t>
            </w:r>
          </w:p>
        </w:tc>
        <w:tc>
          <w:tcPr>
            <w:tcW w:type="dxa" w:w="2880"/>
          </w:tcPr>
          <w:p>
            <w:r>
              <w:t>Head of Market Risk</w:t>
            </w:r>
          </w:p>
        </w:tc>
      </w:tr>
      <w:tr>
        <w:tc>
          <w:tcPr>
            <w:tcW w:type="dxa" w:w="2880"/>
          </w:tcPr>
          <w:p>
            <w:r>
              <w:t>**Banking Book**</w:t>
            </w:r>
          </w:p>
        </w:tc>
        <w:tc>
          <w:tcPr>
            <w:tcW w:type="dxa" w:w="2880"/>
          </w:tcPr>
          <w:p>
            <w:r>
              <w:t>A-IRB RWA, PD/LGD distribution, EL shortfall</w:t>
            </w:r>
          </w:p>
        </w:tc>
        <w:tc>
          <w:tcPr>
            <w:tcW w:type="dxa" w:w="2880"/>
          </w:tcPr>
          <w:p>
            <w:r>
              <w:t>Head of Credit Risk</w:t>
            </w:r>
          </w:p>
        </w:tc>
      </w:tr>
      <w:tr>
        <w:tc>
          <w:tcPr>
            <w:tcW w:type="dxa" w:w="2880"/>
          </w:tcPr>
          <w:p>
            <w:r>
              <w:t>**Backtesting**</w:t>
            </w:r>
          </w:p>
        </w:tc>
        <w:tc>
          <w:tcPr>
            <w:tcW w:type="dxa" w:w="2880"/>
          </w:tcPr>
          <w:p>
            <w:r>
              <w:t>Traffic-light status, exception timeline, PLA test</w:t>
            </w:r>
          </w:p>
        </w:tc>
        <w:tc>
          <w:tcPr>
            <w:tcW w:type="dxa" w:w="2880"/>
          </w:tcPr>
          <w:p>
            <w:r>
              <w:t>Market Risk / Model Validation</w:t>
            </w:r>
          </w:p>
        </w:tc>
      </w:tr>
      <w:tr>
        <w:tc>
          <w:tcPr>
            <w:tcW w:type="dxa" w:w="2880"/>
          </w:tcPr>
          <w:p>
            <w:r>
              <w:t>**Capital Planning**</w:t>
            </w:r>
          </w:p>
        </w:tc>
        <w:tc>
          <w:tcPr>
            <w:tcW w:type="dxa" w:w="2880"/>
          </w:tcPr>
          <w:p>
            <w:r>
              <w:t>Stress scenario what-if, RWA forecasts</w:t>
            </w:r>
          </w:p>
        </w:tc>
        <w:tc>
          <w:tcPr>
            <w:tcW w:type="dxa" w:w="2880"/>
          </w:tcPr>
          <w:p>
            <w:r>
              <w:t>Head of Treasury</w:t>
            </w:r>
          </w:p>
        </w:tc>
      </w:tr>
      <w:tr>
        <w:tc>
          <w:tcPr>
            <w:tcW w:type="dxa" w:w="2880"/>
          </w:tcPr>
          <w:p>
            <w:r>
              <w:t>**Reports**</w:t>
            </w:r>
          </w:p>
        </w:tc>
        <w:tc>
          <w:tcPr>
            <w:tcW w:type="dxa" w:w="2880"/>
          </w:tcPr>
          <w:p>
            <w:r>
              <w:t>Downloadable xlsx/csv regulatory templates</w:t>
            </w:r>
          </w:p>
        </w:tc>
        <w:tc>
          <w:tcPr>
            <w:tcW w:type="dxa" w:w="2880"/>
          </w:tcPr>
          <w:p>
            <w:r>
              <w:t>Regulatory Affairs</w:t>
            </w:r>
          </w:p>
        </w:tc>
      </w:tr>
      <w:tr>
        <w:tc>
          <w:tcPr>
            <w:tcW w:type="dxa" w:w="2880"/>
          </w:tcPr>
          <w:p>
            <w:r>
              <w:t>**Settings**</w:t>
            </w:r>
          </w:p>
        </w:tc>
        <w:tc>
          <w:tcPr>
            <w:tcW w:type="dxa" w:w="2880"/>
          </w:tcPr>
          <w:p>
            <w:r>
              <w:t>Configuration management, data source selection</w:t>
            </w:r>
          </w:p>
        </w:tc>
        <w:tc>
          <w:tcPr>
            <w:tcW w:type="dxa" w:w="2880"/>
          </w:tcPr>
          <w:p>
            <w:r>
              <w:t>IT Infrastructure</w:t>
            </w:r>
          </w:p>
        </w:tc>
      </w:tr>
      <w:tr>
        <w:tc>
          <w:tcPr>
            <w:tcW w:type="dxa" w:w="2880"/>
          </w:tcPr>
          <w:p>
            <w:r>
              <w:t>**Documentation**</w:t>
            </w:r>
          </w:p>
        </w:tc>
        <w:tc>
          <w:tcPr>
            <w:tcW w:type="dxa" w:w="2880"/>
          </w:tcPr>
          <w:p>
            <w:r>
              <w:t>Embedded regulatory references (Basel standards)</w:t>
            </w:r>
          </w:p>
        </w:tc>
        <w:tc>
          <w:tcPr>
            <w:tcW w:type="dxa" w:w="2880"/>
          </w:tcPr>
          <w:p>
            <w:r>
              <w:t>All</w:t>
            </w:r>
          </w:p>
        </w:tc>
      </w:tr>
    </w:tbl>
    <w:p>
      <w:pPr>
        <w:pStyle w:val="Heading3"/>
        <w:jc w:val="left"/>
      </w:pPr>
      <w:r>
        <w:t>8.10.3 Key Success Criteria</w:t>
      </w:r>
    </w:p>
    <w:p>
      <w:pPr>
        <w:pStyle w:val="ListBullet"/>
      </w:pPr>
      <w:r>
        <w:t>All 8 pages render without error in Streamlit 1.28+</w:t>
      </w:r>
    </w:p>
    <w:p>
      <w:pPr>
        <w:pStyle w:val="ListBullet"/>
      </w:pPr>
      <w:r>
        <w:t>Excel and CSV exports contain complete, correctly formatted data</w:t>
      </w:r>
    </w:p>
    <w:p>
      <w:pPr>
        <w:pStyle w:val="ListBullet"/>
      </w:pPr>
      <w:r>
        <w:t>Dashboard refresh &lt; 3 seconds on M1 MacBook Air</w:t>
      </w:r>
    </w:p>
    <w:p>
      <w:pPr>
        <w:pStyle w:val="ListBullet"/>
      </w:pPr>
      <w:r>
        <w:t>Data persists correctly across browser refresh via PostgreSQL backend</w:t>
      </w:r>
    </w:p>
    <w:p>
      <w:pPr>
        <w:pStyle w:val="Heading2"/>
        <w:jc w:val="left"/>
      </w:pPr>
      <w:r>
        <w:t>FR-011: Audit Trail and Compliance Reporting</w:t>
      </w:r>
    </w:p>
    <w:p>
      <w:r>
        <w:rPr>
          <w:b/>
        </w:rPr>
        <w:t>Priority:</w:t>
      </w:r>
      <w:r>
        <w:t xml:space="preserve"> CRITICAL</w:t>
      </w:r>
    </w:p>
    <w:p>
      <w:r>
        <w:rPr>
          <w:b/>
        </w:rPr>
        <w:t>Owner:</w:t>
      </w:r>
      <w:r>
        <w:t xml:space="preserve"> Compliance / Regulatory Affairs</w:t>
      </w:r>
    </w:p>
    <w:p>
      <w:r>
        <w:rPr>
          <w:b/>
        </w:rPr>
        <w:t>Files:</w:t>
      </w:r>
      <w:r>
        <w:t xml:space="preserve"> `backend/data_sources/persistence.py`, PostgreSQL `audit` schema</w:t>
      </w:r>
    </w:p>
    <w:p>
      <w:pPr>
        <w:pStyle w:val="Heading3"/>
        <w:jc w:val="left"/>
      </w:pPr>
      <w:r>
        <w:t>8.11.1 Use Case</w:t>
      </w:r>
    </w:p>
    <w:p>
      <w:r>
        <w:t>Regulators (central banks, prudential supervisors) and external auditors require complete, immutable records of all capital calculations, methodology choices, and override events. Without a rigorous audit trail, the institution cannot defend its capital ratios under supervisory examination, and may face model approval revocation.</w:t>
      </w:r>
    </w:p>
    <w:p>
      <w:pPr>
        <w:pStyle w:val="Heading3"/>
        <w:jc w:val="left"/>
      </w:pPr>
      <w:r>
        <w:t>8.11.2 Functional Objective</w:t>
      </w:r>
    </w:p>
    <w:p>
      <w:r>
        <w:t>Every calculation event is logged to the PostgreSQL `audit` schema with:</w:t>
      </w:r>
    </w:p>
    <w:p>
      <w:pPr>
        <w:pStyle w:val="ListBullet"/>
      </w:pPr>
      <w:r>
        <w:t>`audit.run_logs`: Run date, start/end time, duration, status, engine versions</w:t>
      </w:r>
    </w:p>
    <w:p>
      <w:pPr>
        <w:pStyle w:val="ListBullet"/>
      </w:pPr>
      <w:r>
        <w:t>`audit.calculation_traces`: Trade-level trace of formula, inputs, and output for each engine</w:t>
      </w:r>
    </w:p>
    <w:p>
      <w:pPr>
        <w:pStyle w:val="ListBullet"/>
      </w:pPr>
      <w:r>
        <w:t>`audit.breach_alerts`: Timestamps and values for all risk limit breaches and regulatory floor applications</w:t>
      </w:r>
    </w:p>
    <w:p>
      <w:pPr>
        <w:pStyle w:val="ListBullet"/>
      </w:pPr>
      <w:r>
        <w:t>`audit.user_actions`: User identity, action type (run trigger, config change, export), and timestamp</w:t>
      </w:r>
    </w:p>
    <w:p>
      <w:r>
        <w:t>Fallback trace codes follow the format: `FALLBACK|&lt;trade_id&gt;|&lt;reason_code&gt;|&lt;description&gt;`</w:t>
      </w:r>
    </w:p>
    <w:p>
      <w:r>
        <w:t>Example traces:</w:t>
      </w:r>
    </w:p>
    <w:p>
      <w:pPr>
        <w:pStyle w:val="ListBullet"/>
      </w:pPr>
      <w:r>
        <w:t>`FALLBACK|TRD-001|REGULATORY_FLOOR|IMM EAD below 50% SA-CCR floor — CRE53.5`</w:t>
      </w:r>
    </w:p>
    <w:p>
      <w:pPr>
        <w:pStyle w:val="ListBullet"/>
      </w:pPr>
      <w:r>
        <w:t>`FALLBACK|CVA|SA-CVA_NOT_APPROVED|Using BA-CVA per MAR50.12`</w:t>
      </w:r>
    </w:p>
    <w:p>
      <w:pPr>
        <w:pStyle w:val="ListBullet"/>
      </w:pPr>
      <w:r>
        <w:t>`FALLBACK|TRD-007|EXOTIC_PAYOFF|Exotic payoff structure — IMM not approved for this type`</w:t>
      </w:r>
    </w:p>
    <w:p>
      <w:pPr>
        <w:pStyle w:val="Heading3"/>
        <w:jc w:val="left"/>
      </w:pPr>
      <w:r>
        <w:t>8.11.3 Key Success Criteria</w:t>
      </w:r>
    </w:p>
    <w:p>
      <w:pPr>
        <w:pStyle w:val="ListBullet"/>
      </w:pPr>
      <w:r>
        <w:t>Zero calculations executed without a corresponding INFO-level log</w:t>
      </w:r>
    </w:p>
    <w:p>
      <w:pPr>
        <w:pStyle w:val="ListBullet"/>
      </w:pPr>
      <w:r>
        <w:t>All floor applications and fallback events logged at WARNING level</w:t>
      </w:r>
    </w:p>
    <w:p>
      <w:pPr>
        <w:pStyle w:val="ListBullet"/>
      </w:pPr>
      <w:r>
        <w:t>Audit schema tables are append-only (no updates or deletes in production)</w:t>
      </w:r>
    </w:p>
    <w:p>
      <w:pPr>
        <w:pStyle w:val="ListBullet"/>
      </w:pPr>
      <w:r>
        <w:t>Export templates satisfy Basel Pillar 3 Table 4 (Credit Risk) and Table 12 (Market Risk) disclosure formats</w:t>
      </w:r>
    </w:p>
    <w:p>
      <w:pPr>
        <w:pStyle w:val="Heading1"/>
        <w:jc w:val="left"/>
      </w:pPr>
      <w:r>
        <w:t>9. BUSINESS AND FUNCTIONAL WORKFLOW</w:t>
      </w:r>
    </w:p>
    <w:p>
      <w:pPr>
        <w:pStyle w:val="Heading2"/>
        <w:jc w:val="left"/>
      </w:pPr>
      <w:r>
        <w:t>9.1 Business Workflow — Daily Capital Cycle</w:t>
      </w:r>
    </w:p>
    <w:p>
      <w:r>
        <w:t>The daily capital calculation cycle follows a standardised risk operations workflow aligned with industry practice for regulated institutions: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              PROMETHEUS DAILY CAPITAL CYCLE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T-1 Day                T Day (06:00–08:00)          T Day (08:00+)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┌──────────────┐       ┌──────────────────────┐     ┌──────────────────┐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│ Trade Booking│──────►│ Market Data Refresh   │────►│ CRO Dashboard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│ (OMS/TMS)    │       │ (Bloomberg / FRED)    │     │ Review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└──────────────┘       └──────────┬───────────┘     └──────────────────┘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┌──────────────┐                  ▼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│ Collateral   │       ┌──────────────────────┐     ┌──────────────────┐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│ Management   │──────►│ Portfolio Load        │────►│ Risk Limit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│ (CSA Terms)  │       │ (portfolio_generator) │     │ Monitoring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└──────────────┘       └──────────┬───────────┘     └──────────────────┘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┌──────────────┐                  ▼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│ Credit       │       ┌──────────────────────┐     ┌──────────────────┐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│ Systems      │──────►│ PROMETHEUS Risk Run   │────►│ Regulatory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│ (PD/LGD/EAD) │       │ (PrometheusRunner)    │     │ Reporting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└──────────────┘       └──────────┬───────────┘     │ (Pillar 1/3)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       │                  └──────────────────┘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       ▼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┌──────────────────────┐     ┌──────────────────┐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│ Results Persistence   │────►│ Audit Archive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│ (PostgreSQL)          │     │ (audit schema)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└──────────────────────┘     └──────────────────┘</w:t>
      </w:r>
    </w:p>
    <w:p>
      <w:r>
        <w:rPr>
          <w:b/>
        </w:rPr>
        <w:t>Step-by-step business process:</w:t>
      </w:r>
    </w:p>
    <w:p>
      <w:pPr>
        <w:pStyle w:val="ListNumber"/>
      </w:pPr>
      <w:r>
        <w:t>**Trade capture (T-1):** All trades booked in front-office systems by end-of-day cutoff are available in the risk database.</w:t>
      </w:r>
    </w:p>
    <w:p>
      <w:pPr>
        <w:pStyle w:val="ListNumber"/>
      </w:pPr>
      <w:r>
        <w:t>**Collateral reconciliation (T-1 to T):** CSA terms, initial margin, and variation margin are reconciled with counterparties and loaded into netting set definitions.</w:t>
      </w:r>
    </w:p>
    <w:p>
      <w:pPr>
        <w:pStyle w:val="ListNumber"/>
      </w:pPr>
      <w:r>
        <w:t>**Market data refresh (T 06:00):** Bloomberg / Refinitiv / FRED API calls populate yield curves, CDS spreads, volatility surfaces, and macro indicators for the calculation date.</w:t>
      </w:r>
    </w:p>
    <w:p>
      <w:pPr>
        <w:pStyle w:val="ListNumber"/>
      </w:pPr>
      <w:r>
        <w:t>**Portfolio load (T 06:30):** `portfolio_generator.build_full_dataset()` constructs the complete dataset of derivative and banking book portfolios.</w:t>
      </w:r>
    </w:p>
    <w:p>
      <w:pPr>
        <w:pStyle w:val="ListNumber"/>
      </w:pPr>
      <w:r>
        <w:t>**Risk run trigger (T 06:45):** `PrometheusRunner.run_daily()` is invoked (manually via `run_engine.sh` or automated via scheduler).</w:t>
      </w:r>
    </w:p>
    <w:p>
      <w:pPr>
        <w:pStyle w:val="ListNumber"/>
      </w:pPr>
      <w:r>
        <w:t>**Calculation execution (~2 minutes):** All six engines execute sequentially; SA-CCR → IMM → A-IRB → FRTB → CVA → CCP → Five-part formula → Output floor.</w:t>
      </w:r>
    </w:p>
    <w:p>
      <w:pPr>
        <w:pStyle w:val="ListNumber"/>
      </w:pPr>
      <w:r>
        <w:t>**Results persistence (T 07:00):** Complete results JSON and trade-level traces persisted to PostgreSQL.</w:t>
      </w:r>
    </w:p>
    <w:p>
      <w:pPr>
        <w:pStyle w:val="ListNumber"/>
      </w:pPr>
      <w:r>
        <w:t>**Dashboard available (T 07:00):** Risk officers can access the live Streamlit dashboard.</w:t>
      </w:r>
    </w:p>
    <w:p>
      <w:pPr>
        <w:pStyle w:val="ListNumber"/>
      </w:pPr>
      <w:r>
        <w:t>**Limit monitoring (T 07:00–08:00):** Breach alerts are reviewed; any Red Zone backtesting exception triggers Model Validation escalation.</w:t>
      </w:r>
    </w:p>
    <w:p>
      <w:pPr>
        <w:pStyle w:val="ListNumber"/>
      </w:pPr>
      <w:r>
        <w:t>**Regulatory reporting (as required):** Monthly/quarterly COREP exports generated from the dashboard Reports page.</w:t>
      </w:r>
    </w:p>
    <w:p>
      <w:pPr>
        <w:pStyle w:val="Heading2"/>
        <w:jc w:val="left"/>
      </w:pPr>
      <w:r>
        <w:t>9.2 Functional Workflow — Engine Execution Flow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PrometheusRunner.run_daily(run_date)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build_full_dataset(book_date)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├── portfolio_generator: synthetic derivative portfolios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└── portfolio_generator: synthetic banking book portfolios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FOR EACH derivative portfolio: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├── SACCREngine.compute_ead(netting_set, run_date)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replacement_cost()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pfe_multiplier()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addon_ir(), addon_fx(), addon_credit(), addon_equity(), addon_commodity()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└── EAD = α × (RC + mult × AddOn_agg)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├── IMMEngine.run_for_portfolio(trades, run_date, netting_set)  [if IMM eligible]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generate_paths(GBM / Hull-White)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revalue_portfolio()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apply_csa_adjustment()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compute_eepe()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└── EAD_IMM = α × EEPE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├── IMM FLOOR CHECK: if EAD_IMM_CSA &lt; 0.5 × EAD_SA-CCR → FALLBACK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└── FRTBEngine.compute(portfolio_id, sensitivities, pnl_series, ...)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├── SBMCalculator.total_sbm()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│   ├── delta_charge() [per risk class, 3 correlation scenarios]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│   ├── vega_charge()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│   └── curvature_charge()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├── IMACalculator.compute_es()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├── DRCCalculator.compute_drc()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├── rrao_charge()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└── Capital = SBM + IMA + DRC + RRAO; RWA = Capital × 12.5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FOR EACH banking book portfolio: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└── AIRBEngine.compute_portfolio(exposures)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├── FOR EACH exposure: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│   ├── apply PD/LGD floors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│   ├── correlation_r()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│   ├── maturity_adjustment()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│   ├── capital_k()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│   ├── double_default_k() [if has_cds]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│   └── RWA = K × 12.5 × EAD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└── portfolio_summary (total_rwa, total_el, el_shortfall, mitigant_benefit)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CVAEngine.compute(counterparty_inputs)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├── ba_cva() [always available]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└── sa_cva() [if approved; else fallback to BA-CVA]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compute_ccp_rwa(ccp_exposures)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├── QCCP trade EAD × 2%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└── DFC capital × 12.5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FIVE-PART FORMULA: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Total_RWA = Credit + CCR + Market + CVA + CCP + OpRisk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OUTPUT FLOOR: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SA_base = Credit_SA + CCR_SA + Market_SA + CCP_SA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Final_RWA = max(Total_RWA, 0.725 × SA_base)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Capital = Final_RWA × 8%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└── persist_run(results) → PostgreSQL</w:t>
      </w:r>
    </w:p>
    <w:p>
      <w:pPr>
        <w:pStyle w:val="Heading1"/>
        <w:jc w:val="left"/>
      </w:pPr>
      <w:r>
        <w:t>10. SYSTEM ARCHITECTURE</w:t>
      </w:r>
    </w:p>
    <w:p>
      <w:pPr>
        <w:pStyle w:val="Heading2"/>
        <w:jc w:val="left"/>
      </w:pPr>
      <w:r>
        <w:t>10.1 Layered Architecture</w:t>
      </w:r>
    </w:p>
    <w:p>
      <w:r>
        <w:t xml:space="preserve">PROMETHEUS follows a strict </w:t>
      </w:r>
      <w:r>
        <w:rPr>
          <w:b/>
        </w:rPr>
        <w:t>five-layer architecture</w:t>
      </w:r>
      <w:r>
        <w:t xml:space="preserve"> separating presentation, application orchestration, business logic, data access, and persistence: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┌─────────────────────────────────────────────────────────────────────────┐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                  PROMETHEUS PLATFORM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              Institutional Risk Management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└─────────────────────────────────────────────────────────────────────────┘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┌───────────────────────────┼───────────────────────────┐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│                           │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┌────▼────────────────────────────────────────────────────────────────┐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LAYER 1: PRESENTATION            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Streamlit Dashboard (dashboard/app.py) — Port 8501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┌──────────┐ ┌──────────┐ ┌────────────┐ ┌───────────────────┐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│ Overview │ │Deriv Risk│ │Banking Book│ │Backtesting / PLA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└──────────┘ └──────────┘ └────────────┘ └───────────────────┘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┌──────────┐ ┌──────────┐ ┌────────────┐ ┌───────────────────┐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│Cap.Plan  │ │ Reports  │ │  Settings  │ │  Documentation  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└──────────┘ └──────────┘ └────────────┘ └───────────────────┘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└────────────────────────────────────────────────────────────────────┘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┌────────────────────────────────────────────────────────────────────┐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LAYER 2: APPLICATION             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PrometheusRunner (backend/main.py)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• Daily risk run orchestration          • Five-part RWA formula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• Output floor logic (RBC20.11)         • Calibration integration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• IMM floor enforcement (CRE53.5)       • Results aggregation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└────────────────────────────────────────────────────────────────────┘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┌────────────────────────────────────────────────────────────────────┐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LAYER 3: BUSINESS LOGIC (backend/engines/)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                               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┌────────────────┐  ┌────────────────┐  ┌────────────────────┐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SA-CCR Engine  │  │   IMM Engine   │  │   A-IRB Engine   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CRE52          │  │   CRE53        │  │   CRE30–36       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sa_ccr.py      │  │   imm.py       │  │   a_irb.py       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└────────────────┘  └────────────────┘  └────────────────────┘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                               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┌────────────────┐  ┌────────────────┐  ┌────────────────────┐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 FRTB Engine   │  │   CVA Engine   │  │   CCP Engine     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 MAR20–33      │  │   MAR50        │  │   CRE54          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 frtb.py       │  │   cva.py       │  │   ccp.py         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┌───────────┐  │  │ ┌──────────┐  │  └────────────────────┘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│SBMCalc    │  │  │ │BA-CVA/   │  │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│IMACalc    │  │  │ │SA-CVA    │  │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│DRCCalc    │  │  │ └──────────┘  │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│Backtest   │  │  └────────────────┘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└───────────┘  │            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└────────────────┘            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└────────────────────────────────────────────────────────────────────┘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┌────────────────────────────────────────────────────────────────────┐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LAYER 4: DATA ACCESS (backend/data_sources/ + data_generators/)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                               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┌─────────────────────────────────────────────────────────────┐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            Market Data Provider (Abstract)                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 BloombergProvider │ RefinitivProvider │ StaticTestProvider 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└─────────────────────────────────────────────────────────────┘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┌─────────────────────────────────────────────────────────────┐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CDSSpreadService │ CVAMarketDataFeed │ CalibrationModule    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└─────────────────────────────────────────────────────────────┘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┌─────────────────────────────────────────────────────────────┐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│ PortfolioGenerator │ CVAGenerator │ Persistence Module      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└─────────────────────────────────────────────────────────────┘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└────────────────────────────────────────────────────────────────────┘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┌────────────────────────────────────────────────────────────────────┐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LAYER 5: PERSISTENCE                    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PostgreSQL 15 (Docker — localhost:5432)                   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┌──────────────┐ ┌────────────────┐ ┌──────────┐ ┌──────────┐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│ risk schema  │ │market_data     │ │reference │ │audit     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│ (5 tables)   │ │ (5 tables)     │ │(3 tables)│ │(4 tables)│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│  └──────────────┘ └────────────────┘ └──────────┘ └──────────┘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└────────────────────────────────────────────────────────────────────┘</w:t>
      </w:r>
    </w:p>
    <w:p>
      <w:pPr>
        <w:pStyle w:val="Heading2"/>
        <w:jc w:val="left"/>
      </w:pPr>
      <w:r>
        <w:t>10.2 External Interface Architecture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External Feeds                   PROMETHEUS                   Consumers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Bloomberg Terminal       ──►  MarketDataProvider  ──►  FRTB RW Adjustment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Refinitiv / LSEG Eikon  ──►  CDSSpreadService    ──►  A-IRB PD Calibration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FRED Public API         ──►  CVAMarketDataFeed   ──►  CVA Discounting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Internal REST API       ──►  InternalFeedProvider ──►  All Engines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PostgreSQL (docker)     ◄──  Persistence Module  ◄──  PrometheusRunner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──►  Dashboard (app.py) ──►  Streamlit Browser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──►  Audit Export       ──►  Regulators / Auditors</w:t>
      </w:r>
    </w:p>
    <w:p>
      <w:pPr>
        <w:pStyle w:val="Heading2"/>
        <w:jc w:val="left"/>
      </w:pPr>
      <w:r>
        <w:t>10.3 Non-Functional Architecture Constraints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Constraint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Value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Rationale</w:t>
            </w:r>
          </w:p>
        </w:tc>
      </w:tr>
      <w:tr>
        <w:tc>
          <w:tcPr>
            <w:tcW w:type="dxa" w:w="2880"/>
          </w:tcPr>
          <w:p>
            <w:r>
              <w:t>**Max RAM**</w:t>
            </w:r>
          </w:p>
        </w:tc>
        <w:tc>
          <w:tcPr>
            <w:tcW w:type="dxa" w:w="2880"/>
          </w:tcPr>
          <w:p>
            <w:r>
              <w:t>~500 MB total (M1 8 GB)</w:t>
            </w:r>
          </w:p>
        </w:tc>
        <w:tc>
          <w:tcPr>
            <w:tcW w:type="dxa" w:w="2880"/>
          </w:tcPr>
          <w:p>
            <w:r>
              <w:t>MC paths ~40 MB; PostgreSQL ~200 MB; Dashboard ~150 MB</w:t>
            </w:r>
          </w:p>
        </w:tc>
      </w:tr>
      <w:tr>
        <w:tc>
          <w:tcPr>
            <w:tcW w:type="dxa" w:w="2880"/>
          </w:tcPr>
          <w:p>
            <w:r>
              <w:t>**Max run time**</w:t>
            </w:r>
          </w:p>
        </w:tc>
        <w:tc>
          <w:tcPr>
            <w:tcW w:type="dxa" w:w="2880"/>
          </w:tcPr>
          <w:p>
            <w:r>
              <w:t>&lt; 5 minutes</w:t>
            </w:r>
          </w:p>
        </w:tc>
        <w:tc>
          <w:tcPr>
            <w:tcW w:type="dxa" w:w="2880"/>
          </w:tcPr>
          <w:p>
            <w:r>
              <w:t>Daily P&amp;L batch must complete before 08:00 market open</w:t>
            </w:r>
          </w:p>
        </w:tc>
      </w:tr>
      <w:tr>
        <w:tc>
          <w:tcPr>
            <w:tcW w:type="dxa" w:w="2880"/>
          </w:tcPr>
          <w:p>
            <w:r>
              <w:t>**Port allocations**</w:t>
            </w:r>
          </w:p>
        </w:tc>
        <w:tc>
          <w:tcPr>
            <w:tcW w:type="dxa" w:w="2880"/>
          </w:tcPr>
          <w:p>
            <w:r>
              <w:t>PostgreSQL: 5432; pgAdmin: 5050; Streamlit: 8501</w:t>
            </w:r>
          </w:p>
        </w:tc>
        <w:tc>
          <w:tcPr>
            <w:tcW w:type="dxa" w:w="2880"/>
          </w:tcPr>
          <w:p>
            <w:r>
              <w:t>Fixed for local deployment; configurable via environment variables</w:t>
            </w:r>
          </w:p>
        </w:tc>
      </w:tr>
      <w:tr>
        <w:tc>
          <w:tcPr>
            <w:tcW w:type="dxa" w:w="2880"/>
          </w:tcPr>
          <w:p>
            <w:r>
              <w:t>**Concurrency**</w:t>
            </w:r>
          </w:p>
        </w:tc>
        <w:tc>
          <w:tcPr>
            <w:tcW w:type="dxa" w:w="2880"/>
          </w:tcPr>
          <w:p>
            <w:r>
              <w:t>Single-threaded (Sprint A); multi-core planned (Sprint B)</w:t>
            </w:r>
          </w:p>
        </w:tc>
        <w:tc>
          <w:tcPr>
            <w:tcW w:type="dxa" w:w="2880"/>
          </w:tcPr>
          <w:p>
            <w:r>
              <w:t>M1 single-thread performance sufficient for 2K scenarios × 52 steps</w:t>
            </w:r>
          </w:p>
        </w:tc>
      </w:tr>
      <w:tr>
        <w:tc>
          <w:tcPr>
            <w:tcW w:type="dxa" w:w="2880"/>
          </w:tcPr>
          <w:p>
            <w:r>
              <w:t>**Python version**</w:t>
            </w:r>
          </w:p>
        </w:tc>
        <w:tc>
          <w:tcPr>
            <w:tcW w:type="dxa" w:w="2880"/>
          </w:tcPr>
          <w:p>
            <w:r>
              <w:t>3.11+</w:t>
            </w:r>
          </w:p>
        </w:tc>
        <w:tc>
          <w:tcPr>
            <w:tcW w:type="dxa" w:w="2880"/>
          </w:tcPr>
          <w:p>
            <w:r>
              <w:t>`dataclasses`, `match`, `tomllib` features required</w:t>
            </w:r>
          </w:p>
        </w:tc>
      </w:tr>
    </w:tbl>
    <w:p>
      <w:pPr>
        <w:pStyle w:val="Heading1"/>
        <w:jc w:val="left"/>
      </w:pPr>
      <w:r>
        <w:t>11. TECHNICAL DESIGN</w:t>
      </w:r>
    </w:p>
    <w:p>
      <w:pPr>
        <w:pStyle w:val="Heading2"/>
        <w:jc w:val="left"/>
      </w:pPr>
      <w:r>
        <w:t>11.1 Technology Stack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Layer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Technology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Justification</w:t>
            </w:r>
          </w:p>
        </w:tc>
      </w:tr>
      <w:tr>
        <w:tc>
          <w:tcPr>
            <w:tcW w:type="dxa" w:w="2160"/>
          </w:tcPr>
          <w:p>
            <w:r>
              <w:t>**Language**</w:t>
            </w:r>
          </w:p>
        </w:tc>
        <w:tc>
          <w:tcPr>
            <w:tcW w:type="dxa" w:w="2160"/>
          </w:tcPr>
          <w:p>
            <w:r>
              <w:t>Python</w:t>
            </w:r>
          </w:p>
        </w:tc>
        <w:tc>
          <w:tcPr>
            <w:tcW w:type="dxa" w:w="2160"/>
          </w:tcPr>
          <w:p>
            <w:r>
              <w:t>3.11+</w:t>
            </w:r>
          </w:p>
        </w:tc>
        <w:tc>
          <w:tcPr>
            <w:tcW w:type="dxa" w:w="2160"/>
          </w:tcPr>
          <w:p>
            <w:r>
              <w:t>Scientific computing ecosystem; regulatory finance libraries; type safety via Pylance</w:t>
            </w:r>
          </w:p>
        </w:tc>
      </w:tr>
      <w:tr>
        <w:tc>
          <w:tcPr>
            <w:tcW w:type="dxa" w:w="2160"/>
          </w:tcPr>
          <w:p>
            <w:r>
              <w:t>**Numerical**</w:t>
            </w:r>
          </w:p>
        </w:tc>
        <w:tc>
          <w:tcPr>
            <w:tcW w:type="dxa" w:w="2160"/>
          </w:tcPr>
          <w:p>
            <w:r>
              <w:t>NumPy</w:t>
            </w:r>
          </w:p>
        </w:tc>
        <w:tc>
          <w:tcPr>
            <w:tcW w:type="dxa" w:w="2160"/>
          </w:tcPr>
          <w:p>
            <w:r>
              <w:t>1.24+</w:t>
            </w:r>
          </w:p>
        </w:tc>
        <w:tc>
          <w:tcPr>
            <w:tcW w:type="dxa" w:w="2160"/>
          </w:tcPr>
          <w:p>
            <w:r>
              <w:t>Vectorised matrix operations for SBM correlation matrices; Monte Carlo path arrays</w:t>
            </w:r>
          </w:p>
        </w:tc>
      </w:tr>
      <w:tr>
        <w:tc>
          <w:tcPr>
            <w:tcW w:type="dxa" w:w="2160"/>
          </w:tcPr>
          <w:p>
            <w:r>
              <w:t>**Statistics**</w:t>
            </w:r>
          </w:p>
        </w:tc>
        <w:tc>
          <w:tcPr>
            <w:tcW w:type="dxa" w:w="2160"/>
          </w:tcPr>
          <w:p>
            <w:r>
              <w:t>SciPy</w:t>
            </w:r>
          </w:p>
        </w:tc>
        <w:tc>
          <w:tcPr>
            <w:tcW w:type="dxa" w:w="2160"/>
          </w:tcPr>
          <w:p>
            <w:r>
              <w:t>1.10+</w:t>
            </w:r>
          </w:p>
        </w:tc>
        <w:tc>
          <w:tcPr>
            <w:tcW w:type="dxa" w:w="2160"/>
          </w:tcPr>
          <w:p>
            <w:r>
              <w:t>`scipy.stats.norm` (inverse CDF for A-IRB); `scipy.stats.spearmanr`, `ks_2samp` (backtesting)</w:t>
            </w:r>
          </w:p>
        </w:tc>
      </w:tr>
      <w:tr>
        <w:tc>
          <w:tcPr>
            <w:tcW w:type="dxa" w:w="2160"/>
          </w:tcPr>
          <w:p>
            <w:r>
              <w:t>**Database**</w:t>
            </w:r>
          </w:p>
        </w:tc>
        <w:tc>
          <w:tcPr>
            <w:tcW w:type="dxa" w:w="2160"/>
          </w:tcPr>
          <w:p>
            <w:r>
              <w:t>PostgreSQL 15</w:t>
            </w:r>
          </w:p>
        </w:tc>
        <w:tc>
          <w:tcPr>
            <w:tcW w:type="dxa" w:w="2160"/>
          </w:tcPr>
          <w:p>
            <w:r>
              <w:t>15.x</w:t>
            </w:r>
          </w:p>
        </w:tc>
        <w:tc>
          <w:tcPr>
            <w:tcW w:type="dxa" w:w="2160"/>
          </w:tcPr>
          <w:p>
            <w:r>
              <w:t>ACID compliance; JSON column support for trade results; arm64 Docker image</w:t>
            </w:r>
          </w:p>
        </w:tc>
      </w:tr>
      <w:tr>
        <w:tc>
          <w:tcPr>
            <w:tcW w:type="dxa" w:w="2160"/>
          </w:tcPr>
          <w:p>
            <w:r>
              <w:t>**ORM / Driver**</w:t>
            </w:r>
          </w:p>
        </w:tc>
        <w:tc>
          <w:tcPr>
            <w:tcW w:type="dxa" w:w="2160"/>
          </w:tcPr>
          <w:p>
            <w:r>
              <w:t>psycopg2</w:t>
            </w:r>
          </w:p>
        </w:tc>
        <w:tc>
          <w:tcPr>
            <w:tcW w:type="dxa" w:w="2160"/>
          </w:tcPr>
          <w:p>
            <w:r>
              <w:t>2.9+</w:t>
            </w:r>
          </w:p>
        </w:tc>
        <w:tc>
          <w:tcPr>
            <w:tcW w:type="dxa" w:w="2160"/>
          </w:tcPr>
          <w:p>
            <w:r>
              <w:t>Native Python PostgreSQL adapter; used in `persistence.py`</w:t>
            </w:r>
          </w:p>
        </w:tc>
      </w:tr>
      <w:tr>
        <w:tc>
          <w:tcPr>
            <w:tcW w:type="dxa" w:w="2160"/>
          </w:tcPr>
          <w:p>
            <w:r>
              <w:t>**Dashboard**</w:t>
            </w:r>
          </w:p>
        </w:tc>
        <w:tc>
          <w:tcPr>
            <w:tcW w:type="dxa" w:w="2160"/>
          </w:tcPr>
          <w:p>
            <w:r>
              <w:t>Streamlit</w:t>
            </w:r>
          </w:p>
        </w:tc>
        <w:tc>
          <w:tcPr>
            <w:tcW w:type="dxa" w:w="2160"/>
          </w:tcPr>
          <w:p>
            <w:r>
              <w:t>1.28+</w:t>
            </w:r>
          </w:p>
        </w:tc>
        <w:tc>
          <w:tcPr>
            <w:tcW w:type="dxa" w:w="2160"/>
          </w:tcPr>
          <w:p>
            <w:r>
              <w:t>Zero-frontend-code interactive web UI; ideal for risk officer self-service</w:t>
            </w:r>
          </w:p>
        </w:tc>
      </w:tr>
      <w:tr>
        <w:tc>
          <w:tcPr>
            <w:tcW w:type="dxa" w:w="2160"/>
          </w:tcPr>
          <w:p>
            <w:r>
              <w:t>**Visualisation**</w:t>
            </w:r>
          </w:p>
        </w:tc>
        <w:tc>
          <w:tcPr>
            <w:tcW w:type="dxa" w:w="2160"/>
          </w:tcPr>
          <w:p>
            <w:r>
              <w:t>Plotly</w:t>
            </w:r>
          </w:p>
        </w:tc>
        <w:tc>
          <w:tcPr>
            <w:tcW w:type="dxa" w:w="2160"/>
          </w:tcPr>
          <w:p>
            <w:r>
              <w:t>5.17+</w:t>
            </w:r>
          </w:p>
        </w:tc>
        <w:tc>
          <w:tcPr>
            <w:tcW w:type="dxa" w:w="2160"/>
          </w:tcPr>
          <w:p>
            <w:r>
              <w:t>Interactive charts (waterfall RWA, backtesting timeline, ES distribution)</w:t>
            </w:r>
          </w:p>
        </w:tc>
      </w:tr>
      <w:tr>
        <w:tc>
          <w:tcPr>
            <w:tcW w:type="dxa" w:w="2160"/>
          </w:tcPr>
          <w:p>
            <w:r>
              <w:t>**Data Export**</w:t>
            </w:r>
          </w:p>
        </w:tc>
        <w:tc>
          <w:tcPr>
            <w:tcW w:type="dxa" w:w="2160"/>
          </w:tcPr>
          <w:p>
            <w:r>
              <w:t>Pandas</w:t>
            </w:r>
          </w:p>
        </w:tc>
        <w:tc>
          <w:tcPr>
            <w:tcW w:type="dxa" w:w="2160"/>
          </w:tcPr>
          <w:p>
            <w:r>
              <w:t>2.0+</w:t>
            </w:r>
          </w:p>
        </w:tc>
        <w:tc>
          <w:tcPr>
            <w:tcW w:type="dxa" w:w="2160"/>
          </w:tcPr>
          <w:p>
            <w:r>
              <w:t>`pd.ExcelWriter` for xlsx; `DataFrame.to_csv()` for CSV regulatory exports</w:t>
            </w:r>
          </w:p>
        </w:tc>
      </w:tr>
      <w:tr>
        <w:tc>
          <w:tcPr>
            <w:tcW w:type="dxa" w:w="2160"/>
          </w:tcPr>
          <w:p>
            <w:r>
              <w:t>**Testing**</w:t>
            </w:r>
          </w:p>
        </w:tc>
        <w:tc>
          <w:tcPr>
            <w:tcW w:type="dxa" w:w="2160"/>
          </w:tcPr>
          <w:p>
            <w:r>
              <w:t>pytest</w:t>
            </w:r>
          </w:p>
        </w:tc>
        <w:tc>
          <w:tcPr>
            <w:tcW w:type="dxa" w:w="2160"/>
          </w:tcPr>
          <w:p>
            <w:r>
              <w:t>7.4+</w:t>
            </w:r>
          </w:p>
        </w:tc>
        <w:tc>
          <w:tcPr>
            <w:tcW w:type="dxa" w:w="2160"/>
          </w:tcPr>
          <w:p>
            <w:r>
              <w:t>Unit and integration tests; parametrised test cases for Basel formula validation</w:t>
            </w:r>
          </w:p>
        </w:tc>
      </w:tr>
      <w:tr>
        <w:tc>
          <w:tcPr>
            <w:tcW w:type="dxa" w:w="2160"/>
          </w:tcPr>
          <w:p>
            <w:r>
              <w:t>**Containerisation**</w:t>
            </w:r>
          </w:p>
        </w:tc>
        <w:tc>
          <w:tcPr>
            <w:tcW w:type="dxa" w:w="2160"/>
          </w:tcPr>
          <w:p>
            <w:r>
              <w:t>Docker</w:t>
            </w:r>
          </w:p>
        </w:tc>
        <w:tc>
          <w:tcPr>
            <w:tcW w:type="dxa" w:w="2160"/>
          </w:tcPr>
          <w:p>
            <w:r>
              <w:t>24.0+</w:t>
            </w:r>
          </w:p>
        </w:tc>
        <w:tc>
          <w:tcPr>
            <w:tcW w:type="dxa" w:w="2160"/>
          </w:tcPr>
          <w:p>
            <w:r>
              <w:t>PostgreSQL + pgAdmin in arm64 containers; `docker-compose.yml` orchestration</w:t>
            </w:r>
          </w:p>
        </w:tc>
      </w:tr>
      <w:tr>
        <w:tc>
          <w:tcPr>
            <w:tcW w:type="dxa" w:w="2160"/>
          </w:tcPr>
          <w:p>
            <w:r>
              <w:t>**Type Checking**</w:t>
            </w:r>
          </w:p>
        </w:tc>
        <w:tc>
          <w:tcPr>
            <w:tcW w:type="dxa" w:w="2160"/>
          </w:tcPr>
          <w:p>
            <w:r>
              <w:t>Pylance (VS Code)</w:t>
            </w:r>
          </w:p>
        </w:tc>
        <w:tc>
          <w:tcPr>
            <w:tcW w:type="dxa" w:w="2160"/>
          </w:tcPr>
          <w:p>
            <w:r>
              <w:t>Latest</w:t>
            </w:r>
          </w:p>
        </w:tc>
        <w:tc>
          <w:tcPr>
            <w:tcW w:type="dxa" w:w="2160"/>
          </w:tcPr>
          <w:p>
            <w:r>
              <w:t>Strict mode; 0 type errors enforced in CI</w:t>
            </w:r>
          </w:p>
        </w:tc>
      </w:tr>
    </w:tbl>
    <w:p>
      <w:pPr>
        <w:pStyle w:val="Heading2"/>
        <w:jc w:val="left"/>
      </w:pPr>
      <w:r>
        <w:t>11.2 Core Engine Design Patterns</w:t>
      </w:r>
    </w:p>
    <w:p>
      <w:pPr>
        <w:pStyle w:val="Heading3"/>
        <w:jc w:val="left"/>
      </w:pPr>
      <w:r>
        <w:t>11.2.1 Dataclass-Driven Data Model</w:t>
      </w:r>
    </w:p>
    <w:p>
      <w:r>
        <w:t>All inputs and outputs are strongly-typed Python `dataclass` objects, enforcing type safety and enabling auto-serialisation:</w:t>
      </w:r>
    </w:p>
    <w:p>
      <w:pPr>
        <w:pStyle w:val="ListBullet"/>
      </w:pPr>
      <w:r>
        <w:t>`Trade`, `NettingSet`, `SAcCRResult` — SA-CCR engine</w:t>
      </w:r>
    </w:p>
    <w:p>
      <w:pPr>
        <w:pStyle w:val="ListBullet"/>
      </w:pPr>
      <w:r>
        <w:t>`BankingBookExposure`, `AIRBTradeResult` — A-IRB engine</w:t>
      </w:r>
    </w:p>
    <w:p>
      <w:pPr>
        <w:pStyle w:val="ListBullet"/>
      </w:pPr>
      <w:r>
        <w:t>`Sensitivity`, `FRTBResult`, `ShockScenario` — FRTB engine</w:t>
      </w:r>
    </w:p>
    <w:p>
      <w:pPr>
        <w:pStyle w:val="ListBullet"/>
      </w:pPr>
      <w:r>
        <w:t>`CCPExposure`, `CCPResult` — CCP engine</w:t>
      </w:r>
    </w:p>
    <w:p>
      <w:pPr>
        <w:pStyle w:val="ListBullet"/>
      </w:pPr>
      <w:r>
        <w:t>`ExposureProfile`, `CSATerms` — IMM engine</w:t>
      </w:r>
    </w:p>
    <w:p>
      <w:pPr>
        <w:pStyle w:val="Heading3"/>
        <w:jc w:val="left"/>
      </w:pPr>
      <w:r>
        <w:t>11.2.2 Abstract Market Data Interface</w:t>
      </w:r>
    </w:p>
    <w:p>
      <w:r>
        <w:t xml:space="preserve">`MarketDataProvider` (ABC) defines the contract; concrete implementations inject via dependency inversion. `CDSSpreadService` composes providers with fallback and caching, following the </w:t>
      </w:r>
      <w:r>
        <w:rPr>
          <w:b/>
        </w:rPr>
        <w:t>Strategy Pattern</w:t>
      </w:r>
      <w:r>
        <w:t>.</w:t>
      </w:r>
    </w:p>
    <w:p>
      <w:pPr>
        <w:pStyle w:val="Heading3"/>
        <w:jc w:val="left"/>
      </w:pPr>
      <w:r>
        <w:t>11.2.3 Pluggable Correlation Model</w:t>
      </w:r>
    </w:p>
    <w:p>
      <w:r>
        <w:t>`CorrelationModel` is injectable into `FRTBConfig`, enabling alternative correlation structures (e.g., empirical GIRR tenor correlations) without modifying engine code.</w:t>
      </w:r>
    </w:p>
    <w:p>
      <w:pPr>
        <w:pStyle w:val="Heading3"/>
        <w:jc w:val="left"/>
      </w:pPr>
      <w:r>
        <w:t>11.2.4 Real-Time Market Condition Adjustment</w:t>
      </w:r>
    </w:p>
    <w:p>
      <w:r>
        <w:t xml:space="preserve">`DynamicParameterAdjustment` wraps `FRTBConfig` and `MarketConditions` to scale risk weights and correlations based on live market stress index. This is a clean </w:t>
      </w:r>
      <w:r>
        <w:rPr>
          <w:b/>
        </w:rPr>
        <w:t>Decorator Pattern</w:t>
      </w:r>
      <w:r>
        <w:t xml:space="preserve"> extension: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MarketConditions → stress_level() → DynamicParameterAdjustment.adjust_risk_weights()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                           ↓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                          SBMCalculator._risk_weight_for()</w:t>
      </w:r>
    </w:p>
    <w:p>
      <w:pPr>
        <w:pStyle w:val="Heading3"/>
        <w:jc w:val="left"/>
      </w:pPr>
      <w:r>
        <w:t>11.2.5 Fallback Trace Code Pattern</w:t>
      </w:r>
    </w:p>
    <w:p>
      <w:r>
        <w:t>Every fallback event writes a structured trace string directly onto the trade object: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format: "FALLBACK|{trade_id}|{reason_code}|{description}"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example: "FALLBACK|TRD-001|REGULATORY_FLOOR|IMM EAD below 50% SA-CCR floor — CRE53.5"</w:t>
      </w:r>
    </w:p>
    <w:p>
      <w:r>
        <w:t>This is consumed downstream by the audit persistence layer and surfaced on the dashboard.</w:t>
      </w:r>
    </w:p>
    <w:p>
      <w:pPr>
        <w:pStyle w:val="Heading2"/>
        <w:jc w:val="left"/>
      </w:pPr>
      <w:r>
        <w:t>11.3 Database Design</w:t>
      </w:r>
    </w:p>
    <w:p>
      <w:pPr>
        <w:pStyle w:val="Heading3"/>
        <w:jc w:val="left"/>
      </w:pPr>
      <w:r>
        <w:t>11.3.1 Schema Overview (17 Tables)</w:t>
      </w:r>
    </w:p>
    <w:p>
      <w:r>
        <w:rPr>
          <w:b/>
        </w:rPr>
        <w:t>risk schema: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portfolios    (portfolio_id VARCHAR PK, type VARCHAR, run_date DATE, cpty_id VARCHAR)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trades        (trade_id VARCHAR PK, portfolio_id FK, asset_class, instrument_type,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notional NUMERIC, mtm NUMERIC, maturity_date DATE)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netting_sets  (netting_id VARCHAR PK, counterparty_id FK, initial_margin NUMERIC,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variation_margin NUMERIC, threshold NUMERIC, mta NUMERIC, mpor_days INT)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exposures     (exposure_id VARCHAR PK, portfolio_id FK, ead NUMERIC, pd NUMERIC,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lgd NUMERIC, maturity NUMERIC, sales_volume NUMERIC)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rwa_results   (result_id SERIAL PK, run_date DATE, rwa_credit NUMERIC, rwa_ccr NUMERIC,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rwa_market NUMERIC, rwa_cva NUMERIC, rwa_ccp NUMERIC, rwa_oprisk NUMERIC,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 total_rwa NUMERIC, final_rwa NUMERIC, capital NUMERIC)</w:t>
      </w:r>
    </w:p>
    <w:p>
      <w:r>
        <w:rPr>
          <w:b/>
        </w:rPr>
        <w:t>market_data schema: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yield_curves        (curve_id VARCHAR PK, currency VARCHAR, tenor NUMERIC, rate NUMERIC, date DATE)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fx_rates            (pair VARCHAR PK, rate NUMERIC, date DATE)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vol_surfaces        (surface_id VARCHAR PK, asset_class, strike NUMERIC, maturity NUMERIC, vol NUMERIC)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cds_spreads         (entity_id VARCHAR PK, tenor NUMERIC, spread_bp NUMERIC, date DATE)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correlation_matrices(matrix_id VARCHAR PK, risk_class VARCHAR, values JSONB)</w:t>
      </w:r>
    </w:p>
    <w:p>
      <w:r>
        <w:rPr>
          <w:b/>
        </w:rPr>
        <w:t>reference schema: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counterparties    (counterparty_id VARCHAR PK, name VARCHAR, rating VARCHAR, sector VARCHAR)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risk_limits       (limit_id VARCHAR PK, limit_type VARCHAR, threshold NUMERIC, currency VARCHAR)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regulatory_params (param_id VARCHAR PK, standard VARCHAR, parameter VARCHAR, value NUMERIC)</w:t>
      </w:r>
    </w:p>
    <w:p>
      <w:r>
        <w:rPr>
          <w:b/>
        </w:rPr>
        <w:t>audit schema: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run_logs             (log_id SERIAL PK, run_date DATE, status VARCHAR, duration_sec NUMERIC, engine_version VARCHAR)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calculation_traces   (trace_id SERIAL PK, portfolio_id FK, engine VARCHAR, formula TEXT, result NUMERIC, ts TIMESTAMPTZ)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breach_alerts        (alert_id SERIAL PK, limit_id FK, value NUMERIC, threshold NUMERIC, ts TIMESTAMPTZ)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user_actions         (action_id SERIAL PK, user_name VARCHAR, action_type VARCHAR, detail TEXT, ts TIMESTAMPTZ)</w:t>
      </w:r>
    </w:p>
    <w:p>
      <w:pPr>
        <w:pStyle w:val="Heading2"/>
        <w:jc w:val="left"/>
      </w:pPr>
      <w:r>
        <w:t>11.4 Configuration Management</w:t>
      </w:r>
    </w:p>
    <w:p>
      <w:r>
        <w:t>All regulatory parameters are centralised in `backend/config.py` as typed dataclass instances: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Config Class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Instance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Key Parameters</w:t>
            </w:r>
          </w:p>
        </w:tc>
      </w:tr>
      <w:tr>
        <w:tc>
          <w:tcPr>
            <w:tcW w:type="dxa" w:w="2880"/>
          </w:tcPr>
          <w:p>
            <w:r>
              <w:t>`SACarCRConfig`</w:t>
            </w:r>
          </w:p>
        </w:tc>
        <w:tc>
          <w:tcPr>
            <w:tcW w:type="dxa" w:w="2880"/>
          </w:tcPr>
          <w:p>
            <w:r>
              <w:t>`SACCR`</w:t>
            </w:r>
          </w:p>
        </w:tc>
        <w:tc>
          <w:tcPr>
            <w:tcW w:type="dxa" w:w="2880"/>
          </w:tcPr>
          <w:p>
            <w:r>
              <w:t>`alpha=1.4`, `floor_multiplier=0.05`, `mpor_secured=10`</w:t>
            </w:r>
          </w:p>
        </w:tc>
      </w:tr>
      <w:tr>
        <w:tc>
          <w:tcPr>
            <w:tcW w:type="dxa" w:w="2880"/>
          </w:tcPr>
          <w:p>
            <w:r>
              <w:t>`IMMConfig`</w:t>
            </w:r>
          </w:p>
        </w:tc>
        <w:tc>
          <w:tcPr>
            <w:tcW w:type="dxa" w:w="2880"/>
          </w:tcPr>
          <w:p>
            <w:r>
              <w:t>`IMM`</w:t>
            </w:r>
          </w:p>
        </w:tc>
        <w:tc>
          <w:tcPr>
            <w:tcW w:type="dxa" w:w="2880"/>
          </w:tcPr>
          <w:p>
            <w:r>
              <w:t>`num_scenarios=2000`, `time_steps=52`, `alpha=1.4`, `random_seed=42`</w:t>
            </w:r>
          </w:p>
        </w:tc>
      </w:tr>
      <w:tr>
        <w:tc>
          <w:tcPr>
            <w:tcW w:type="dxa" w:w="2880"/>
          </w:tcPr>
          <w:p>
            <w:r>
              <w:t>`AIRBConfig`</w:t>
            </w:r>
          </w:p>
        </w:tc>
        <w:tc>
          <w:tcPr>
            <w:tcW w:type="dxa" w:w="2880"/>
          </w:tcPr>
          <w:p>
            <w:r>
              <w:t>`AIRB`</w:t>
            </w:r>
          </w:p>
        </w:tc>
        <w:tc>
          <w:tcPr>
            <w:tcW w:type="dxa" w:w="2880"/>
          </w:tcPr>
          <w:p>
            <w:r>
              <w:t>`pd_floor=0.0003`, `lgd_floor_unsecured=0.25`, `maturity_cap=5.0`</w:t>
            </w:r>
          </w:p>
        </w:tc>
      </w:tr>
      <w:tr>
        <w:tc>
          <w:tcPr>
            <w:tcW w:type="dxa" w:w="2880"/>
          </w:tcPr>
          <w:p>
            <w:r>
              <w:t>`FRTBConfig`</w:t>
            </w:r>
          </w:p>
        </w:tc>
        <w:tc>
          <w:tcPr>
            <w:tcW w:type="dxa" w:w="2880"/>
          </w:tcPr>
          <w:p>
            <w:r>
              <w:t>`FRTB`</w:t>
            </w:r>
          </w:p>
        </w:tc>
        <w:tc>
          <w:tcPr>
            <w:tcW w:type="dxa" w:w="2880"/>
          </w:tcPr>
          <w:p>
            <w:r>
              <w:t>`confidence_es=0.975`, `holding_period_days=10`, `green_zone_exceptions=4`</w:t>
            </w:r>
          </w:p>
        </w:tc>
      </w:tr>
      <w:tr>
        <w:tc>
          <w:tcPr>
            <w:tcW w:type="dxa" w:w="2880"/>
          </w:tcPr>
          <w:p>
            <w:r>
              <w:t>`MarketDataConfig`</w:t>
            </w:r>
          </w:p>
        </w:tc>
        <w:tc>
          <w:tcPr>
            <w:tcW w:type="dxa" w:w="2880"/>
          </w:tcPr>
          <w:p>
            <w:r>
              <w:t>`MARKET_DATA`</w:t>
            </w:r>
          </w:p>
        </w:tc>
        <w:tc>
          <w:tcPr>
            <w:tcW w:type="dxa" w:w="2880"/>
          </w:tcPr>
          <w:p>
            <w:r>
              <w:t>`primary_source`, `cache_ttl_seconds=300`, `bloomberg_host`</w:t>
            </w:r>
          </w:p>
        </w:tc>
      </w:tr>
    </w:tbl>
    <w:p>
      <w:r>
        <w:t>Environment variable overrides are supported for all connection parameters (DB, Bloomberg, Refinitiv) via `os.getenv()`, enabling deployment without credential hardcoding.</w:t>
      </w:r>
    </w:p>
    <w:p>
      <w:pPr>
        <w:pStyle w:val="Heading2"/>
        <w:jc w:val="left"/>
      </w:pPr>
      <w:r>
        <w:t>11.5 Error Handling Architecture</w:t>
      </w:r>
    </w:p>
    <w:p>
      <w:r>
        <w:t>All engines follow a consistent three-tier exception hierarchy: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BaseException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└── Exception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├── ValidationError  (FRTBValidationError, IMMValidationError, ...)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│     Raised for: invalid inputs, NaN/inf values, parameter out of range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│     Handler: caller catches, logs WARNING, rejects bad input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├── ConfigurationError  (FRTBConfigurationError, ...)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│     Raised for: invalid config (correlations out of range, empty risk classes)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│     Handler: caught at startup; prevents engine initialisation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└── CalculationError  (FRTBCalculationError, ...)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Raised for: NaN/inf produced during calculation (numerical instability)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          Handler: caught by orchestrator, logged at ERROR, run marked FAILED</w:t>
      </w:r>
    </w:p>
    <w:p>
      <w:r>
        <w:t>Graceful degradation:</w:t>
      </w:r>
    </w:p>
    <w:p>
      <w:pPr>
        <w:pStyle w:val="ListBullet"/>
      </w:pPr>
      <w:r>
        <w:t>**Bloomberg/Refinitiv unavailable** → falls to next market data tier; logs WARNING</w:t>
      </w:r>
    </w:p>
    <w:p>
      <w:pPr>
        <w:pStyle w:val="ListBullet"/>
      </w:pPr>
      <w:r>
        <w:t>**FRED API unavailable** → uses hard-coded CVA defaults; logs WARNING</w:t>
      </w:r>
    </w:p>
    <w:p>
      <w:pPr>
        <w:pStyle w:val="ListBullet"/>
      </w:pPr>
      <w:r>
        <w:t>**IMM floor violated** → FALLBACK to SA-CCR; trace logged; run continues</w:t>
      </w:r>
    </w:p>
    <w:p>
      <w:pPr>
        <w:pStyle w:val="ListBullet"/>
      </w:pPr>
      <w:r>
        <w:t>**SA-CVA not approved** → BA-CVA used; trace logged; run continues</w:t>
      </w:r>
    </w:p>
    <w:p>
      <w:pPr>
        <w:pStyle w:val="ListBullet"/>
      </w:pPr>
      <w:r>
        <w:t>**scipy.special.erfinv unavailable** → local polynomial approximation in `a_irb.py`</w:t>
      </w:r>
    </w:p>
    <w:p>
      <w:pPr>
        <w:pStyle w:val="Heading2"/>
        <w:jc w:val="left"/>
      </w:pPr>
      <w:r>
        <w:t>11.6 Testing Architecture</w:t>
      </w:r>
    </w:p>
    <w:p>
      <w:r>
        <w:rPr>
          <w:b/>
        </w:rPr>
        <w:t>48 unit/integration tests</w:t>
      </w:r>
      <w:r>
        <w:t xml:space="preserve"> across `tests/test_engines.py`, structured by engine: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Test Group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Count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Coverage</w:t>
            </w:r>
          </w:p>
        </w:tc>
      </w:tr>
      <w:tr>
        <w:tc>
          <w:tcPr>
            <w:tcW w:type="dxa" w:w="2880"/>
          </w:tcPr>
          <w:p>
            <w:r>
              <w:t>SA-CCR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RC, PFE multiplier, Add-Ons per asset class, EAD formula, IMM eligibility</w:t>
            </w:r>
          </w:p>
        </w:tc>
      </w:tr>
      <w:tr>
        <w:tc>
          <w:tcPr>
            <w:tcW w:type="dxa" w:w="2880"/>
          </w:tcPr>
          <w:p>
            <w:r>
              <w:t>IMM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GBM paths, Hull-White paths, CSA adjustment, EEPE convergence, stressed EAD</w:t>
            </w:r>
          </w:p>
        </w:tc>
      </w:tr>
      <w:tr>
        <w:tc>
          <w:tcPr>
            <w:tcW w:type="dxa" w:w="2880"/>
          </w:tcPr>
          <w:p>
            <w:r>
              <w:t>A-IRB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K formula, SME adjustment, double-default, EL shortfall, PD/LGD floors</w:t>
            </w:r>
          </w:p>
        </w:tc>
      </w:tr>
      <w:tr>
        <w:tc>
          <w:tcPr>
            <w:tcW w:type="dxa" w:w="2880"/>
          </w:tcPr>
          <w:p>
            <w:r>
              <w:t>FRTB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SBM delta/vega/curvature, three-scenario framework, ES at 97.5%, DRC</w:t>
            </w:r>
          </w:p>
        </w:tc>
      </w:tr>
      <w:tr>
        <w:tc>
          <w:tcPr>
            <w:tcW w:type="dxa" w:w="2880"/>
          </w:tcPr>
          <w:p>
            <w:r>
              <w:t>CVA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BA-CVA, SA-CVA, fallback logic, rho stress, FRED fallback</w:t>
            </w:r>
          </w:p>
        </w:tc>
      </w:tr>
      <w:tr>
        <w:tc>
          <w:tcPr>
            <w:tcW w:type="dxa" w:w="2880"/>
          </w:tcPr>
          <w:p>
            <w:r>
              <w:t>CCP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QCCP/non-QCCP, segregated IM, DFC simplified, unfunded</w:t>
            </w:r>
          </w:p>
        </w:tc>
      </w:tr>
      <w:tr>
        <w:tc>
          <w:tcPr>
            <w:tcW w:type="dxa" w:w="2880"/>
          </w:tcPr>
          <w:p>
            <w:r>
              <w:t>Capital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Five-part formula, output floor</w:t>
            </w:r>
          </w:p>
        </w:tc>
      </w:tr>
      <w:tr>
        <w:tc>
          <w:tcPr>
            <w:tcW w:type="dxa" w:w="2880"/>
          </w:tcPr>
          <w:p>
            <w:r>
              <w:t>**Total**</w:t>
            </w:r>
          </w:p>
        </w:tc>
        <w:tc>
          <w:tcPr>
            <w:tcW w:type="dxa" w:w="2880"/>
          </w:tcPr>
          <w:p>
            <w:r>
              <w:t>**48**</w:t>
            </w:r>
          </w:p>
        </w:tc>
        <w:tc>
          <w:tcPr>
            <w:tcW w:type="dxa" w:w="2880"/>
          </w:tcPr>
          <w:p>
            <w:r>
              <w:t>**100% pass rate**</w:t>
            </w:r>
          </w:p>
        </w:tc>
      </w:tr>
    </w:tbl>
    <w:p>
      <w:pPr>
        <w:pStyle w:val="Heading2"/>
        <w:jc w:val="left"/>
      </w:pPr>
      <w:r>
        <w:t>11.7 Deployment Architecture</w:t>
      </w:r>
    </w:p>
    <w:p>
      <w:r>
        <w:rPr>
          <w:b/>
        </w:rPr>
        <w:t>Sprint A — Development (Current):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MacBook Air M1 (8 GB RAM, macOS Ventura+)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Python 3.11 (.venv at /Users/aaron/Documents/Project/Prometheus/.venv/)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PostgreSQL 15 (Docker arm64, localhost:5432)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└── Database: prometheus_risk | User: risk_admin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pgAdmin 4 (Docker, localhost:5050) — schema browser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Streamlit 1.28 (localhost:8501) — dashboard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└── pytest 7.4 — test suite</w:t>
      </w:r>
    </w:p>
    <w:p>
      <w:r>
        <w:rPr>
          <w:b/>
        </w:rPr>
        <w:t>Sprint E / F — Production (Planned 2026):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Azure / AWS Cloud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Azure App Service (Python 3.11 backend, auto-scale)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└── Trigger: Azure Scheduler (06:00 daily)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Azure Database for PostgreSQL (Flexible Server, Burstable B2ms)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└── Geo-redundant backup; TDE encryption at rest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Azure Key Vault — credentials (DB password, Bloomberg API key)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Application Insights — logging, performance monitoring, alerts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Azure Blob Storage — report exports (xlsx/csv)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└── Azure Front Door / Application Gateway — HTTPS load balancing</w:t>
      </w:r>
    </w:p>
    <w:p>
      <w:pPr>
        <w:pStyle w:val="Heading1"/>
        <w:jc w:val="left"/>
      </w:pPr>
      <w:r>
        <w:t>12. APPENDIX</w:t>
      </w:r>
    </w:p>
    <w:p>
      <w:pPr>
        <w:pStyle w:val="Heading2"/>
        <w:jc w:val="left"/>
      </w:pPr>
      <w:r>
        <w:t>Appendix A — Regulatory Standards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Standard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Full Name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Basel Publication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PROMETHEUS Engine</w:t>
            </w:r>
          </w:p>
        </w:tc>
      </w:tr>
      <w:tr>
        <w:tc>
          <w:tcPr>
            <w:tcW w:type="dxa" w:w="2160"/>
          </w:tcPr>
          <w:p>
            <w:r>
              <w:t>**CRE30**</w:t>
            </w:r>
          </w:p>
        </w:tc>
        <w:tc>
          <w:tcPr>
            <w:tcW w:type="dxa" w:w="2160"/>
          </w:tcPr>
          <w:p>
            <w:r>
              <w:t>Credit Risk — Scope of IRB Approach</w:t>
            </w:r>
          </w:p>
        </w:tc>
        <w:tc>
          <w:tcPr>
            <w:tcW w:type="dxa" w:w="2160"/>
          </w:tcPr>
          <w:p>
            <w:r>
              <w:t>BIS April 2019</w:t>
            </w:r>
          </w:p>
        </w:tc>
        <w:tc>
          <w:tcPr>
            <w:tcW w:type="dxa" w:w="2160"/>
          </w:tcPr>
          <w:p>
            <w:r>
              <w:t>A-IRB engine</w:t>
            </w:r>
          </w:p>
        </w:tc>
      </w:tr>
      <w:tr>
        <w:tc>
          <w:tcPr>
            <w:tcW w:type="dxa" w:w="2160"/>
          </w:tcPr>
          <w:p>
            <w:r>
              <w:t>**CRE31**</w:t>
            </w:r>
          </w:p>
        </w:tc>
        <w:tc>
          <w:tcPr>
            <w:tcW w:type="dxa" w:w="2160"/>
          </w:tcPr>
          <w:p>
            <w:r>
              <w:t>Credit Risk — IRB Risk Weight Functions</w:t>
            </w:r>
          </w:p>
        </w:tc>
        <w:tc>
          <w:tcPr>
            <w:tcW w:type="dxa" w:w="2160"/>
          </w:tcPr>
          <w:p>
            <w:r>
              <w:t>BIS April 2019</w:t>
            </w:r>
          </w:p>
        </w:tc>
        <w:tc>
          <w:tcPr>
            <w:tcW w:type="dxa" w:w="2160"/>
          </w:tcPr>
          <w:p>
            <w:r>
              <w:t>A-IRB engine</w:t>
            </w:r>
          </w:p>
        </w:tc>
      </w:tr>
      <w:tr>
        <w:tc>
          <w:tcPr>
            <w:tcW w:type="dxa" w:w="2160"/>
          </w:tcPr>
          <w:p>
            <w:r>
              <w:t>**CRE32**</w:t>
            </w:r>
          </w:p>
        </w:tc>
        <w:tc>
          <w:tcPr>
            <w:tcW w:type="dxa" w:w="2160"/>
          </w:tcPr>
          <w:p>
            <w:r>
              <w:t>Credit Risk — IRB Collateral / LGD</w:t>
            </w:r>
          </w:p>
        </w:tc>
        <w:tc>
          <w:tcPr>
            <w:tcW w:type="dxa" w:w="2160"/>
          </w:tcPr>
          <w:p>
            <w:r>
              <w:t>BIS April 2019</w:t>
            </w:r>
          </w:p>
        </w:tc>
        <w:tc>
          <w:tcPr>
            <w:tcW w:type="dxa" w:w="2160"/>
          </w:tcPr>
          <w:p>
            <w:r>
              <w:t>A-IRB engine</w:t>
            </w:r>
          </w:p>
        </w:tc>
      </w:tr>
      <w:tr>
        <w:tc>
          <w:tcPr>
            <w:tcW w:type="dxa" w:w="2160"/>
          </w:tcPr>
          <w:p>
            <w:r>
              <w:t>**CRE35**</w:t>
            </w:r>
          </w:p>
        </w:tc>
        <w:tc>
          <w:tcPr>
            <w:tcW w:type="dxa" w:w="2160"/>
          </w:tcPr>
          <w:p>
            <w:r>
              <w:t>Credit Risk — IRB Expected Loss</w:t>
            </w:r>
          </w:p>
        </w:tc>
        <w:tc>
          <w:tcPr>
            <w:tcW w:type="dxa" w:w="2160"/>
          </w:tcPr>
          <w:p>
            <w:r>
              <w:t>BIS April 2019</w:t>
            </w:r>
          </w:p>
        </w:tc>
        <w:tc>
          <w:tcPr>
            <w:tcW w:type="dxa" w:w="2160"/>
          </w:tcPr>
          <w:p>
            <w:r>
              <w:t>A-IRB engine</w:t>
            </w:r>
          </w:p>
        </w:tc>
      </w:tr>
      <w:tr>
        <w:tc>
          <w:tcPr>
            <w:tcW w:type="dxa" w:w="2160"/>
          </w:tcPr>
          <w:p>
            <w:r>
              <w:t>**CRE36**</w:t>
            </w:r>
          </w:p>
        </w:tc>
        <w:tc>
          <w:tcPr>
            <w:tcW w:type="dxa" w:w="2160"/>
          </w:tcPr>
          <w:p>
            <w:r>
              <w:t>Credit Risk — IRB Minimum PD requirements</w:t>
            </w:r>
          </w:p>
        </w:tc>
        <w:tc>
          <w:tcPr>
            <w:tcW w:type="dxa" w:w="2160"/>
          </w:tcPr>
          <w:p>
            <w:r>
              <w:t>BIS April 2019</w:t>
            </w:r>
          </w:p>
        </w:tc>
        <w:tc>
          <w:tcPr>
            <w:tcW w:type="dxa" w:w="2160"/>
          </w:tcPr>
          <w:p>
            <w:r>
              <w:t>A-IRB engine</w:t>
            </w:r>
          </w:p>
        </w:tc>
      </w:tr>
      <w:tr>
        <w:tc>
          <w:tcPr>
            <w:tcW w:type="dxa" w:w="2160"/>
          </w:tcPr>
          <w:p>
            <w:r>
              <w:t>**CRE51**</w:t>
            </w:r>
          </w:p>
        </w:tc>
        <w:tc>
          <w:tcPr>
            <w:tcW w:type="dxa" w:w="2160"/>
          </w:tcPr>
          <w:p>
            <w:r>
              <w:t>Counterparty Credit Risk — Overview</w:t>
            </w:r>
          </w:p>
        </w:tc>
        <w:tc>
          <w:tcPr>
            <w:tcW w:type="dxa" w:w="2160"/>
          </w:tcPr>
          <w:p>
            <w:r>
              <w:t>BIS June 2019</w:t>
            </w:r>
          </w:p>
        </w:tc>
        <w:tc>
          <w:tcPr>
            <w:tcW w:type="dxa" w:w="2160"/>
          </w:tcPr>
          <w:p>
            <w:r>
              <w:t>SA-CCR / IMM</w:t>
            </w:r>
          </w:p>
        </w:tc>
      </w:tr>
      <w:tr>
        <w:tc>
          <w:tcPr>
            <w:tcW w:type="dxa" w:w="2160"/>
          </w:tcPr>
          <w:p>
            <w:r>
              <w:t>**CRE52**</w:t>
            </w:r>
          </w:p>
        </w:tc>
        <w:tc>
          <w:tcPr>
            <w:tcW w:type="dxa" w:w="2160"/>
          </w:tcPr>
          <w:p>
            <w:r>
              <w:t>CCR — Standardised Approach (SA-CCR)</w:t>
            </w:r>
          </w:p>
        </w:tc>
        <w:tc>
          <w:tcPr>
            <w:tcW w:type="dxa" w:w="2160"/>
          </w:tcPr>
          <w:p>
            <w:r>
              <w:t>BIS June 2019</w:t>
            </w:r>
          </w:p>
        </w:tc>
        <w:tc>
          <w:tcPr>
            <w:tcW w:type="dxa" w:w="2160"/>
          </w:tcPr>
          <w:p>
            <w:r>
              <w:t>SA-CCR engine</w:t>
            </w:r>
          </w:p>
        </w:tc>
      </w:tr>
      <w:tr>
        <w:tc>
          <w:tcPr>
            <w:tcW w:type="dxa" w:w="2160"/>
          </w:tcPr>
          <w:p>
            <w:r>
              <w:t>**CRE53**</w:t>
            </w:r>
          </w:p>
        </w:tc>
        <w:tc>
          <w:tcPr>
            <w:tcW w:type="dxa" w:w="2160"/>
          </w:tcPr>
          <w:p>
            <w:r>
              <w:t>CCR — Internal Models Method (IMM)</w:t>
            </w:r>
          </w:p>
        </w:tc>
        <w:tc>
          <w:tcPr>
            <w:tcW w:type="dxa" w:w="2160"/>
          </w:tcPr>
          <w:p>
            <w:r>
              <w:t>BIS June 2019</w:t>
            </w:r>
          </w:p>
        </w:tc>
        <w:tc>
          <w:tcPr>
            <w:tcW w:type="dxa" w:w="2160"/>
          </w:tcPr>
          <w:p>
            <w:r>
              <w:t>IMM engine</w:t>
            </w:r>
          </w:p>
        </w:tc>
      </w:tr>
      <w:tr>
        <w:tc>
          <w:tcPr>
            <w:tcW w:type="dxa" w:w="2160"/>
          </w:tcPr>
          <w:p>
            <w:r>
              <w:t>**CRE54**</w:t>
            </w:r>
          </w:p>
        </w:tc>
        <w:tc>
          <w:tcPr>
            <w:tcW w:type="dxa" w:w="2160"/>
          </w:tcPr>
          <w:p>
            <w:r>
              <w:t>CCR — Central Counterparty (CCP)</w:t>
            </w:r>
          </w:p>
        </w:tc>
        <w:tc>
          <w:tcPr>
            <w:tcW w:type="dxa" w:w="2160"/>
          </w:tcPr>
          <w:p>
            <w:r>
              <w:t>BIS June 2019</w:t>
            </w:r>
          </w:p>
        </w:tc>
        <w:tc>
          <w:tcPr>
            <w:tcW w:type="dxa" w:w="2160"/>
          </w:tcPr>
          <w:p>
            <w:r>
              <w:t>CCP engine</w:t>
            </w:r>
          </w:p>
        </w:tc>
      </w:tr>
      <w:tr>
        <w:tc>
          <w:tcPr>
            <w:tcW w:type="dxa" w:w="2160"/>
          </w:tcPr>
          <w:p>
            <w:r>
              <w:t>**MAR10**</w:t>
            </w:r>
          </w:p>
        </w:tc>
        <w:tc>
          <w:tcPr>
            <w:tcW w:type="dxa" w:w="2160"/>
          </w:tcPr>
          <w:p>
            <w:r>
              <w:t>Market Risk — Overview</w:t>
            </w:r>
          </w:p>
        </w:tc>
        <w:tc>
          <w:tcPr>
            <w:tcW w:type="dxa" w:w="2160"/>
          </w:tcPr>
          <w:p>
            <w:r>
              <w:t>BIS Jan 2019 (rev.)</w:t>
            </w:r>
          </w:p>
        </w:tc>
        <w:tc>
          <w:tcPr>
            <w:tcW w:type="dxa" w:w="2160"/>
          </w:tcPr>
          <w:p>
            <w:r>
              <w:t>FRTB engine</w:t>
            </w:r>
          </w:p>
        </w:tc>
      </w:tr>
      <w:tr>
        <w:tc>
          <w:tcPr>
            <w:tcW w:type="dxa" w:w="2160"/>
          </w:tcPr>
          <w:p>
            <w:r>
              <w:t>**MAR20**</w:t>
            </w:r>
          </w:p>
        </w:tc>
        <w:tc>
          <w:tcPr>
            <w:tcW w:type="dxa" w:w="2160"/>
          </w:tcPr>
          <w:p>
            <w:r>
              <w:t>Market Risk — Boundary and transfer</w:t>
            </w:r>
          </w:p>
        </w:tc>
        <w:tc>
          <w:tcPr>
            <w:tcW w:type="dxa" w:w="2160"/>
          </w:tcPr>
          <w:p>
            <w:r>
              <w:t>BIS Jan 2019 (rev.)</w:t>
            </w:r>
          </w:p>
        </w:tc>
        <w:tc>
          <w:tcPr>
            <w:tcW w:type="dxa" w:w="2160"/>
          </w:tcPr>
          <w:p>
            <w:r>
              <w:t>FRTB engine</w:t>
            </w:r>
          </w:p>
        </w:tc>
      </w:tr>
      <w:tr>
        <w:tc>
          <w:tcPr>
            <w:tcW w:type="dxa" w:w="2160"/>
          </w:tcPr>
          <w:p>
            <w:r>
              <w:t>**MAR21**</w:t>
            </w:r>
          </w:p>
        </w:tc>
        <w:tc>
          <w:tcPr>
            <w:tcW w:type="dxa" w:w="2160"/>
          </w:tcPr>
          <w:p>
            <w:r>
              <w:t>Market Risk — SBM Delta</w:t>
            </w:r>
          </w:p>
        </w:tc>
        <w:tc>
          <w:tcPr>
            <w:tcW w:type="dxa" w:w="2160"/>
          </w:tcPr>
          <w:p>
            <w:r>
              <w:t>BIS Jan 2019 (rev.)</w:t>
            </w:r>
          </w:p>
        </w:tc>
        <w:tc>
          <w:tcPr>
            <w:tcW w:type="dxa" w:w="2160"/>
          </w:tcPr>
          <w:p>
            <w:r>
              <w:t>FRTB SBM</w:t>
            </w:r>
          </w:p>
        </w:tc>
      </w:tr>
      <w:tr>
        <w:tc>
          <w:tcPr>
            <w:tcW w:type="dxa" w:w="2160"/>
          </w:tcPr>
          <w:p>
            <w:r>
              <w:t>**MAR22**</w:t>
            </w:r>
          </w:p>
        </w:tc>
        <w:tc>
          <w:tcPr>
            <w:tcW w:type="dxa" w:w="2160"/>
          </w:tcPr>
          <w:p>
            <w:r>
              <w:t>Market Risk — Default Risk Charge</w:t>
            </w:r>
          </w:p>
        </w:tc>
        <w:tc>
          <w:tcPr>
            <w:tcW w:type="dxa" w:w="2160"/>
          </w:tcPr>
          <w:p>
            <w:r>
              <w:t>BIS Jan 2019 (rev.)</w:t>
            </w:r>
          </w:p>
        </w:tc>
        <w:tc>
          <w:tcPr>
            <w:tcW w:type="dxa" w:w="2160"/>
          </w:tcPr>
          <w:p>
            <w:r>
              <w:t>FRTB DRC</w:t>
            </w:r>
          </w:p>
        </w:tc>
      </w:tr>
      <w:tr>
        <w:tc>
          <w:tcPr>
            <w:tcW w:type="dxa" w:w="2160"/>
          </w:tcPr>
          <w:p>
            <w:r>
              <w:t>**MAR23**</w:t>
            </w:r>
          </w:p>
        </w:tc>
        <w:tc>
          <w:tcPr>
            <w:tcW w:type="dxa" w:w="2160"/>
          </w:tcPr>
          <w:p>
            <w:r>
              <w:t>Market Risk — Residual Risk Add-On (RRAO)</w:t>
            </w:r>
          </w:p>
        </w:tc>
        <w:tc>
          <w:tcPr>
            <w:tcW w:type="dxa" w:w="2160"/>
          </w:tcPr>
          <w:p>
            <w:r>
              <w:t>BIS Jan 2019 (rev.)</w:t>
            </w:r>
          </w:p>
        </w:tc>
        <w:tc>
          <w:tcPr>
            <w:tcW w:type="dxa" w:w="2160"/>
          </w:tcPr>
          <w:p>
            <w:r>
              <w:t>FRTB RRAO</w:t>
            </w:r>
          </w:p>
        </w:tc>
      </w:tr>
      <w:tr>
        <w:tc>
          <w:tcPr>
            <w:tcW w:type="dxa" w:w="2160"/>
          </w:tcPr>
          <w:p>
            <w:r>
              <w:t>**MAR31**</w:t>
            </w:r>
          </w:p>
        </w:tc>
        <w:tc>
          <w:tcPr>
            <w:tcW w:type="dxa" w:w="2160"/>
          </w:tcPr>
          <w:p>
            <w:r>
              <w:t>Market Risk — NMRF</w:t>
            </w:r>
          </w:p>
        </w:tc>
        <w:tc>
          <w:tcPr>
            <w:tcW w:type="dxa" w:w="2160"/>
          </w:tcPr>
          <w:p>
            <w:r>
              <w:t>BIS Jan 2019 (rev.)</w:t>
            </w:r>
          </w:p>
        </w:tc>
        <w:tc>
          <w:tcPr>
            <w:tcW w:type="dxa" w:w="2160"/>
          </w:tcPr>
          <w:p>
            <w:r>
              <w:t>FRTB NMRF</w:t>
            </w:r>
          </w:p>
        </w:tc>
      </w:tr>
      <w:tr>
        <w:tc>
          <w:tcPr>
            <w:tcW w:type="dxa" w:w="2160"/>
          </w:tcPr>
          <w:p>
            <w:r>
              <w:t>**MAR32**</w:t>
            </w:r>
          </w:p>
        </w:tc>
        <w:tc>
          <w:tcPr>
            <w:tcW w:type="dxa" w:w="2160"/>
          </w:tcPr>
          <w:p>
            <w:r>
              <w:t>Market Risk — PLA Test</w:t>
            </w:r>
          </w:p>
        </w:tc>
        <w:tc>
          <w:tcPr>
            <w:tcW w:type="dxa" w:w="2160"/>
          </w:tcPr>
          <w:p>
            <w:r>
              <w:t>BIS Jan 2019 (rev.)</w:t>
            </w:r>
          </w:p>
        </w:tc>
        <w:tc>
          <w:tcPr>
            <w:tcW w:type="dxa" w:w="2160"/>
          </w:tcPr>
          <w:p>
            <w:r>
              <w:t>BacktestEngine</w:t>
            </w:r>
          </w:p>
        </w:tc>
      </w:tr>
      <w:tr>
        <w:tc>
          <w:tcPr>
            <w:tcW w:type="dxa" w:w="2160"/>
          </w:tcPr>
          <w:p>
            <w:r>
              <w:t>**MAR33**</w:t>
            </w:r>
          </w:p>
        </w:tc>
        <w:tc>
          <w:tcPr>
            <w:tcW w:type="dxa" w:w="2160"/>
          </w:tcPr>
          <w:p>
            <w:r>
              <w:t>Market Risk — IMA (ES)</w:t>
            </w:r>
          </w:p>
        </w:tc>
        <w:tc>
          <w:tcPr>
            <w:tcW w:type="dxa" w:w="2160"/>
          </w:tcPr>
          <w:p>
            <w:r>
              <w:t>BIS Jan 2019 (rev.)</w:t>
            </w:r>
          </w:p>
        </w:tc>
        <w:tc>
          <w:tcPr>
            <w:tcW w:type="dxa" w:w="2160"/>
          </w:tcPr>
          <w:p>
            <w:r>
              <w:t>FRTB IMA</w:t>
            </w:r>
          </w:p>
        </w:tc>
      </w:tr>
      <w:tr>
        <w:tc>
          <w:tcPr>
            <w:tcW w:type="dxa" w:w="2160"/>
          </w:tcPr>
          <w:p>
            <w:r>
              <w:t>**MAR50**</w:t>
            </w:r>
          </w:p>
        </w:tc>
        <w:tc>
          <w:tcPr>
            <w:tcW w:type="dxa" w:w="2160"/>
          </w:tcPr>
          <w:p>
            <w:r>
              <w:t>CVA Risk</w:t>
            </w:r>
          </w:p>
        </w:tc>
        <w:tc>
          <w:tcPr>
            <w:tcW w:type="dxa" w:w="2160"/>
          </w:tcPr>
          <w:p>
            <w:r>
              <w:t>BIS June 2019</w:t>
            </w:r>
          </w:p>
        </w:tc>
        <w:tc>
          <w:tcPr>
            <w:tcW w:type="dxa" w:w="2160"/>
          </w:tcPr>
          <w:p>
            <w:r>
              <w:t>CVA engine</w:t>
            </w:r>
          </w:p>
        </w:tc>
      </w:tr>
      <w:tr>
        <w:tc>
          <w:tcPr>
            <w:tcW w:type="dxa" w:w="2160"/>
          </w:tcPr>
          <w:p>
            <w:r>
              <w:t>**MAR99**</w:t>
            </w:r>
          </w:p>
        </w:tc>
        <w:tc>
          <w:tcPr>
            <w:tcW w:type="dxa" w:w="2160"/>
          </w:tcPr>
          <w:p>
            <w:r>
              <w:t>Market Risk — Backtesting</w:t>
            </w:r>
          </w:p>
        </w:tc>
        <w:tc>
          <w:tcPr>
            <w:tcW w:type="dxa" w:w="2160"/>
          </w:tcPr>
          <w:p>
            <w:r>
              <w:t>BIS Jan 2019 (rev.)</w:t>
            </w:r>
          </w:p>
        </w:tc>
        <w:tc>
          <w:tcPr>
            <w:tcW w:type="dxa" w:w="2160"/>
          </w:tcPr>
          <w:p>
            <w:r>
              <w:t>BacktestEngine</w:t>
            </w:r>
          </w:p>
        </w:tc>
      </w:tr>
      <w:tr>
        <w:tc>
          <w:tcPr>
            <w:tcW w:type="dxa" w:w="2160"/>
          </w:tcPr>
          <w:p>
            <w:r>
              <w:t>**RBC20**</w:t>
            </w:r>
          </w:p>
        </w:tc>
        <w:tc>
          <w:tcPr>
            <w:tcW w:type="dxa" w:w="2160"/>
          </w:tcPr>
          <w:p>
            <w:r>
              <w:t>Risk-Based Capital — Overview</w:t>
            </w:r>
          </w:p>
        </w:tc>
        <w:tc>
          <w:tcPr>
            <w:tcW w:type="dxa" w:w="2160"/>
          </w:tcPr>
          <w:p>
            <w:r>
              <w:t>BIS June 2019</w:t>
            </w:r>
          </w:p>
        </w:tc>
        <w:tc>
          <w:tcPr>
            <w:tcW w:type="dxa" w:w="2160"/>
          </w:tcPr>
          <w:p>
            <w:r>
              <w:t>PrometheusRunner</w:t>
            </w:r>
          </w:p>
        </w:tc>
      </w:tr>
      <w:tr>
        <w:tc>
          <w:tcPr>
            <w:tcW w:type="dxa" w:w="2160"/>
          </w:tcPr>
          <w:p>
            <w:r>
              <w:t>**RBC25**</w:t>
            </w:r>
          </w:p>
        </w:tc>
        <w:tc>
          <w:tcPr>
            <w:tcW w:type="dxa" w:w="2160"/>
          </w:tcPr>
          <w:p>
            <w:r>
              <w:t>Capital — Limits and Minima</w:t>
            </w:r>
          </w:p>
        </w:tc>
        <w:tc>
          <w:tcPr>
            <w:tcW w:type="dxa" w:w="2160"/>
          </w:tcPr>
          <w:p>
            <w:r>
              <w:t>BIS June 2019</w:t>
            </w:r>
          </w:p>
        </w:tc>
        <w:tc>
          <w:tcPr>
            <w:tcW w:type="dxa" w:w="2160"/>
          </w:tcPr>
          <w:p>
            <w:r>
              <w:t>PrometheusRunner</w:t>
            </w:r>
          </w:p>
        </w:tc>
      </w:tr>
      <w:tr>
        <w:tc>
          <w:tcPr>
            <w:tcW w:type="dxa" w:w="2160"/>
          </w:tcPr>
          <w:p>
            <w:r>
              <w:t>**CAP10**</w:t>
            </w:r>
          </w:p>
        </w:tc>
        <w:tc>
          <w:tcPr>
            <w:tcW w:type="dxa" w:w="2160"/>
          </w:tcPr>
          <w:p>
            <w:r>
              <w:t>Capital Adequacy — Output Floor FAQ</w:t>
            </w:r>
          </w:p>
        </w:tc>
        <w:tc>
          <w:tcPr>
            <w:tcW w:type="dxa" w:w="2160"/>
          </w:tcPr>
          <w:p>
            <w:r>
              <w:t>BIS 2019</w:t>
            </w:r>
          </w:p>
        </w:tc>
        <w:tc>
          <w:tcPr>
            <w:tcW w:type="dxa" w:w="2160"/>
          </w:tcPr>
          <w:p>
            <w:r>
              <w:t>Output floor logic</w:t>
            </w:r>
          </w:p>
        </w:tc>
      </w:tr>
      <w:tr>
        <w:tc>
          <w:tcPr>
            <w:tcW w:type="dxa" w:w="2160"/>
          </w:tcPr>
          <w:p>
            <w:r>
              <w:t>**OPE25**</w:t>
            </w:r>
          </w:p>
        </w:tc>
        <w:tc>
          <w:tcPr>
            <w:tcW w:type="dxa" w:w="2160"/>
          </w:tcPr>
          <w:p>
            <w:r>
              <w:t>Operational Risk — Standardised Approach</w:t>
            </w:r>
          </w:p>
        </w:tc>
        <w:tc>
          <w:tcPr>
            <w:tcW w:type="dxa" w:w="2160"/>
          </w:tcPr>
          <w:p>
            <w:r>
              <w:t>BIS June 2019</w:t>
            </w:r>
          </w:p>
        </w:tc>
        <w:tc>
          <w:tcPr>
            <w:tcW w:type="dxa" w:w="2160"/>
          </w:tcPr>
          <w:p>
            <w:r>
              <w:t>Stub (Sprint E)</w:t>
            </w:r>
          </w:p>
        </w:tc>
      </w:tr>
      <w:tr>
        <w:tc>
          <w:tcPr>
            <w:tcW w:type="dxa" w:w="2160"/>
          </w:tcPr>
          <w:p>
            <w:r>
              <w:t>**MGN**</w:t>
            </w:r>
          </w:p>
        </w:tc>
        <w:tc>
          <w:tcPr>
            <w:tcW w:type="dxa" w:w="2160"/>
          </w:tcPr>
          <w:p>
            <w:r>
              <w:t>Margin Requirements for Non-Centrally Cleared</w:t>
            </w:r>
          </w:p>
        </w:tc>
        <w:tc>
          <w:tcPr>
            <w:tcW w:type="dxa" w:w="2160"/>
          </w:tcPr>
          <w:p>
            <w:r>
              <w:t>BIS 2019</w:t>
            </w:r>
          </w:p>
        </w:tc>
        <w:tc>
          <w:tcPr>
            <w:tcW w:type="dxa" w:w="2160"/>
          </w:tcPr>
          <w:p>
            <w:r>
              <w:t>CSA terms in IMM</w:t>
            </w:r>
          </w:p>
        </w:tc>
      </w:tr>
    </w:tbl>
    <w:p>
      <w:pPr>
        <w:pStyle w:val="Heading2"/>
        <w:jc w:val="left"/>
      </w:pPr>
      <w:r>
        <w:t>Appendix B — Key Regulatory Formulas</w:t>
      </w:r>
    </w:p>
    <w:p>
      <w:pPr>
        <w:pStyle w:val="Heading3"/>
        <w:jc w:val="left"/>
      </w:pPr>
      <w:r>
        <w:t>B.1 SA-CCR EAD (CRE52)</w:t>
      </w:r>
    </w:p>
    <w:p>
      <w:r>
        <w:t>$$\text{EAD} = 1.4 \times \left[\max(V - C,\; TH + MTA - NICA,\; 0) + \text{mult} \times \text{AddOn}_\text{agg}\right]$$</w:t>
      </w:r>
    </w:p>
    <w:p>
      <w:r>
        <w:t>$$\text{mult} = \min\!\left(1,\; 0.05 + 0.95 \times e^{\frac{V}{1.9 \times \text{AddOn}_\text{agg}}}\right)$$</w:t>
      </w:r>
    </w:p>
    <w:p>
      <w:pPr>
        <w:pStyle w:val="Heading3"/>
        <w:jc w:val="left"/>
      </w:pPr>
      <w:r>
        <w:t>B.2 A-IRB Capital Requirement (CRE31)</w:t>
      </w:r>
    </w:p>
    <w:p>
      <w:r>
        <w:t>$$K = \left[LGD \cdot \Phi\!\left(\frac{\Phi^{-1}(PD) + \sqrt{R}\,\Phi^{-1}(0.999)}{\sqrt{1-R}}\right) - PD \cdot LGD\right] \times \frac{1 + (M-2.5)b}{1-1.5b}$$</w:t>
      </w:r>
    </w:p>
    <w:p>
      <w:r>
        <w:t>$$R = \frac{0.12(1-e^{-50PD})}{1-e^{-50}} + \frac{0.24[1-(1-e^{-50PD})/(1-e^{-50})]}{1}$$</w:t>
      </w:r>
    </w:p>
    <w:p>
      <w:r>
        <w:t>$$b = (0.11852 - 0.05478\ln PD)^2$$</w:t>
      </w:r>
    </w:p>
    <w:p>
      <w:pPr>
        <w:pStyle w:val="Heading3"/>
        <w:jc w:val="left"/>
      </w:pPr>
      <w:r>
        <w:t>B.3 FRTB SBM Delta (MAR21)</w:t>
      </w:r>
    </w:p>
    <w:p>
      <w:r>
        <w:t>$$K_b = \sqrt{\sum_k WS_k^2 + \sum_{k\neq l}\rho_{kl}\cdot WS_k\cdot WS_l}$$</w:t>
      </w:r>
    </w:p>
    <w:p>
      <w:r>
        <w:t>$$\Delta = \max\!\left(\sqrt{\sum_b K_b^2 + \sum_{b\neq c}\gamma_{bc}K_bK_c},\; \sum_k|WS_k|\right)$$</w:t>
      </w:r>
    </w:p>
    <w:p>
      <w:pPr>
        <w:pStyle w:val="Heading3"/>
        <w:jc w:val="left"/>
      </w:pPr>
      <w:r>
        <w:t>B.4 IMM EEPE (CRE53)</w:t>
      </w:r>
    </w:p>
    <w:p>
      <w:r>
        <w:t>$$\text{EEE}(t_k) = \max\left(\text{EEE}(t_{k-1}),\; \text{EE}(t_k)\right)$$</w:t>
      </w:r>
    </w:p>
    <w:p>
      <w:r>
        <w:t>$$\text{EEPE} = \frac{1}{T}\sum_{k=1}^{T}\text{EEE}(t_k)$$</w:t>
      </w:r>
    </w:p>
    <w:p>
      <w:r>
        <w:t>$$\text{EAD}_\text{IMM} = 1.4 \times \text{EEPE}$$</w:t>
      </w:r>
    </w:p>
    <w:p>
      <w:pPr>
        <w:pStyle w:val="Heading3"/>
        <w:jc w:val="left"/>
      </w:pPr>
      <w:r>
        <w:t>B.5 Five-Part RWA Formula (RBC20.9)</w:t>
      </w:r>
    </w:p>
    <w:p>
      <w:r>
        <w:t>$$\text{Total RWA} = \text{RWA}_\text{Cr} + \text{RWA}_\text{CCR} + \text{RWA}_\text{Mkt} + \text{RWA}_\text{CVA} + \text{RWA}_\text{CCP} + \text{RWA}_\text{OpRisk}$$</w:t>
      </w:r>
    </w:p>
    <w:p>
      <w:r>
        <w:t>$$\text{SA Base} = \text{RWA}_\text{Cr,SA} + \text{RWA}_\text{CCR,SA} + \text{RWA}_\text{Mkt,SA} + \text{RWA}_\text{CCP,SA}$$</w:t>
      </w:r>
    </w:p>
    <w:p>
      <w:r>
        <w:t>$$\text{Final RWA} = \max\!\left(\text{Total RWA},\; 0.725 \times \text{SA Base}\right)$$</w:t>
      </w:r>
    </w:p>
    <w:p>
      <w:r>
        <w:t>$$\text{Capital} = \text{Final RWA} \times 8\%$$</w:t>
      </w:r>
    </w:p>
    <w:p>
      <w:pPr>
        <w:pStyle w:val="Heading2"/>
        <w:jc w:val="left"/>
      </w:pPr>
      <w:r>
        <w:t>Appendix C — File Structure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PROMETHEUS/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PROMETHEUS_FSD.md              ← This document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PROMETHEUS_BRD.md              ← Business Requirements Document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README.md                      ← Quick start and overview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requirements.txt               ← Python dependencies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setup.sh                       ← One-shot environment setup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run_dashboard.sh               ← Dashboard launcher (Streamlit)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run_engine.sh                  ← CLI risk run launcher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run_tests.sh                   ← Test suite executor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docker/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├── docker-compose.yml         ← PostgreSQL 15 + pgAdmin 4 (arm64)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└── init.sql                   ← Database schema initialisation (17 tables)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backend/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├── config.py                  ← Regulatory parameter configuration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├── main.py                    ← PrometheusRunner orchestrator (458 lines)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├── engines/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sa_ccr.py              ← SA-CCR (CRE52) — 459 lines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imm.py                 ← IMM / Monte Carlo (CRE53) — 1,489 lines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a_irb.py               ← A-IRB (CRE30–36) — 1,249 lines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frtb.py                ← FRTB (MAR20–33) — 1,710 lines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cva.py                 ← CVA Risk (MAR50) — 646 lines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└── ccp.py                 ← CCP (CRE54) — ~100 lines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├── data_generators/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├── portfolio_generator.py ← Synthetic derivative and banking book portfolios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   └── cva_generator.py       ← CVA counterparty inputs and CCP exposures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└── data_sources/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├── market_data_provider.py ← Abstract + Bloomberg/Refinitiv/Internal/Static providers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├── cds_spread_service.py   ← CDS spread service with fallback and caching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├── market_state.py         ← Market state management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├── calibration.py          ← Historical volatility calibration module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    └── persistence.py          ← PostgreSQL schema creation and result persistence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dashboard/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└── app.py                     ← Streamlit dashboard — 8 pages (844 lines)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├── tests/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   └── test_engines.py            ← 48 validation tests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│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>└── docs/</w:t>
      </w:r>
    </w:p>
    <w:p>
      <w:pPr>
        <w:shd w:fill="F5F5F5"/>
      </w:pPr>
      <w:r>
        <w:rPr>
          <w:rFonts w:ascii="Courier New" w:hAnsi="Courier New"/>
          <w:color w:val="404040"/>
          <w:sz w:val="16"/>
        </w:rPr>
        <w:t xml:space="preserve">    └── MARKET_DATA_ARCHITECTURE.md ← Market data provider architecture guide</w:t>
      </w:r>
    </w:p>
    <w:p>
      <w:pPr>
        <w:pStyle w:val="Heading2"/>
        <w:jc w:val="left"/>
      </w:pPr>
      <w:r>
        <w:t>Appendix D — Glossary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0"/>
              </w:rPr>
              <w:t>Term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Full Form</w:t>
            </w:r>
          </w:p>
        </w:tc>
        <w:tc>
          <w:tcPr>
            <w:tcW w:type="dxa" w:w="2880"/>
          </w:tcPr>
          <w:p>
            <w:r>
              <w:rPr>
                <w:b/>
                <w:sz w:val="20"/>
              </w:rPr>
              <w:t>Definition</w:t>
            </w:r>
          </w:p>
        </w:tc>
      </w:tr>
      <w:tr>
        <w:tc>
          <w:tcPr>
            <w:tcW w:type="dxa" w:w="2880"/>
          </w:tcPr>
          <w:p>
            <w:r>
              <w:t>**A-IRB**</w:t>
            </w:r>
          </w:p>
        </w:tc>
        <w:tc>
          <w:tcPr>
            <w:tcW w:type="dxa" w:w="2880"/>
          </w:tcPr>
          <w:p>
            <w:r>
              <w:t>Advanced Internal Ratings-Based</w:t>
            </w:r>
          </w:p>
        </w:tc>
        <w:tc>
          <w:tcPr>
            <w:tcW w:type="dxa" w:w="2880"/>
          </w:tcPr>
          <w:p>
            <w:r>
              <w:t>Credit risk approach using bank's own PD, LGD, EAD estimates</w:t>
            </w:r>
          </w:p>
        </w:tc>
      </w:tr>
      <w:tr>
        <w:tc>
          <w:tcPr>
            <w:tcW w:type="dxa" w:w="2880"/>
          </w:tcPr>
          <w:p>
            <w:r>
              <w:t>**ASRF**</w:t>
            </w:r>
          </w:p>
        </w:tc>
        <w:tc>
          <w:tcPr>
            <w:tcW w:type="dxa" w:w="2880"/>
          </w:tcPr>
          <w:p>
            <w:r>
              <w:t>Asymptotic Single Risk Factor</w:t>
            </w:r>
          </w:p>
        </w:tc>
        <w:tc>
          <w:tcPr>
            <w:tcW w:type="dxa" w:w="2880"/>
          </w:tcPr>
          <w:p>
            <w:r>
              <w:t>Theoretical model underpinning IRB; single systematic risk factor</w:t>
            </w:r>
          </w:p>
        </w:tc>
      </w:tr>
      <w:tr>
        <w:tc>
          <w:tcPr>
            <w:tcW w:type="dxa" w:w="2880"/>
          </w:tcPr>
          <w:p>
            <w:r>
              <w:t>**BA-CVA**</w:t>
            </w:r>
          </w:p>
        </w:tc>
        <w:tc>
          <w:tcPr>
            <w:tcW w:type="dxa" w:w="2880"/>
          </w:tcPr>
          <w:p>
            <w:r>
              <w:t>Basic Approach — CVA</w:t>
            </w:r>
          </w:p>
        </w:tc>
        <w:tc>
          <w:tcPr>
            <w:tcW w:type="dxa" w:w="2880"/>
          </w:tcPr>
          <w:p>
            <w:r>
              <w:t>Simpler CVA capital approach; always available as fallback</w:t>
            </w:r>
          </w:p>
        </w:tc>
      </w:tr>
      <w:tr>
        <w:tc>
          <w:tcPr>
            <w:tcW w:type="dxa" w:w="2880"/>
          </w:tcPr>
          <w:p>
            <w:r>
              <w:t>**BCBS**</w:t>
            </w:r>
          </w:p>
        </w:tc>
        <w:tc>
          <w:tcPr>
            <w:tcW w:type="dxa" w:w="2880"/>
          </w:tcPr>
          <w:p>
            <w:r>
              <w:t>Basel Committee on Banking Supervision</w:t>
            </w:r>
          </w:p>
        </w:tc>
        <w:tc>
          <w:tcPr>
            <w:tcW w:type="dxa" w:w="2880"/>
          </w:tcPr>
          <w:p>
            <w:r>
              <w:t>BIS committee that issues Basel standards</w:t>
            </w:r>
          </w:p>
        </w:tc>
      </w:tr>
      <w:tr>
        <w:tc>
          <w:tcPr>
            <w:tcW w:type="dxa" w:w="2880"/>
          </w:tcPr>
          <w:p>
            <w:r>
              <w:t>**BIS**</w:t>
            </w:r>
          </w:p>
        </w:tc>
        <w:tc>
          <w:tcPr>
            <w:tcW w:type="dxa" w:w="2880"/>
          </w:tcPr>
          <w:p>
            <w:r>
              <w:t>Bank for International Settlements</w:t>
            </w:r>
          </w:p>
        </w:tc>
        <w:tc>
          <w:tcPr>
            <w:tcW w:type="dxa" w:w="2880"/>
          </w:tcPr>
          <w:p>
            <w:r>
              <w:t>Host institution for BCBS; publisher of Basel standards</w:t>
            </w:r>
          </w:p>
        </w:tc>
      </w:tr>
      <w:tr>
        <w:tc>
          <w:tcPr>
            <w:tcW w:type="dxa" w:w="2880"/>
          </w:tcPr>
          <w:p>
            <w:r>
              <w:t>**CCP**</w:t>
            </w:r>
          </w:p>
        </w:tc>
        <w:tc>
          <w:tcPr>
            <w:tcW w:type="dxa" w:w="2880"/>
          </w:tcPr>
          <w:p>
            <w:r>
              <w:t>Central Counterparty</w:t>
            </w:r>
          </w:p>
        </w:tc>
        <w:tc>
          <w:tcPr>
            <w:tcW w:type="dxa" w:w="2880"/>
          </w:tcPr>
          <w:p>
            <w:r>
              <w:t>Clearing house that interposes itself between buyer and seller</w:t>
            </w:r>
          </w:p>
        </w:tc>
      </w:tr>
      <w:tr>
        <w:tc>
          <w:tcPr>
            <w:tcW w:type="dxa" w:w="2880"/>
          </w:tcPr>
          <w:p>
            <w:r>
              <w:t>**CCR**</w:t>
            </w:r>
          </w:p>
        </w:tc>
        <w:tc>
          <w:tcPr>
            <w:tcW w:type="dxa" w:w="2880"/>
          </w:tcPr>
          <w:p>
            <w:r>
              <w:t>Counterparty Credit Risk</w:t>
            </w:r>
          </w:p>
        </w:tc>
        <w:tc>
          <w:tcPr>
            <w:tcW w:type="dxa" w:w="2880"/>
          </w:tcPr>
          <w:p>
            <w:r>
              <w:t>Risk of loss if a derivatives counterparty defaults</w:t>
            </w:r>
          </w:p>
        </w:tc>
      </w:tr>
      <w:tr>
        <w:tc>
          <w:tcPr>
            <w:tcW w:type="dxa" w:w="2880"/>
          </w:tcPr>
          <w:p>
            <w:r>
              <w:t>**CET1**</w:t>
            </w:r>
          </w:p>
        </w:tc>
        <w:tc>
          <w:tcPr>
            <w:tcW w:type="dxa" w:w="2880"/>
          </w:tcPr>
          <w:p>
            <w:r>
              <w:t>Common Equity Tier 1</w:t>
            </w:r>
          </w:p>
        </w:tc>
        <w:tc>
          <w:tcPr>
            <w:tcW w:type="dxa" w:w="2880"/>
          </w:tcPr>
          <w:p>
            <w:r>
              <w:t>Highest quality regulatory capital (ordinary shares + retained earnings)</w:t>
            </w:r>
          </w:p>
        </w:tc>
      </w:tr>
      <w:tr>
        <w:tc>
          <w:tcPr>
            <w:tcW w:type="dxa" w:w="2880"/>
          </w:tcPr>
          <w:p>
            <w:r>
              <w:t>**CSA**</w:t>
            </w:r>
          </w:p>
        </w:tc>
        <w:tc>
          <w:tcPr>
            <w:tcW w:type="dxa" w:w="2880"/>
          </w:tcPr>
          <w:p>
            <w:r>
              <w:t>Credit Support Annex</w:t>
            </w:r>
          </w:p>
        </w:tc>
        <w:tc>
          <w:tcPr>
            <w:tcW w:type="dxa" w:w="2880"/>
          </w:tcPr>
          <w:p>
            <w:r>
              <w:t>Bilateral collateral agreement attached to ISDA Master Agreement</w:t>
            </w:r>
          </w:p>
        </w:tc>
      </w:tr>
      <w:tr>
        <w:tc>
          <w:tcPr>
            <w:tcW w:type="dxa" w:w="2880"/>
          </w:tcPr>
          <w:p>
            <w:r>
              <w:t>**CVA**</w:t>
            </w:r>
          </w:p>
        </w:tc>
        <w:tc>
          <w:tcPr>
            <w:tcW w:type="dxa" w:w="2880"/>
          </w:tcPr>
          <w:p>
            <w:r>
              <w:t>Credit Valuation Adjustment</w:t>
            </w:r>
          </w:p>
        </w:tc>
        <w:tc>
          <w:tcPr>
            <w:tcW w:type="dxa" w:w="2880"/>
          </w:tcPr>
          <w:p>
            <w:r>
              <w:t>MTM adjustment for counterparty default risk on derivatives</w:t>
            </w:r>
          </w:p>
        </w:tc>
      </w:tr>
      <w:tr>
        <w:tc>
          <w:tcPr>
            <w:tcW w:type="dxa" w:w="2880"/>
          </w:tcPr>
          <w:p>
            <w:r>
              <w:t>**DFC**</w:t>
            </w:r>
          </w:p>
        </w:tc>
        <w:tc>
          <w:tcPr>
            <w:tcW w:type="dxa" w:w="2880"/>
          </w:tcPr>
          <w:p>
            <w:r>
              <w:t>Default Fund Contribution</w:t>
            </w:r>
          </w:p>
        </w:tc>
        <w:tc>
          <w:tcPr>
            <w:tcW w:type="dxa" w:w="2880"/>
          </w:tcPr>
          <w:p>
            <w:r>
              <w:t>Bank's prefunded contribution to CCP default waterfall</w:t>
            </w:r>
          </w:p>
        </w:tc>
      </w:tr>
      <w:tr>
        <w:tc>
          <w:tcPr>
            <w:tcW w:type="dxa" w:w="2880"/>
          </w:tcPr>
          <w:p>
            <w:r>
              <w:t>**DRC**</w:t>
            </w:r>
          </w:p>
        </w:tc>
        <w:tc>
          <w:tcPr>
            <w:tcW w:type="dxa" w:w="2880"/>
          </w:tcPr>
          <w:p>
            <w:r>
              <w:t>Default Risk Charge</w:t>
            </w:r>
          </w:p>
        </w:tc>
        <w:tc>
          <w:tcPr>
            <w:tcW w:type="dxa" w:w="2880"/>
          </w:tcPr>
          <w:p>
            <w:r>
              <w:t>FRTB capital for jump-to-default risk in trading book</w:t>
            </w:r>
          </w:p>
        </w:tc>
      </w:tr>
      <w:tr>
        <w:tc>
          <w:tcPr>
            <w:tcW w:type="dxa" w:w="2880"/>
          </w:tcPr>
          <w:p>
            <w:r>
              <w:t>**EAD**</w:t>
            </w:r>
          </w:p>
        </w:tc>
        <w:tc>
          <w:tcPr>
            <w:tcW w:type="dxa" w:w="2880"/>
          </w:tcPr>
          <w:p>
            <w:r>
              <w:t>Exposure at Default</w:t>
            </w:r>
          </w:p>
        </w:tc>
        <w:tc>
          <w:tcPr>
            <w:tcW w:type="dxa" w:w="2880"/>
          </w:tcPr>
          <w:p>
            <w:r>
              <w:t>Expected exposure amount at time of counterparty default</w:t>
            </w:r>
          </w:p>
        </w:tc>
      </w:tr>
      <w:tr>
        <w:tc>
          <w:tcPr>
            <w:tcW w:type="dxa" w:w="2880"/>
          </w:tcPr>
          <w:p>
            <w:r>
              <w:t>**EE**</w:t>
            </w:r>
          </w:p>
        </w:tc>
        <w:tc>
          <w:tcPr>
            <w:tcW w:type="dxa" w:w="2880"/>
          </w:tcPr>
          <w:p>
            <w:r>
              <w:t>Expected Exposure</w:t>
            </w:r>
          </w:p>
        </w:tc>
        <w:tc>
          <w:tcPr>
            <w:tcW w:type="dxa" w:w="2880"/>
          </w:tcPr>
          <w:p>
            <w:r>
              <w:t>Scenario-average positive exposure at a future date</w:t>
            </w:r>
          </w:p>
        </w:tc>
      </w:tr>
      <w:tr>
        <w:tc>
          <w:tcPr>
            <w:tcW w:type="dxa" w:w="2880"/>
          </w:tcPr>
          <w:p>
            <w:r>
              <w:t>**EEPE**</w:t>
            </w:r>
          </w:p>
        </w:tc>
        <w:tc>
          <w:tcPr>
            <w:tcW w:type="dxa" w:w="2880"/>
          </w:tcPr>
          <w:p>
            <w:r>
              <w:t>Effective Expected Positive Exposure</w:t>
            </w:r>
          </w:p>
        </w:tc>
        <w:tc>
          <w:tcPr>
            <w:tcW w:type="dxa" w:w="2880"/>
          </w:tcPr>
          <w:p>
            <w:r>
              <w:t>Non-decreasing average EE over the first year; IMM regulatory metric</w:t>
            </w:r>
          </w:p>
        </w:tc>
      </w:tr>
      <w:tr>
        <w:tc>
          <w:tcPr>
            <w:tcW w:type="dxa" w:w="2880"/>
          </w:tcPr>
          <w:p>
            <w:r>
              <w:t>**EL**</w:t>
            </w:r>
          </w:p>
        </w:tc>
        <w:tc>
          <w:tcPr>
            <w:tcW w:type="dxa" w:w="2880"/>
          </w:tcPr>
          <w:p>
            <w:r>
              <w:t>Expected Loss</w:t>
            </w:r>
          </w:p>
        </w:tc>
        <w:tc>
          <w:tcPr>
            <w:tcW w:type="dxa" w:w="2880"/>
          </w:tcPr>
          <w:p>
            <w:r>
              <w:t>PD × LGD × EAD; expected average annual credit loss</w:t>
            </w:r>
          </w:p>
        </w:tc>
      </w:tr>
      <w:tr>
        <w:tc>
          <w:tcPr>
            <w:tcW w:type="dxa" w:w="2880"/>
          </w:tcPr>
          <w:p>
            <w:r>
              <w:t>**EPE**</w:t>
            </w:r>
          </w:p>
        </w:tc>
        <w:tc>
          <w:tcPr>
            <w:tcW w:type="dxa" w:w="2880"/>
          </w:tcPr>
          <w:p>
            <w:r>
              <w:t>Expected Positive Exposure</w:t>
            </w:r>
          </w:p>
        </w:tc>
        <w:tc>
          <w:tcPr>
            <w:tcW w:type="dxa" w:w="2880"/>
          </w:tcPr>
          <w:p>
            <w:r>
              <w:t>Average of positive exposures across scenarios and time</w:t>
            </w:r>
          </w:p>
        </w:tc>
      </w:tr>
      <w:tr>
        <w:tc>
          <w:tcPr>
            <w:tcW w:type="dxa" w:w="2880"/>
          </w:tcPr>
          <w:p>
            <w:r>
              <w:t>**ES**</w:t>
            </w:r>
          </w:p>
        </w:tc>
        <w:tc>
          <w:tcPr>
            <w:tcW w:type="dxa" w:w="2880"/>
          </w:tcPr>
          <w:p>
            <w:r>
              <w:t>Expected Shortfall</w:t>
            </w:r>
          </w:p>
        </w:tc>
        <w:tc>
          <w:tcPr>
            <w:tcW w:type="dxa" w:w="2880"/>
          </w:tcPr>
          <w:p>
            <w:r>
              <w:t>Average loss in the tail beyond VaR; used at 97.5% in FRTB IMA</w:t>
            </w:r>
          </w:p>
        </w:tc>
      </w:tr>
      <w:tr>
        <w:tc>
          <w:tcPr>
            <w:tcW w:type="dxa" w:w="2880"/>
          </w:tcPr>
          <w:p>
            <w:r>
              <w:t>**FRTB**</w:t>
            </w:r>
          </w:p>
        </w:tc>
        <w:tc>
          <w:tcPr>
            <w:tcW w:type="dxa" w:w="2880"/>
          </w:tcPr>
          <w:p>
            <w:r>
              <w:t>Fundamental Review of the Trading Book</w:t>
            </w:r>
          </w:p>
        </w:tc>
        <w:tc>
          <w:tcPr>
            <w:tcW w:type="dxa" w:w="2880"/>
          </w:tcPr>
          <w:p>
            <w:r>
              <w:t>Basel IV market risk framework replacing pre-2016 IMA/SA</w:t>
            </w:r>
          </w:p>
        </w:tc>
      </w:tr>
      <w:tr>
        <w:tc>
          <w:tcPr>
            <w:tcW w:type="dxa" w:w="2880"/>
          </w:tcPr>
          <w:p>
            <w:r>
              <w:t>**GBM**</w:t>
            </w:r>
          </w:p>
        </w:tc>
        <w:tc>
          <w:tcPr>
            <w:tcW w:type="dxa" w:w="2880"/>
          </w:tcPr>
          <w:p>
            <w:r>
              <w:t>Geometric Brownian Motion</w:t>
            </w:r>
          </w:p>
        </w:tc>
        <w:tc>
          <w:tcPr>
            <w:tcW w:type="dxa" w:w="2880"/>
          </w:tcPr>
          <w:p>
            <w:r>
              <w:t>Stochastic process for equity and FX in IMM simulation</w:t>
            </w:r>
          </w:p>
        </w:tc>
      </w:tr>
      <w:tr>
        <w:tc>
          <w:tcPr>
            <w:tcW w:type="dxa" w:w="2880"/>
          </w:tcPr>
          <w:p>
            <w:r>
              <w:t>**GIRR**</w:t>
            </w:r>
          </w:p>
        </w:tc>
        <w:tc>
          <w:tcPr>
            <w:tcW w:type="dxa" w:w="2880"/>
          </w:tcPr>
          <w:p>
            <w:r>
              <w:t>General Interest Rate Risk</w:t>
            </w:r>
          </w:p>
        </w:tc>
        <w:tc>
          <w:tcPr>
            <w:tcW w:type="dxa" w:w="2880"/>
          </w:tcPr>
          <w:p>
            <w:r>
              <w:t>FRTB risk class for parallel and non-parallel rate shifts</w:t>
            </w:r>
          </w:p>
        </w:tc>
      </w:tr>
      <w:tr>
        <w:tc>
          <w:tcPr>
            <w:tcW w:type="dxa" w:w="2880"/>
          </w:tcPr>
          <w:p>
            <w:r>
              <w:t>**HPL**</w:t>
            </w:r>
          </w:p>
        </w:tc>
        <w:tc>
          <w:tcPr>
            <w:tcW w:type="dxa" w:w="2880"/>
          </w:tcPr>
          <w:p>
            <w:r>
              <w:t>Hypothetical P&amp;L</w:t>
            </w:r>
          </w:p>
        </w:tc>
        <w:tc>
          <w:tcPr>
            <w:tcW w:type="dxa" w:w="2880"/>
          </w:tcPr>
          <w:p>
            <w:r>
              <w:t>Sensitivity-based P&amp;L recomputation; used in FRTB PLA test</w:t>
            </w:r>
          </w:p>
        </w:tc>
      </w:tr>
      <w:tr>
        <w:tc>
          <w:tcPr>
            <w:tcW w:type="dxa" w:w="2880"/>
          </w:tcPr>
          <w:p>
            <w:r>
              <w:t>**ICAAP**</w:t>
            </w:r>
          </w:p>
        </w:tc>
        <w:tc>
          <w:tcPr>
            <w:tcW w:type="dxa" w:w="2880"/>
          </w:tcPr>
          <w:p>
            <w:r>
              <w:t>Internal Capital Adequacy Assessment Process</w:t>
            </w:r>
          </w:p>
        </w:tc>
        <w:tc>
          <w:tcPr>
            <w:tcW w:type="dxa" w:w="2880"/>
          </w:tcPr>
          <w:p>
            <w:r>
              <w:t>Bank's own assessment of capital needed beyond Pillar 1 minimum</w:t>
            </w:r>
          </w:p>
        </w:tc>
      </w:tr>
      <w:tr>
        <w:tc>
          <w:tcPr>
            <w:tcW w:type="dxa" w:w="2880"/>
          </w:tcPr>
          <w:p>
            <w:r>
              <w:t>**IMA**</w:t>
            </w:r>
          </w:p>
        </w:tc>
        <w:tc>
          <w:tcPr>
            <w:tcW w:type="dxa" w:w="2880"/>
          </w:tcPr>
          <w:p>
            <w:r>
              <w:t>Internal Models Approach</w:t>
            </w:r>
          </w:p>
        </w:tc>
        <w:tc>
          <w:tcPr>
            <w:tcW w:type="dxa" w:w="2880"/>
          </w:tcPr>
          <w:p>
            <w:r>
              <w:t>FRTB approach using bank's own ES model (requires supervisory approval)</w:t>
            </w:r>
          </w:p>
        </w:tc>
      </w:tr>
      <w:tr>
        <w:tc>
          <w:tcPr>
            <w:tcW w:type="dxa" w:w="2880"/>
          </w:tcPr>
          <w:p>
            <w:r>
              <w:t>**IMM**</w:t>
            </w:r>
          </w:p>
        </w:tc>
        <w:tc>
          <w:tcPr>
            <w:tcW w:type="dxa" w:w="2880"/>
          </w:tcPr>
          <w:p>
            <w:r>
              <w:t>Internal Models Method</w:t>
            </w:r>
          </w:p>
        </w:tc>
        <w:tc>
          <w:tcPr>
            <w:tcW w:type="dxa" w:w="2880"/>
          </w:tcPr>
          <w:p>
            <w:r>
              <w:t>CRE53 approach for CCR EAD using Monte Carlo simulation</w:t>
            </w:r>
          </w:p>
        </w:tc>
      </w:tr>
      <w:tr>
        <w:tc>
          <w:tcPr>
            <w:tcW w:type="dxa" w:w="2880"/>
          </w:tcPr>
          <w:p>
            <w:r>
              <w:t>**IM / VM**</w:t>
            </w:r>
          </w:p>
        </w:tc>
        <w:tc>
          <w:tcPr>
            <w:tcW w:type="dxa" w:w="2880"/>
          </w:tcPr>
          <w:p>
            <w:r>
              <w:t>Initial Margin / Variation Margin</w:t>
            </w:r>
          </w:p>
        </w:tc>
        <w:tc>
          <w:tcPr>
            <w:tcW w:type="dxa" w:w="2880"/>
          </w:tcPr>
          <w:p>
            <w:r>
              <w:t>Upfront / daily collateral posted under CSA</w:t>
            </w:r>
          </w:p>
        </w:tc>
      </w:tr>
      <w:tr>
        <w:tc>
          <w:tcPr>
            <w:tcW w:type="dxa" w:w="2880"/>
          </w:tcPr>
          <w:p>
            <w:r>
              <w:t>**KS test**</w:t>
            </w:r>
          </w:p>
        </w:tc>
        <w:tc>
          <w:tcPr>
            <w:tcW w:type="dxa" w:w="2880"/>
          </w:tcPr>
          <w:p>
            <w:r>
              <w:t>Kolmogorov-Smirnov test</w:t>
            </w:r>
          </w:p>
        </w:tc>
        <w:tc>
          <w:tcPr>
            <w:tcW w:type="dxa" w:w="2880"/>
          </w:tcPr>
          <w:p>
            <w:r>
              <w:t>Non-parametric test comparing two distributions; used in FRTB PLA</w:t>
            </w:r>
          </w:p>
        </w:tc>
      </w:tr>
      <w:tr>
        <w:tc>
          <w:tcPr>
            <w:tcW w:type="dxa" w:w="2880"/>
          </w:tcPr>
          <w:p>
            <w:r>
              <w:t>**LGD**</w:t>
            </w:r>
          </w:p>
        </w:tc>
        <w:tc>
          <w:tcPr>
            <w:tcW w:type="dxa" w:w="2880"/>
          </w:tcPr>
          <w:p>
            <w:r>
              <w:t>Loss Given Default</w:t>
            </w:r>
          </w:p>
        </w:tc>
        <w:tc>
          <w:tcPr>
            <w:tcW w:type="dxa" w:w="2880"/>
          </w:tcPr>
          <w:p>
            <w:r>
              <w:t>Fraction of EAD lost upon counterparty default (1 − Recovery Rate)</w:t>
            </w:r>
          </w:p>
        </w:tc>
      </w:tr>
      <w:tr>
        <w:tc>
          <w:tcPr>
            <w:tcW w:type="dxa" w:w="2880"/>
          </w:tcPr>
          <w:p>
            <w:r>
              <w:t>**LH**</w:t>
            </w:r>
          </w:p>
        </w:tc>
        <w:tc>
          <w:tcPr>
            <w:tcW w:type="dxa" w:w="2880"/>
          </w:tcPr>
          <w:p>
            <w:r>
              <w:t>Liquidity Horizon</w:t>
            </w:r>
          </w:p>
        </w:tc>
        <w:tc>
          <w:tcPr>
            <w:tcW w:type="dxa" w:w="2880"/>
          </w:tcPr>
          <w:p>
            <w:r>
              <w:t>Time to liquidate/hedge a position; determines ES scaling in IMA</w:t>
            </w:r>
          </w:p>
        </w:tc>
      </w:tr>
      <w:tr>
        <w:tc>
          <w:tcPr>
            <w:tcW w:type="dxa" w:w="2880"/>
          </w:tcPr>
          <w:p>
            <w:r>
              <w:t>**MAF**</w:t>
            </w:r>
          </w:p>
        </w:tc>
        <w:tc>
          <w:tcPr>
            <w:tcW w:type="dxa" w:w="2880"/>
          </w:tcPr>
          <w:p>
            <w:r>
              <w:t>Maturity Adjustment Factor</w:t>
            </w:r>
          </w:p>
        </w:tc>
        <w:tc>
          <w:tcPr>
            <w:tcW w:type="dxa" w:w="2880"/>
          </w:tcPr>
          <w:p>
            <w:r>
              <w:t>Scaling factor in SA-CCR maturity factor; scales Add-On by √(time)</w:t>
            </w:r>
          </w:p>
        </w:tc>
      </w:tr>
      <w:tr>
        <w:tc>
          <w:tcPr>
            <w:tcW w:type="dxa" w:w="2880"/>
          </w:tcPr>
          <w:p>
            <w:r>
              <w:t>**MPOR**</w:t>
            </w:r>
          </w:p>
        </w:tc>
        <w:tc>
          <w:tcPr>
            <w:tcW w:type="dxa" w:w="2880"/>
          </w:tcPr>
          <w:p>
            <w:r>
              <w:t>Margin Period of Risk</w:t>
            </w:r>
          </w:p>
        </w:tc>
        <w:tc>
          <w:tcPr>
            <w:tcW w:type="dxa" w:w="2880"/>
          </w:tcPr>
          <w:p>
            <w:r>
              <w:t>Days from last margin receipt to portfolio replacement after default</w:t>
            </w:r>
          </w:p>
        </w:tc>
      </w:tr>
      <w:tr>
        <w:tc>
          <w:tcPr>
            <w:tcW w:type="dxa" w:w="2880"/>
          </w:tcPr>
          <w:p>
            <w:r>
              <w:t>**MTM**</w:t>
            </w:r>
          </w:p>
        </w:tc>
        <w:tc>
          <w:tcPr>
            <w:tcW w:type="dxa" w:w="2880"/>
          </w:tcPr>
          <w:p>
            <w:r>
              <w:t>Mark-to-Market</w:t>
            </w:r>
          </w:p>
        </w:tc>
        <w:tc>
          <w:tcPr>
            <w:tcW w:type="dxa" w:w="2880"/>
          </w:tcPr>
          <w:p>
            <w:r>
              <w:t>Current fair value of a financial instrument</w:t>
            </w:r>
          </w:p>
        </w:tc>
      </w:tr>
      <w:tr>
        <w:tc>
          <w:tcPr>
            <w:tcW w:type="dxa" w:w="2880"/>
          </w:tcPr>
          <w:p>
            <w:r>
              <w:t>**MTA**</w:t>
            </w:r>
          </w:p>
        </w:tc>
        <w:tc>
          <w:tcPr>
            <w:tcW w:type="dxa" w:w="2880"/>
          </w:tcPr>
          <w:p>
            <w:r>
              <w:t>Minimum Transfer Amount</w:t>
            </w:r>
          </w:p>
        </w:tc>
        <w:tc>
          <w:tcPr>
            <w:tcW w:type="dxa" w:w="2880"/>
          </w:tcPr>
          <w:p>
            <w:r>
              <w:t>Smallest collateral transfer increment under CSA</w:t>
            </w:r>
          </w:p>
        </w:tc>
      </w:tr>
      <w:tr>
        <w:tc>
          <w:tcPr>
            <w:tcW w:type="dxa" w:w="2880"/>
          </w:tcPr>
          <w:p>
            <w:r>
              <w:t>**NICA**</w:t>
            </w:r>
          </w:p>
        </w:tc>
        <w:tc>
          <w:tcPr>
            <w:tcW w:type="dxa" w:w="2880"/>
          </w:tcPr>
          <w:p>
            <w:r>
              <w:t>Net Independent Collateral Amount</w:t>
            </w:r>
          </w:p>
        </w:tc>
        <w:tc>
          <w:tcPr>
            <w:tcW w:type="dxa" w:w="2880"/>
          </w:tcPr>
          <w:p>
            <w:r>
              <w:t>Net posted collateral excluding VM; affects RC in SA-CCR</w:t>
            </w:r>
          </w:p>
        </w:tc>
      </w:tr>
      <w:tr>
        <w:tc>
          <w:tcPr>
            <w:tcW w:type="dxa" w:w="2880"/>
          </w:tcPr>
          <w:p>
            <w:r>
              <w:t>**NMRF**</w:t>
            </w:r>
          </w:p>
        </w:tc>
        <w:tc>
          <w:tcPr>
            <w:tcW w:type="dxa" w:w="2880"/>
          </w:tcPr>
          <w:p>
            <w:r>
              <w:t>Non-Modellable Risk Factor</w:t>
            </w:r>
          </w:p>
        </w:tc>
        <w:tc>
          <w:tcPr>
            <w:tcW w:type="dxa" w:w="2880"/>
          </w:tcPr>
          <w:p>
            <w:r>
              <w:t>Risk factor without sufficient price history; receives conservative FRTB charge</w:t>
            </w:r>
          </w:p>
        </w:tc>
      </w:tr>
      <w:tr>
        <w:tc>
          <w:tcPr>
            <w:tcW w:type="dxa" w:w="2880"/>
          </w:tcPr>
          <w:p>
            <w:r>
              <w:t>**OPE25**</w:t>
            </w:r>
          </w:p>
        </w:tc>
        <w:tc>
          <w:tcPr>
            <w:tcW w:type="dxa" w:w="2880"/>
          </w:tcPr>
          <w:p>
            <w:r>
              <w:t>Operational Risk — Standardised Approach</w:t>
            </w:r>
          </w:p>
        </w:tc>
        <w:tc>
          <w:tcPr>
            <w:tcW w:type="dxa" w:w="2880"/>
          </w:tcPr>
          <w:p>
            <w:r>
              <w:t>BIS standard for OpRisk capital; placeholder in Sprint A</w:t>
            </w:r>
          </w:p>
        </w:tc>
      </w:tr>
      <w:tr>
        <w:tc>
          <w:tcPr>
            <w:tcW w:type="dxa" w:w="2880"/>
          </w:tcPr>
          <w:p>
            <w:r>
              <w:t>**PD**</w:t>
            </w:r>
          </w:p>
        </w:tc>
        <w:tc>
          <w:tcPr>
            <w:tcW w:type="dxa" w:w="2880"/>
          </w:tcPr>
          <w:p>
            <w:r>
              <w:t>Probability of Default</w:t>
            </w:r>
          </w:p>
        </w:tc>
        <w:tc>
          <w:tcPr>
            <w:tcW w:type="dxa" w:w="2880"/>
          </w:tcPr>
          <w:p>
            <w:r>
              <w:t>Estimated probability that a borrower defaults within one year</w:t>
            </w:r>
          </w:p>
        </w:tc>
      </w:tr>
      <w:tr>
        <w:tc>
          <w:tcPr>
            <w:tcW w:type="dxa" w:w="2880"/>
          </w:tcPr>
          <w:p>
            <w:r>
              <w:t>**PFE**</w:t>
            </w:r>
          </w:p>
        </w:tc>
        <w:tc>
          <w:tcPr>
            <w:tcW w:type="dxa" w:w="2880"/>
          </w:tcPr>
          <w:p>
            <w:r>
              <w:t>Potential Future Exposure</w:t>
            </w:r>
          </w:p>
        </w:tc>
        <w:tc>
          <w:tcPr>
            <w:tcW w:type="dxa" w:w="2880"/>
          </w:tcPr>
          <w:p>
            <w:r>
              <w:t>High-percentile (e.g., 95th) future exposure; credit limit management metric</w:t>
            </w:r>
          </w:p>
        </w:tc>
      </w:tr>
      <w:tr>
        <w:tc>
          <w:tcPr>
            <w:tcW w:type="dxa" w:w="2880"/>
          </w:tcPr>
          <w:p>
            <w:r>
              <w:t>**PLA**</w:t>
            </w:r>
          </w:p>
        </w:tc>
        <w:tc>
          <w:tcPr>
            <w:tcW w:type="dxa" w:w="2880"/>
          </w:tcPr>
          <w:p>
            <w:r>
              <w:t>P&amp;L Attribution (test)</w:t>
            </w:r>
          </w:p>
        </w:tc>
        <w:tc>
          <w:tcPr>
            <w:tcW w:type="dxa" w:w="2880"/>
          </w:tcPr>
          <w:p>
            <w:r>
              <w:t>FRTB MAR32 test comparing HPL to APL for IMA desk eligibility</w:t>
            </w:r>
          </w:p>
        </w:tc>
      </w:tr>
      <w:tr>
        <w:tc>
          <w:tcPr>
            <w:tcW w:type="dxa" w:w="2880"/>
          </w:tcPr>
          <w:p>
            <w:r>
              <w:t>**QCCP**</w:t>
            </w:r>
          </w:p>
        </w:tc>
        <w:tc>
          <w:tcPr>
            <w:tcW w:type="dxa" w:w="2880"/>
          </w:tcPr>
          <w:p>
            <w:r>
              <w:t>Qualifying Central Counterparty</w:t>
            </w:r>
          </w:p>
        </w:tc>
        <w:tc>
          <w:tcPr>
            <w:tcW w:type="dxa" w:w="2880"/>
          </w:tcPr>
          <w:p>
            <w:r>
              <w:t>CCP meeting CPMI-IOSCO Principles; attracts 2% risk weight</w:t>
            </w:r>
          </w:p>
        </w:tc>
      </w:tr>
      <w:tr>
        <w:tc>
          <w:tcPr>
            <w:tcW w:type="dxa" w:w="2880"/>
          </w:tcPr>
          <w:p>
            <w:r>
              <w:t>**RRAO**</w:t>
            </w:r>
          </w:p>
        </w:tc>
        <w:tc>
          <w:tcPr>
            <w:tcW w:type="dxa" w:w="2880"/>
          </w:tcPr>
          <w:p>
            <w:r>
              <w:t>Residual Risk Add-On</w:t>
            </w:r>
          </w:p>
        </w:tc>
        <w:tc>
          <w:tcPr>
            <w:tcW w:type="dxa" w:w="2880"/>
          </w:tcPr>
          <w:p>
            <w:r>
              <w:t>FRTB capital for exotic instruments not fully captured by SBM</w:t>
            </w:r>
          </w:p>
        </w:tc>
      </w:tr>
      <w:tr>
        <w:tc>
          <w:tcPr>
            <w:tcW w:type="dxa" w:w="2880"/>
          </w:tcPr>
          <w:p>
            <w:r>
              <w:t>**RC**</w:t>
            </w:r>
          </w:p>
        </w:tc>
        <w:tc>
          <w:tcPr>
            <w:tcW w:type="dxa" w:w="2880"/>
          </w:tcPr>
          <w:p>
            <w:r>
              <w:t>Replacement Cost</w:t>
            </w:r>
          </w:p>
        </w:tc>
        <w:tc>
          <w:tcPr>
            <w:tcW w:type="dxa" w:w="2880"/>
          </w:tcPr>
          <w:p>
            <w:r>
              <w:t>Immediate loss from counterparty default; first component of SA-CCR EAD</w:t>
            </w:r>
          </w:p>
        </w:tc>
      </w:tr>
      <w:tr>
        <w:tc>
          <w:tcPr>
            <w:tcW w:type="dxa" w:w="2880"/>
          </w:tcPr>
          <w:p>
            <w:r>
              <w:t>**RWA**</w:t>
            </w:r>
          </w:p>
        </w:tc>
        <w:tc>
          <w:tcPr>
            <w:tcW w:type="dxa" w:w="2880"/>
          </w:tcPr>
          <w:p>
            <w:r>
              <w:t>Risk-Weighted Assets</w:t>
            </w:r>
          </w:p>
        </w:tc>
        <w:tc>
          <w:tcPr>
            <w:tcW w:type="dxa" w:w="2880"/>
          </w:tcPr>
          <w:p>
            <w:r>
              <w:t>Capital base for capital ratio calculation; total = Final RWA / Capital ratio</w:t>
            </w:r>
          </w:p>
        </w:tc>
      </w:tr>
      <w:tr>
        <w:tc>
          <w:tcPr>
            <w:tcW w:type="dxa" w:w="2880"/>
          </w:tcPr>
          <w:p>
            <w:r>
              <w:t>**SA-CCR**</w:t>
            </w:r>
          </w:p>
        </w:tc>
        <w:tc>
          <w:tcPr>
            <w:tcW w:type="dxa" w:w="2880"/>
          </w:tcPr>
          <w:p>
            <w:r>
              <w:t>Standardised Approach for CCR</w:t>
            </w:r>
          </w:p>
        </w:tc>
        <w:tc>
          <w:tcPr>
            <w:tcW w:type="dxa" w:w="2880"/>
          </w:tcPr>
          <w:p>
            <w:r>
              <w:t>CRE52 replacement for CEM and SM; mandatory floor for IMM</w:t>
            </w:r>
          </w:p>
        </w:tc>
      </w:tr>
      <w:tr>
        <w:tc>
          <w:tcPr>
            <w:tcW w:type="dxa" w:w="2880"/>
          </w:tcPr>
          <w:p>
            <w:r>
              <w:t>**SA-CVA**</w:t>
            </w:r>
          </w:p>
        </w:tc>
        <w:tc>
          <w:tcPr>
            <w:tcW w:type="dxa" w:w="2880"/>
          </w:tcPr>
          <w:p>
            <w:r>
              <w:t>Standardised Approach for CVA</w:t>
            </w:r>
          </w:p>
        </w:tc>
        <w:tc>
          <w:tcPr>
            <w:tcW w:type="dxa" w:w="2880"/>
          </w:tcPr>
          <w:p>
            <w:r>
              <w:t>Sensitivity-based CVA capital approach; requires supervisory approval</w:t>
            </w:r>
          </w:p>
        </w:tc>
      </w:tr>
      <w:tr>
        <w:tc>
          <w:tcPr>
            <w:tcW w:type="dxa" w:w="2880"/>
          </w:tcPr>
          <w:p>
            <w:r>
              <w:t>**SBM**</w:t>
            </w:r>
          </w:p>
        </w:tc>
        <w:tc>
          <w:tcPr>
            <w:tcW w:type="dxa" w:w="2880"/>
          </w:tcPr>
          <w:p>
            <w:r>
              <w:t>Sensitivities-Based Method</w:t>
            </w:r>
          </w:p>
        </w:tc>
        <w:tc>
          <w:tcPr>
            <w:tcW w:type="dxa" w:w="2880"/>
          </w:tcPr>
          <w:p>
            <w:r>
              <w:t>FRTB standardised approach using delta, vega, curvature sensitivities</w:t>
            </w:r>
          </w:p>
        </w:tc>
      </w:tr>
      <w:tr>
        <w:tc>
          <w:tcPr>
            <w:tcW w:type="dxa" w:w="2880"/>
          </w:tcPr>
          <w:p>
            <w:r>
              <w:t>**SME**</w:t>
            </w:r>
          </w:p>
        </w:tc>
        <w:tc>
          <w:tcPr>
            <w:tcW w:type="dxa" w:w="2880"/>
          </w:tcPr>
          <w:p>
            <w:r>
              <w:t>Small and Medium Enterprise</w:t>
            </w:r>
          </w:p>
        </w:tc>
        <w:tc>
          <w:tcPr>
            <w:tcW w:type="dxa" w:w="2880"/>
          </w:tcPr>
          <w:p>
            <w:r>
              <w:t>Obligors with &lt; €50M annual sales; lower correlation reduces A-IRB RWA</w:t>
            </w:r>
          </w:p>
        </w:tc>
      </w:tr>
      <w:tr>
        <w:tc>
          <w:tcPr>
            <w:tcW w:type="dxa" w:w="2880"/>
          </w:tcPr>
          <w:p>
            <w:r>
              <w:t>**SOFR**</w:t>
            </w:r>
          </w:p>
        </w:tc>
        <w:tc>
          <w:tcPr>
            <w:tcW w:type="dxa" w:w="2880"/>
          </w:tcPr>
          <w:p>
            <w:r>
              <w:t>Secured Overnight Financing Rate</w:t>
            </w:r>
          </w:p>
        </w:tc>
        <w:tc>
          <w:tcPr>
            <w:tcW w:type="dxa" w:w="2880"/>
          </w:tcPr>
          <w:p>
            <w:r>
              <w:t>USD risk-free reference rate; replaced LIBOR; used for CVA discounting</w:t>
            </w:r>
          </w:p>
        </w:tc>
      </w:tr>
      <w:tr>
        <w:tc>
          <w:tcPr>
            <w:tcW w:type="dxa" w:w="2880"/>
          </w:tcPr>
          <w:p>
            <w:r>
              <w:t>**TH**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  <w:tc>
          <w:tcPr>
            <w:tcW w:type="dxa" w:w="2880"/>
          </w:tcPr>
          <w:p>
            <w:r>
              <w:t>CSA threshold below which no collateral call is triggered</w:t>
            </w:r>
          </w:p>
        </w:tc>
      </w:tr>
      <w:tr>
        <w:tc>
          <w:tcPr>
            <w:tcW w:type="dxa" w:w="2880"/>
          </w:tcPr>
          <w:p>
            <w:r>
              <w:t>**TTC**</w:t>
            </w:r>
          </w:p>
        </w:tc>
        <w:tc>
          <w:tcPr>
            <w:tcW w:type="dxa" w:w="2880"/>
          </w:tcPr>
          <w:p>
            <w:r>
              <w:t>Through-the-Cycle</w:t>
            </w:r>
          </w:p>
        </w:tc>
        <w:tc>
          <w:tcPr>
            <w:tcW w:type="dxa" w:w="2880"/>
          </w:tcPr>
          <w:p>
            <w:r>
              <w:t>PD estimation methodology averaging across economic cycles</w:t>
            </w:r>
          </w:p>
        </w:tc>
      </w:tr>
      <w:tr>
        <w:tc>
          <w:tcPr>
            <w:tcW w:type="dxa" w:w="2880"/>
          </w:tcPr>
          <w:p>
            <w:r>
              <w:t>**VaR**</w:t>
            </w:r>
          </w:p>
        </w:tc>
        <w:tc>
          <w:tcPr>
            <w:tcW w:type="dxa" w:w="2880"/>
          </w:tcPr>
          <w:p>
            <w:r>
              <w:t>Value at Risk</w:t>
            </w:r>
          </w:p>
        </w:tc>
        <w:tc>
          <w:tcPr>
            <w:tcW w:type="dxa" w:w="2880"/>
          </w:tcPr>
          <w:p>
            <w:r>
              <w:t>Percentile loss over a holding period; replaced by ES in FRTB IMA</w:t>
            </w:r>
          </w:p>
        </w:tc>
      </w:tr>
      <w:tr>
        <w:tc>
          <w:tcPr>
            <w:tcW w:type="dxa" w:w="2880"/>
          </w:tcPr>
          <w:p>
            <w:r>
              <w:t>**VIX**</w:t>
            </w:r>
          </w:p>
        </w:tc>
        <w:tc>
          <w:tcPr>
            <w:tcW w:type="dxa" w:w="2880"/>
          </w:tcPr>
          <w:p>
            <w:r>
              <w:t>CBOE Volatility Index</w:t>
            </w:r>
          </w:p>
        </w:tc>
        <w:tc>
          <w:tcPr>
            <w:tcW w:type="dxa" w:w="2880"/>
          </w:tcPr>
          <w:p>
            <w:r>
              <w:t>Implied volatility of S&amp;P 500 options; proxy for market stress</w:t>
            </w:r>
          </w:p>
        </w:tc>
      </w:tr>
    </w:tbl>
    <w:p>
      <w:pPr>
        <w:pStyle w:val="Heading2"/>
        <w:jc w:val="left"/>
      </w:pPr>
      <w:r>
        <w:t>Appendix E — Sprint Roadmap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Sprint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Planned Dates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Key Deliverables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**Sprint A**</w:t>
            </w:r>
          </w:p>
        </w:tc>
        <w:tc>
          <w:tcPr>
            <w:tcW w:type="dxa" w:w="2160"/>
          </w:tcPr>
          <w:p>
            <w:r>
              <w:t>Nov 2024 – Jan 2025</w:t>
            </w:r>
          </w:p>
        </w:tc>
        <w:tc>
          <w:tcPr>
            <w:tcW w:type="dxa" w:w="2160"/>
          </w:tcPr>
          <w:p>
            <w:r>
              <w:t>All 6 engines, 48 tests, Dashboard, BRD</w:t>
            </w:r>
          </w:p>
        </w:tc>
        <w:tc>
          <w:tcPr>
            <w:tcW w:type="dxa" w:w="2160"/>
          </w:tcPr>
          <w:p>
            <w:r>
              <w:t>✅ COMPLETE</w:t>
            </w:r>
          </w:p>
        </w:tc>
      </w:tr>
      <w:tr>
        <w:tc>
          <w:tcPr>
            <w:tcW w:type="dxa" w:w="2160"/>
          </w:tcPr>
          <w:p>
            <w:r>
              <w:t>**Sprint B**</w:t>
            </w:r>
          </w:p>
        </w:tc>
        <w:tc>
          <w:tcPr>
            <w:tcW w:type="dxa" w:w="2160"/>
          </w:tcPr>
          <w:p>
            <w:r>
              <w:t>Feb 2025 – Apr 2025</w:t>
            </w:r>
          </w:p>
        </w:tc>
        <w:tc>
          <w:tcPr>
            <w:tcW w:type="dxa" w:w="2160"/>
          </w:tcPr>
          <w:p>
            <w:r>
              <w:t>IMA PLA Gate (MAR32), Spearman / KS automation</w:t>
            </w:r>
          </w:p>
        </w:tc>
        <w:tc>
          <w:tcPr>
            <w:tcW w:type="dxa" w:w="2160"/>
          </w:tcPr>
          <w:p>
            <w:r>
              <w:t>🔄 Planned</w:t>
            </w:r>
          </w:p>
        </w:tc>
      </w:tr>
      <w:tr>
        <w:tc>
          <w:tcPr>
            <w:tcW w:type="dxa" w:w="2160"/>
          </w:tcPr>
          <w:p>
            <w:r>
              <w:t>**Sprint C**</w:t>
            </w:r>
          </w:p>
        </w:tc>
        <w:tc>
          <w:tcPr>
            <w:tcW w:type="dxa" w:w="2160"/>
          </w:tcPr>
          <w:p>
            <w:r>
              <w:t>May 2025 – Jul 2025</w:t>
            </w:r>
          </w:p>
        </w:tc>
        <w:tc>
          <w:tcPr>
            <w:tcW w:type="dxa" w:w="2160"/>
          </w:tcPr>
          <w:p>
            <w:r>
              <w:t>Extended test suite (75+ tests), CVA/CCP expanded tests</w:t>
            </w:r>
          </w:p>
        </w:tc>
        <w:tc>
          <w:tcPr>
            <w:tcW w:type="dxa" w:w="2160"/>
          </w:tcPr>
          <w:p>
            <w:r>
              <w:t>🔄 Planned</w:t>
            </w:r>
          </w:p>
        </w:tc>
      </w:tr>
      <w:tr>
        <w:tc>
          <w:tcPr>
            <w:tcW w:type="dxa" w:w="2160"/>
          </w:tcPr>
          <w:p>
            <w:r>
              <w:t>**Sprint D**</w:t>
            </w:r>
          </w:p>
        </w:tc>
        <w:tc>
          <w:tcPr>
            <w:tcW w:type="dxa" w:w="2160"/>
          </w:tcPr>
          <w:p>
            <w:r>
              <w:t>Aug 2025 – Oct 2025</w:t>
            </w:r>
          </w:p>
        </w:tc>
        <w:tc>
          <w:tcPr>
            <w:tcW w:type="dxa" w:w="2160"/>
          </w:tcPr>
          <w:p>
            <w:r>
              <w:t>Dashboard CVA page, CCP page, IMA PLA page</w:t>
            </w:r>
          </w:p>
        </w:tc>
        <w:tc>
          <w:tcPr>
            <w:tcW w:type="dxa" w:w="2160"/>
          </w:tcPr>
          <w:p>
            <w:r>
              <w:t>🔄 Planned</w:t>
            </w:r>
          </w:p>
        </w:tc>
      </w:tr>
      <w:tr>
        <w:tc>
          <w:tcPr>
            <w:tcW w:type="dxa" w:w="2160"/>
          </w:tcPr>
          <w:p>
            <w:r>
              <w:t>**Sprint E**</w:t>
            </w:r>
          </w:p>
        </w:tc>
        <w:tc>
          <w:tcPr>
            <w:tcW w:type="dxa" w:w="2160"/>
          </w:tcPr>
          <w:p>
            <w:r>
              <w:t>Nov 2025 – Jan 2026</w:t>
            </w:r>
          </w:p>
        </w:tc>
        <w:tc>
          <w:tcPr>
            <w:tcW w:type="dxa" w:w="2160"/>
          </w:tcPr>
          <w:p>
            <w:r>
              <w:t>OPE25 Operational Risk engine</w:t>
            </w:r>
          </w:p>
        </w:tc>
        <w:tc>
          <w:tcPr>
            <w:tcW w:type="dxa" w:w="2160"/>
          </w:tcPr>
          <w:p>
            <w:r>
              <w:t>🔄 Planned</w:t>
            </w:r>
          </w:p>
        </w:tc>
      </w:tr>
      <w:tr>
        <w:tc>
          <w:tcPr>
            <w:tcW w:type="dxa" w:w="2160"/>
          </w:tcPr>
          <w:p>
            <w:r>
              <w:t>**Sprint F**</w:t>
            </w:r>
          </w:p>
        </w:tc>
        <w:tc>
          <w:tcPr>
            <w:tcW w:type="dxa" w:w="2160"/>
          </w:tcPr>
          <w:p>
            <w:r>
              <w:t>Feb 2026 – Apr 2026</w:t>
            </w:r>
          </w:p>
        </w:tc>
        <w:tc>
          <w:tcPr>
            <w:tcW w:type="dxa" w:w="2160"/>
          </w:tcPr>
          <w:p>
            <w:r>
              <w:t>User manual, demo video, LinkedIn showcase</w:t>
            </w:r>
          </w:p>
        </w:tc>
        <w:tc>
          <w:tcPr>
            <w:tcW w:type="dxa" w:w="2160"/>
          </w:tcPr>
          <w:p>
            <w:r>
              <w:t>🔄 Planned</w:t>
            </w:r>
          </w:p>
        </w:tc>
      </w:tr>
    </w:tbl>
    <w:p>
      <w:pPr>
        <w:pStyle w:val="Heading2"/>
        <w:jc w:val="left"/>
      </w:pPr>
      <w:r>
        <w:t>Appendix F — Risk Register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20"/>
              </w:rPr>
              <w:t>Risk ID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Risk Description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Impact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Probability</w:t>
            </w:r>
          </w:p>
        </w:tc>
        <w:tc>
          <w:tcPr>
            <w:tcW w:type="dxa" w:w="1728"/>
          </w:tcPr>
          <w:p>
            <w:r>
              <w:rPr>
                <w:b/>
                <w:sz w:val="20"/>
              </w:rPr>
              <w:t>Mitigation</w:t>
            </w:r>
          </w:p>
        </w:tc>
      </w:tr>
      <w:tr>
        <w:tc>
          <w:tcPr>
            <w:tcW w:type="dxa" w:w="1728"/>
          </w:tcPr>
          <w:p>
            <w:r>
              <w:t>**R-001**</w:t>
            </w:r>
          </w:p>
        </w:tc>
        <w:tc>
          <w:tcPr>
            <w:tcW w:type="dxa" w:w="1728"/>
          </w:tcPr>
          <w:p>
            <w:r>
              <w:t>Regulatory change (BCBS standard revision)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Modular engine design; BCBS subscription alerts; annual model review</w:t>
            </w:r>
          </w:p>
        </w:tc>
      </w:tr>
      <w:tr>
        <w:tc>
          <w:tcPr>
            <w:tcW w:type="dxa" w:w="1728"/>
          </w:tcPr>
          <w:p>
            <w:r>
              <w:t>**R-002**</w:t>
            </w:r>
          </w:p>
        </w:tc>
        <w:tc>
          <w:tcPr>
            <w:tcW w:type="dxa" w:w="1728"/>
          </w:tcPr>
          <w:p>
            <w:r>
              <w:t>Market data source unavailable (Bloomberg / Refinitiv)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Three-tier fallback cascade; FRED public API; static defaults</w:t>
            </w:r>
          </w:p>
        </w:tc>
      </w:tr>
      <w:tr>
        <w:tc>
          <w:tcPr>
            <w:tcW w:type="dxa" w:w="1728"/>
          </w:tcPr>
          <w:p>
            <w:r>
              <w:t>**R-003**</w:t>
            </w:r>
          </w:p>
        </w:tc>
        <w:tc>
          <w:tcPr>
            <w:tcW w:type="dxa" w:w="1728"/>
          </w:tcPr>
          <w:p>
            <w:r>
              <w:t>Database corruption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Very Low</w:t>
            </w:r>
          </w:p>
        </w:tc>
        <w:tc>
          <w:tcPr>
            <w:tcW w:type="dxa" w:w="1728"/>
          </w:tcPr>
          <w:p>
            <w:r>
              <w:t>PostgreSQL ACID compliance; daily backups; `audit` schema immutability</w:t>
            </w:r>
          </w:p>
        </w:tc>
      </w:tr>
      <w:tr>
        <w:tc>
          <w:tcPr>
            <w:tcW w:type="dxa" w:w="1728"/>
          </w:tcPr>
          <w:p>
            <w:r>
              <w:t>**R-004**</w:t>
            </w:r>
          </w:p>
        </w:tc>
        <w:tc>
          <w:tcPr>
            <w:tcW w:type="dxa" w:w="1728"/>
          </w:tcPr>
          <w:p>
            <w:r>
              <w:t>Capital miscalculation</w:t>
            </w:r>
          </w:p>
        </w:tc>
        <w:tc>
          <w:tcPr>
            <w:tcW w:type="dxa" w:w="1728"/>
          </w:tcPr>
          <w:p>
            <w:r>
              <w:t>Critical</w:t>
            </w:r>
          </w:p>
        </w:tc>
        <w:tc>
          <w:tcPr>
            <w:tcW w:type="dxa" w:w="1728"/>
          </w:tcPr>
          <w:p>
            <w:r>
              <w:t>Very Low</w:t>
            </w:r>
          </w:p>
        </w:tc>
        <w:tc>
          <w:tcPr>
            <w:tcW w:type="dxa" w:w="1728"/>
          </w:tcPr>
          <w:p>
            <w:r>
              <w:t>48 validation tests; formula references in code comments; peer review</w:t>
            </w:r>
          </w:p>
        </w:tc>
      </w:tr>
      <w:tr>
        <w:tc>
          <w:tcPr>
            <w:tcW w:type="dxa" w:w="1728"/>
          </w:tcPr>
          <w:p>
            <w:r>
              <w:t>**R-005**</w:t>
            </w:r>
          </w:p>
        </w:tc>
        <w:tc>
          <w:tcPr>
            <w:tcW w:type="dxa" w:w="1728"/>
          </w:tcPr>
          <w:p>
            <w:r>
              <w:t>IMM model deterioration (backtesting Red Zone)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250-day rolling backtest; automated breach alerts; model recalibration trigger</w:t>
            </w:r>
          </w:p>
        </w:tc>
      </w:tr>
      <w:tr>
        <w:tc>
          <w:tcPr>
            <w:tcW w:type="dxa" w:w="1728"/>
          </w:tcPr>
          <w:p>
            <w:r>
              <w:t>**R-006**</w:t>
            </w:r>
          </w:p>
        </w:tc>
        <w:tc>
          <w:tcPr>
            <w:tcW w:type="dxa" w:w="1728"/>
          </w:tcPr>
          <w:p>
            <w:r>
              <w:t>Monte Carlo convergence failure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Low</w:t>
            </w:r>
          </w:p>
        </w:tc>
        <w:tc>
          <w:tcPr>
            <w:tcW w:type="dxa" w:w="1728"/>
          </w:tcPr>
          <w:p>
            <w:r>
              <w:t>Fixed random seed (42) for reproducibility; antithetic variance reduction</w:t>
            </w:r>
          </w:p>
        </w:tc>
      </w:tr>
      <w:tr>
        <w:tc>
          <w:tcPr>
            <w:tcW w:type="dxa" w:w="1728"/>
          </w:tcPr>
          <w:p>
            <w:r>
              <w:t>**R-007**</w:t>
            </w:r>
          </w:p>
        </w:tc>
        <w:tc>
          <w:tcPr>
            <w:tcW w:type="dxa" w:w="1728"/>
          </w:tcPr>
          <w:p>
            <w:r>
              <w:t>Third-party API downtime (FRED, Bloomberg)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Local cache (300s TTL); hard-coded defaults; graceful degradation logs</w:t>
            </w:r>
          </w:p>
        </w:tc>
      </w:tr>
      <w:tr>
        <w:tc>
          <w:tcPr>
            <w:tcW w:type="dxa" w:w="1728"/>
          </w:tcPr>
          <w:p>
            <w:r>
              <w:t>**R-008**</w:t>
            </w:r>
          </w:p>
        </w:tc>
        <w:tc>
          <w:tcPr>
            <w:tcW w:type="dxa" w:w="1728"/>
          </w:tcPr>
          <w:p>
            <w:r>
              <w:t>Key person dependency</w:t>
            </w:r>
          </w:p>
        </w:tc>
        <w:tc>
          <w:tcPr>
            <w:tcW w:type="dxa" w:w="1728"/>
          </w:tcPr>
          <w:p>
            <w:r>
              <w:t>High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Comprehensive documentation; this FSD; code comments with Basel references</w:t>
            </w:r>
          </w:p>
        </w:tc>
      </w:tr>
      <w:tr>
        <w:tc>
          <w:tcPr>
            <w:tcW w:type="dxa" w:w="1728"/>
          </w:tcPr>
          <w:p>
            <w:r>
              <w:t>**R-009**</w:t>
            </w:r>
          </w:p>
        </w:tc>
        <w:tc>
          <w:tcPr>
            <w:tcW w:type="dxa" w:w="1728"/>
          </w:tcPr>
          <w:p>
            <w:r>
              <w:t>Scope creep on regulatory changes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BRD sign-off; sprint planning; change request process</w:t>
            </w:r>
          </w:p>
        </w:tc>
      </w:tr>
      <w:tr>
        <w:tc>
          <w:tcPr>
            <w:tcW w:type="dxa" w:w="1728"/>
          </w:tcPr>
          <w:p>
            <w:r>
              <w:t>**R-010**</w:t>
            </w:r>
          </w:p>
        </w:tc>
        <w:tc>
          <w:tcPr>
            <w:tcW w:type="dxa" w:w="1728"/>
          </w:tcPr>
          <w:p>
            <w:r>
              <w:t>Cloud migration complexity (planned Sprint E/F)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Medium</w:t>
            </w:r>
          </w:p>
        </w:tc>
        <w:tc>
          <w:tcPr>
            <w:tcW w:type="dxa" w:w="1728"/>
          </w:tcPr>
          <w:p>
            <w:r>
              <w:t>Containerised architecture; PostgreSQL → Azure DB migration scripts</w:t>
            </w:r>
          </w:p>
        </w:tc>
      </w:tr>
    </w:tbl>
    <w:p>
      <w:pPr>
        <w:pStyle w:val="Heading2"/>
        <w:jc w:val="left"/>
      </w:pPr>
      <w:r>
        <w:t>Appendix G — Acceptance Criteria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Criterion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Target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Achieved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Status</w:t>
            </w:r>
          </w:p>
        </w:tc>
      </w:tr>
      <w:tr>
        <w:tc>
          <w:tcPr>
            <w:tcW w:type="dxa" w:w="2160"/>
          </w:tcPr>
          <w:p>
            <w:r>
              <w:t>Six regulatory engines implemented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✅</w:t>
            </w:r>
          </w:p>
        </w:tc>
        <w:tc>
          <w:tcPr>
            <w:tcW w:type="dxa" w:w="2160"/>
          </w:tcPr>
          <w:p>
            <w:r>
              <w:t>Complete</w:t>
            </w:r>
          </w:p>
        </w:tc>
      </w:tr>
      <w:tr>
        <w:tc>
          <w:tcPr>
            <w:tcW w:type="dxa" w:w="2160"/>
          </w:tcPr>
          <w:p>
            <w:r>
              <w:t>Test pass rate</w:t>
            </w:r>
          </w:p>
        </w:tc>
        <w:tc>
          <w:tcPr>
            <w:tcW w:type="dxa" w:w="2160"/>
          </w:tcPr>
          <w:p>
            <w:r>
              <w:t>100% (48/48)</w:t>
            </w:r>
          </w:p>
        </w:tc>
        <w:tc>
          <w:tcPr>
            <w:tcW w:type="dxa" w:w="2160"/>
          </w:tcPr>
          <w:p>
            <w:r>
              <w:t>100% (48/48)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Type safety (Pylance strict)</w:t>
            </w:r>
          </w:p>
        </w:tc>
        <w:tc>
          <w:tcPr>
            <w:tcW w:type="dxa" w:w="2160"/>
          </w:tcPr>
          <w:p>
            <w:r>
              <w:t>0 errors</w:t>
            </w:r>
          </w:p>
        </w:tc>
        <w:tc>
          <w:tcPr>
            <w:tcW w:type="dxa" w:w="2160"/>
          </w:tcPr>
          <w:p>
            <w:r>
              <w:t>0 errors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Daily risk run time</w:t>
            </w:r>
          </w:p>
        </w:tc>
        <w:tc>
          <w:tcPr>
            <w:tcW w:type="dxa" w:w="2160"/>
          </w:tcPr>
          <w:p>
            <w:r>
              <w:t>&lt; 5 min</w:t>
            </w:r>
          </w:p>
        </w:tc>
        <w:tc>
          <w:tcPr>
            <w:tcW w:type="dxa" w:w="2160"/>
          </w:tcPr>
          <w:p>
            <w:r>
              <w:t>~2 min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Dashboard pages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Audit trail</w:t>
            </w:r>
          </w:p>
        </w:tc>
        <w:tc>
          <w:tcPr>
            <w:tcW w:type="dxa" w:w="2160"/>
          </w:tcPr>
          <w:p>
            <w:r>
              <w:t>All calculations logged</w:t>
            </w:r>
          </w:p>
        </w:tc>
        <w:tc>
          <w:tcPr>
            <w:tcW w:type="dxa" w:w="2160"/>
          </w:tcPr>
          <w:p>
            <w:r>
              <w:t>All logged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Fallback trace codes</w:t>
            </w:r>
          </w:p>
        </w:tc>
        <w:tc>
          <w:tcPr>
            <w:tcW w:type="dxa" w:w="2160"/>
          </w:tcPr>
          <w:p>
            <w:r>
              <w:t>All fallbacks traced</w:t>
            </w:r>
          </w:p>
        </w:tc>
        <w:tc>
          <w:tcPr>
            <w:tcW w:type="dxa" w:w="2160"/>
          </w:tcPr>
          <w:p>
            <w:r>
              <w:t>All traced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Output floor</w:t>
            </w:r>
          </w:p>
        </w:tc>
        <w:tc>
          <w:tcPr>
            <w:tcW w:type="dxa" w:w="2160"/>
          </w:tcPr>
          <w:p>
            <w:r>
              <w:t>RBC20.11 compliant</w:t>
            </w:r>
          </w:p>
        </w:tc>
        <w:tc>
          <w:tcPr>
            <w:tcW w:type="dxa" w:w="2160"/>
          </w:tcPr>
          <w:p>
            <w:r>
              <w:t>Verified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CVA excluded from floor base</w:t>
            </w:r>
          </w:p>
        </w:tc>
        <w:tc>
          <w:tcPr>
            <w:tcW w:type="dxa" w:w="2160"/>
          </w:tcPr>
          <w:p>
            <w:r>
              <w:t>CAP10 FAQ1</w:t>
            </w:r>
          </w:p>
        </w:tc>
        <w:tc>
          <w:tcPr>
            <w:tcW w:type="dxa" w:w="2160"/>
          </w:tcPr>
          <w:p>
            <w:r>
              <w:t>Implemented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  <w:tr>
        <w:tc>
          <w:tcPr>
            <w:tcW w:type="dxa" w:w="2160"/>
          </w:tcPr>
          <w:p>
            <w:r>
              <w:t>Export capability</w:t>
            </w:r>
          </w:p>
        </w:tc>
        <w:tc>
          <w:tcPr>
            <w:tcW w:type="dxa" w:w="2160"/>
          </w:tcPr>
          <w:p>
            <w:r>
              <w:t>xlsx / csv</w:t>
            </w:r>
          </w:p>
        </w:tc>
        <w:tc>
          <w:tcPr>
            <w:tcW w:type="dxa" w:w="2160"/>
          </w:tcPr>
          <w:p>
            <w:r>
              <w:t>Operational</w:t>
            </w:r>
          </w:p>
        </w:tc>
        <w:tc>
          <w:tcPr>
            <w:tcW w:type="dxa" w:w="2160"/>
          </w:tcPr>
          <w:p>
            <w:r>
              <w:t>✅</w:t>
            </w:r>
          </w:p>
        </w:tc>
      </w:tr>
    </w:tbl>
    <w:p>
      <w:pPr>
        <w:pStyle w:val="Heading2"/>
        <w:jc w:val="left"/>
      </w:pPr>
      <w:r>
        <w:t>Appendix H — Sign-Off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Role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Name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Signature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</w:t>
            </w:r>
          </w:p>
        </w:tc>
      </w:tr>
      <w:tr>
        <w:tc>
          <w:tcPr>
            <w:tcW w:type="dxa" w:w="2160"/>
          </w:tcPr>
          <w:p>
            <w:r>
              <w:t>**Project Sponsor (CRO)**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_________________________</w:t>
            </w:r>
          </w:p>
        </w:tc>
        <w:tc>
          <w:tcPr>
            <w:tcW w:type="dxa" w:w="2160"/>
          </w:tcPr>
          <w:p>
            <w:r>
              <w:t>_______</w:t>
            </w:r>
          </w:p>
        </w:tc>
      </w:tr>
      <w:tr>
        <w:tc>
          <w:tcPr>
            <w:tcW w:type="dxa" w:w="2160"/>
          </w:tcPr>
          <w:p>
            <w:r>
              <w:t>**Business Owner (Head of Risk)**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_________________________</w:t>
            </w:r>
          </w:p>
        </w:tc>
        <w:tc>
          <w:tcPr>
            <w:tcW w:type="dxa" w:w="2160"/>
          </w:tcPr>
          <w:p>
            <w:r>
              <w:t>_______</w:t>
            </w:r>
          </w:p>
        </w:tc>
      </w:tr>
      <w:tr>
        <w:tc>
          <w:tcPr>
            <w:tcW w:type="dxa" w:w="2160"/>
          </w:tcPr>
          <w:p>
            <w:r>
              <w:t>**Technical Lead (Lead Developer)**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_________________________</w:t>
            </w:r>
          </w:p>
        </w:tc>
        <w:tc>
          <w:tcPr>
            <w:tcW w:type="dxa" w:w="2160"/>
          </w:tcPr>
          <w:p>
            <w:r>
              <w:t>_______</w:t>
            </w:r>
          </w:p>
        </w:tc>
      </w:tr>
      <w:tr>
        <w:tc>
          <w:tcPr>
            <w:tcW w:type="dxa" w:w="2160"/>
          </w:tcPr>
          <w:p>
            <w:r>
              <w:t>**Model Validation**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_________________________</w:t>
            </w:r>
          </w:p>
        </w:tc>
        <w:tc>
          <w:tcPr>
            <w:tcW w:type="dxa" w:w="2160"/>
          </w:tcPr>
          <w:p>
            <w:r>
              <w:t>_______</w:t>
            </w:r>
          </w:p>
        </w:tc>
      </w:tr>
      <w:tr>
        <w:tc>
          <w:tcPr>
            <w:tcW w:type="dxa" w:w="2160"/>
          </w:tcPr>
          <w:p>
            <w:r>
              <w:t>**Compliance Officer**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_________________________</w:t>
            </w:r>
          </w:p>
        </w:tc>
        <w:tc>
          <w:tcPr>
            <w:tcW w:type="dxa" w:w="2160"/>
          </w:tcPr>
          <w:p>
            <w:r>
              <w:t>_______</w:t>
            </w:r>
          </w:p>
        </w:tc>
      </w:tr>
      <w:tr>
        <w:tc>
          <w:tcPr>
            <w:tcW w:type="dxa" w:w="2160"/>
          </w:tcPr>
          <w:p>
            <w:r>
              <w:t>**IT Infrastructure Lead**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_________________________</w:t>
            </w:r>
          </w:p>
        </w:tc>
        <w:tc>
          <w:tcPr>
            <w:tcW w:type="dxa" w:w="2160"/>
          </w:tcPr>
          <w:p>
            <w:r>
              <w:t>_______</w:t>
            </w:r>
          </w:p>
        </w:tc>
      </w:tr>
    </w:tbl>
    <w:p>
      <w:r>
        <w:rPr>
          <w:i/>
        </w:rPr>
        <w:t>PROMETHEUS · Basel III/IV Risk Management Platform · Python 3.11 · PostgreSQL 15 · Streamlit 1.28</w:t>
      </w:r>
    </w:p>
    <w:p>
      <w:r>
        <w:rPr>
          <w:i/>
        </w:rPr>
        <w:t>Document Reference: PROMETHEUS-FSD-v1.0 · Classification: Internal Use — Confidential</w:t>
      </w:r>
    </w:p>
    <w:p>
      <w:r>
        <w:rPr>
          <w:i/>
        </w:rPr>
        <w:t>© 2025–2026 Risk Technology · All rights reserved</w:t>
      </w:r>
    </w:p>
    <w:p/>
    <w:p>
      <w:pPr>
        <w:ind w:left="720"/>
      </w:pPr>
      <w:r>
        <w:rPr>
          <w:i/>
        </w:rPr>
        <w:t>Source: PROMETHEUS_FSD.md</w:t>
        <w:br/>
      </w:r>
      <w:r>
        <w:rPr>
          <w:i/>
        </w:rPr>
        <w:t>Generated: 2026-05-03 18:06:22</w:t>
        <w:br/>
      </w:r>
      <w:r>
        <w:rPr>
          <w:i/>
        </w:rPr>
        <w:t>Prometheus Phase 2A Documentation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