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Prometheus Requirements Documentation</w:t>
      </w:r>
    </w:p>
    <w:p>
      <w:pPr>
        <w:pStyle w:val="Heading1"/>
        <w:jc w:val="left"/>
      </w:pPr>
      <w:r>
        <w:t>SA-CCR Technical Guide</w:t>
      </w:r>
    </w:p>
    <w:p>
      <w:pPr>
        <w:pStyle w:val="Heading2"/>
        <w:jc w:val="left"/>
      </w:pPr>
      <w:r>
        <w:t>Standardised Approach for Counterparty Credit Risk (CRE52)</w:t>
      </w:r>
    </w:p>
    <w:p>
      <w:pPr>
        <w:pStyle w:val="Heading3"/>
        <w:jc w:val="left"/>
      </w:pPr>
      <w:r>
        <w:t>PROMETHEUS Risk Platform</w:t>
      </w:r>
    </w:p>
    <w:p>
      <w:r>
        <w:rPr>
          <w:b/>
        </w:rPr>
        <w:t>Last Updated:</w:t>
      </w:r>
      <w:r>
        <w:t xml:space="preserve"> Version 3.8 — Apr-27-2026</w:t>
      </w:r>
    </w:p>
    <w:p>
      <w:r>
        <w:rPr>
          <w:b/>
        </w:rPr>
        <w:t>Key Changes (v3.8):</w:t>
      </w:r>
      <w:r>
        <w:t xml:space="preserve"> Fix 4 — Output floor base now uses SA-CCR for CCR component (RBC20.11); SA-CCR is the mandatory parallel run even when IMM is the primary approach.</w:t>
      </w:r>
    </w:p>
    <w:p>
      <w:pPr>
        <w:pStyle w:val="Heading2"/>
        <w:jc w:val="left"/>
      </w:pPr>
      <w:r>
        <w:t>Table of Contents</w:t>
      </w:r>
    </w:p>
    <w:p>
      <w:pPr>
        <w:pStyle w:val="ListNumber"/>
      </w:pPr>
      <w:r>
        <w:t>Overview &amp; Regulatory Basis</w:t>
      </w:r>
    </w:p>
    <w:p>
      <w:pPr>
        <w:pStyle w:val="ListNumber"/>
      </w:pPr>
      <w:r>
        <w:t>SA-CCR Structure</w:t>
      </w:r>
    </w:p>
    <w:p>
      <w:pPr>
        <w:pStyle w:val="ListNumber"/>
      </w:pPr>
      <w:r>
        <w:t>Replacement Cost (RC)</w:t>
      </w:r>
    </w:p>
    <w:p>
      <w:pPr>
        <w:pStyle w:val="ListNumber"/>
      </w:pPr>
      <w:r>
        <w:t>PFE Multiplier</w:t>
      </w:r>
    </w:p>
    <w:p>
      <w:pPr>
        <w:pStyle w:val="ListNumber"/>
      </w:pPr>
      <w:r>
        <w:t>Add-On by Asset Class</w:t>
      </w:r>
    </w:p>
    <w:p>
      <w:pPr>
        <w:pStyle w:val="ListNumber"/>
      </w:pPr>
      <w:r>
        <w:t>EAD Formula and Margined Cap</w:t>
      </w:r>
    </w:p>
    <w:p>
      <w:pPr>
        <w:pStyle w:val="ListNumber"/>
      </w:pPr>
      <w:r>
        <w:t>Supervisory Delta — Options and CDOs</w:t>
      </w:r>
    </w:p>
    <w:p>
      <w:pPr>
        <w:pStyle w:val="ListNumber"/>
      </w:pPr>
      <w:r>
        <w:t>Key Gap Fixes Applied (GAP-01 to GAP-13)</w:t>
      </w:r>
    </w:p>
    <w:p>
      <w:pPr>
        <w:pStyle w:val="ListNumber"/>
      </w:pPr>
      <w:r>
        <w:t>Data Structures Reference</w:t>
      </w:r>
    </w:p>
    <w:p>
      <w:pPr>
        <w:pStyle w:val="ListNumber"/>
      </w:pPr>
      <w:r>
        <w:t>Glossary</w:t>
      </w:r>
    </w:p>
    <w:p>
      <w:r>
        <w:rPr>
          <w:b/>
        </w:rPr>
        <w:t>Appendix A</w:t>
      </w:r>
      <w:r>
        <w:t xml:space="preserve"> — Interest Rate Swap (IRS): Full Numeric Example</w:t>
      </w:r>
    </w:p>
    <w:p>
      <w:r>
        <w:rPr>
          <w:b/>
        </w:rPr>
        <w:t>Appendix B</w:t>
      </w:r>
      <w:r>
        <w:t xml:space="preserve"> — FX Forward: Full Numeric Example</w:t>
      </w:r>
    </w:p>
    <w:p>
      <w:r>
        <w:rPr>
          <w:b/>
        </w:rPr>
        <w:t>Appendix C</w:t>
      </w:r>
      <w:r>
        <w:t xml:space="preserve"> — CDS Single-Name: Full Numeric Example</w:t>
      </w:r>
    </w:p>
    <w:p>
      <w:r>
        <w:rPr>
          <w:b/>
        </w:rPr>
        <w:t>Appendix D</w:t>
      </w:r>
      <w:r>
        <w:t xml:space="preserve"> — Equity Option (Margined Netting Set)</w:t>
      </w:r>
    </w:p>
    <w:p>
      <w:r>
        <w:rPr>
          <w:b/>
        </w:rPr>
        <w:t>Appendix E</w:t>
      </w:r>
      <w:r>
        <w:t xml:space="preserve"> — Multi-Asset Netting Set</w:t>
      </w:r>
    </w:p>
    <w:p>
      <w:pPr>
        <w:pStyle w:val="Heading2"/>
        <w:jc w:val="left"/>
      </w:pPr>
      <w:r>
        <w:t>1. Overview &amp; Regulatory Basis</w:t>
      </w:r>
    </w:p>
    <w:p>
      <w:r>
        <w:t xml:space="preserve">SA-CCR is the </w:t>
      </w:r>
      <w:r>
        <w:rPr>
          <w:b/>
        </w:rPr>
        <w:t>Basel standardised method</w:t>
      </w:r>
      <w:r>
        <w:t xml:space="preserve"> for computing Exposure at Default (EAD) for OTC derivatives and exchange-traded derivatives. EAD feeds into:</w:t>
      </w:r>
    </w:p>
    <w:p>
      <w:pPr>
        <w:pStyle w:val="ListBullet"/>
      </w:pPr>
      <w:r>
        <w:t>Credit Risk RWA (× counterparty risk weight)</w:t>
      </w:r>
    </w:p>
    <w:p>
      <w:pPr>
        <w:pStyle w:val="ListBullet"/>
      </w:pPr>
      <w:r>
        <w:t>CVA capital (via EAD as exposure proxy)</w:t>
      </w:r>
    </w:p>
    <w:p>
      <w:pPr>
        <w:pStyle w:val="ListBullet"/>
      </w:pPr>
      <w:r>
        <w:t>CCP capital (as trade_ead input)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CRE52 Section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Topic</w:t>
            </w:r>
          </w:p>
        </w:tc>
      </w:tr>
      <w:tr>
        <w:tc>
          <w:tcPr>
            <w:tcW w:type="dxa" w:w="4320"/>
          </w:tcPr>
          <w:p>
            <w:r>
              <w:t>CRE52.10</w:t>
            </w:r>
          </w:p>
        </w:tc>
        <w:tc>
          <w:tcPr>
            <w:tcW w:type="dxa" w:w="4320"/>
          </w:tcPr>
          <w:p>
            <w:r>
              <w:t>Replacement Cost — unmargined netting set</w:t>
            </w:r>
          </w:p>
        </w:tc>
      </w:tr>
      <w:tr>
        <w:tc>
          <w:tcPr>
            <w:tcW w:type="dxa" w:w="4320"/>
          </w:tcPr>
          <w:p>
            <w:r>
              <w:t>CRE52.18</w:t>
            </w:r>
          </w:p>
        </w:tc>
        <w:tc>
          <w:tcPr>
            <w:tcW w:type="dxa" w:w="4320"/>
          </w:tcPr>
          <w:p>
            <w:r>
              <w:t>Replacement Cost — margined netting set</w:t>
            </w:r>
          </w:p>
        </w:tc>
      </w:tr>
      <w:tr>
        <w:tc>
          <w:tcPr>
            <w:tcW w:type="dxa" w:w="4320"/>
          </w:tcPr>
          <w:p>
            <w:r>
              <w:t>CRE52.22–23</w:t>
            </w:r>
          </w:p>
        </w:tc>
        <w:tc>
          <w:tcPr>
            <w:tcW w:type="dxa" w:w="4320"/>
          </w:tcPr>
          <w:p>
            <w:r>
              <w:t>PFE multiplier</w:t>
            </w:r>
          </w:p>
        </w:tc>
      </w:tr>
      <w:tr>
        <w:tc>
          <w:tcPr>
            <w:tcW w:type="dxa" w:w="4320"/>
          </w:tcPr>
          <w:p>
            <w:r>
              <w:t>CRE52.34</w:t>
            </w:r>
          </w:p>
        </w:tc>
        <w:tc>
          <w:tcPr>
            <w:tcW w:type="dxa" w:w="4320"/>
          </w:tcPr>
          <w:p>
            <w:r>
              <w:t>Maturity factor — unmargined</w:t>
            </w:r>
          </w:p>
        </w:tc>
      </w:tr>
      <w:tr>
        <w:tc>
          <w:tcPr>
            <w:tcW w:type="dxa" w:w="4320"/>
          </w:tcPr>
          <w:p>
            <w:r>
              <w:t>CRE52.52</w:t>
            </w:r>
          </w:p>
        </w:tc>
        <w:tc>
          <w:tcPr>
            <w:tcW w:type="dxa" w:w="4320"/>
          </w:tcPr>
          <w:p>
            <w:r>
              <w:t>Maturity factor — margined (MPOR-based)</w:t>
            </w:r>
          </w:p>
        </w:tc>
      </w:tr>
      <w:tr>
        <w:tc>
          <w:tcPr>
            <w:tcW w:type="dxa" w:w="4320"/>
          </w:tcPr>
          <w:p>
            <w:r>
              <w:t>CRE52.56–71</w:t>
            </w:r>
          </w:p>
        </w:tc>
        <w:tc>
          <w:tcPr>
            <w:tcW w:type="dxa" w:w="4320"/>
          </w:tcPr>
          <w:p>
            <w:r>
              <w:t>Add-On computation per asset class</w:t>
            </w:r>
          </w:p>
        </w:tc>
      </w:tr>
      <w:tr>
        <w:tc>
          <w:tcPr>
            <w:tcW w:type="dxa" w:w="4320"/>
          </w:tcPr>
          <w:p>
            <w:r>
              <w:t>CRE52.2</w:t>
            </w:r>
          </w:p>
        </w:tc>
        <w:tc>
          <w:tcPr>
            <w:tcW w:type="dxa" w:w="4320"/>
          </w:tcPr>
          <w:p>
            <w:r>
              <w:t>Margined EAD cap at unmargined EAD</w:t>
            </w:r>
          </w:p>
        </w:tc>
      </w:tr>
      <w:tr>
        <w:tc>
          <w:tcPr>
            <w:tcW w:type="dxa" w:w="4320"/>
          </w:tcPr>
          <w:p>
            <w:r>
              <w:t>CRE52.40–41</w:t>
            </w:r>
          </w:p>
        </w:tc>
        <w:tc>
          <w:tcPr>
            <w:tcW w:type="dxa" w:w="4320"/>
          </w:tcPr>
          <w:p>
            <w:r>
              <w:t>Supervisory delta for options and CDO tranches</w:t>
            </w:r>
          </w:p>
        </w:tc>
      </w:tr>
    </w:tbl>
    <w:p>
      <w:pPr>
        <w:pStyle w:val="Heading3"/>
        <w:jc w:val="left"/>
      </w:pPr>
      <w:r>
        <w:t>Key Formula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EAD = α × (RC + Multiplier × AddOn_aggregate)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where: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α      = 1.4 (supervisory scaling factor)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RC     = Replacement Cost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AddOn  = Potential Future Exposure add-on (sum across asset classes)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Multiplier = PFE multiplier (function of V and C)</w:t>
      </w:r>
    </w:p>
    <w:p>
      <w:pPr>
        <w:pStyle w:val="Heading2"/>
        <w:jc w:val="left"/>
      </w:pPr>
      <w:r>
        <w:t>2. SA-CCR Structure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Netting Set Input (trades + collateral)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├── Replacement Cost (RC)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│    ├── Unmargined: max(V − C, 0)            [CRE52.10]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│    └── Margined:   max(V − C, TH + MTA − NICA, 0) [CRE52.18]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├── PFE Multiplier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│    mult = min(1, 0.05 + 0.95 × exp((V−C)/(2 × 0.95 × AddOn_agg)))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└── Add-On per Asset Class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├── IR:    hedging sets per currency; SD formula [CRE52.56–61]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├── FX:    per currency pair; SF × notional     [CRE52.62–65]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├── EQ:    single-name (32%/50%) or index (20%/80%) [CRE52.66–68]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├── CR:    rating-granular SF; single/index rho   [CRE52.69–72]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└── CMDTY: by commodity type; electricity 40%    [CRE52.73–77]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EAD = α × (RC + mult × Σ AddOn_k)    [CRE52.6]</w:t>
      </w:r>
    </w:p>
    <w:p>
      <w:pPr>
        <w:pStyle w:val="Heading2"/>
        <w:jc w:val="left"/>
      </w:pPr>
      <w:r>
        <w:t>3. Replacement Cost (RC)</w:t>
      </w:r>
    </w:p>
    <w:p>
      <w:pPr>
        <w:pStyle w:val="Heading3"/>
        <w:jc w:val="left"/>
      </w:pPr>
      <w:r>
        <w:t>Unmargined Netting Set (CRE52.10)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RC_unmargined = max(V − C, 0)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where: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V = net MtM of the netting set (positive = in the money to bank)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C = net collateral held (excluding NICA)</w:t>
      </w:r>
    </w:p>
    <w:p>
      <w:pPr>
        <w:pStyle w:val="Heading3"/>
        <w:jc w:val="left"/>
      </w:pPr>
      <w:r>
        <w:t>Margined Netting Set (CRE52.18)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RC_margined = max(V − C, TH + MTA − NICA, 0)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where: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TH   = Threshold (amount of exposure before margin calls trigger)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MTA  = Minimum Transfer Amount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NICA = Net Independent Collateral Amount (initial margin held net)</w:t>
      </w:r>
    </w:p>
    <w:p>
      <w:r>
        <w:t>The second term `TH + MTA − NICA` represents the maximum potential exposure that exists at the margin of the collateral agreement — the "gap risk" within the MPOR.</w:t>
      </w:r>
    </w:p>
    <w:p>
      <w:pPr>
        <w:pStyle w:val="Heading2"/>
        <w:jc w:val="left"/>
      </w:pPr>
      <w:r>
        <w:t>4. PFE Multiplier (CRE52.22–23)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y          = (V − C) / (2 × 0.95 × AddOn_agg)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Multiplier = min(1.0, 0.05 + 0.95 × exp(y))</w:t>
      </w:r>
    </w:p>
    <w:p>
      <w:r>
        <w:rPr>
          <w:b/>
        </w:rPr>
        <w:t>Interpretation:</w:t>
      </w:r>
    </w:p>
    <w:p>
      <w:pPr>
        <w:pStyle w:val="ListBullet"/>
      </w:pPr>
      <w:r>
        <w:t>When `V − C ≥ 0` (in the money): multiplier approaches 1.0 — full add-on used</w:t>
      </w:r>
    </w:p>
    <w:p>
      <w:pPr>
        <w:pStyle w:val="ListBullet"/>
      </w:pPr>
      <w:r>
        <w:t>When `V − C &lt; 0` (out of the money): multiplier &lt; 1 — reduced add-on reflects lower risk</w:t>
      </w:r>
    </w:p>
    <w:p>
      <w:pPr>
        <w:pStyle w:val="ListBullet"/>
      </w:pPr>
      <w:r>
        <w:t>Floor of 0.05 — even deep OTM positions carry a minimum 5% of add-on</w:t>
      </w:r>
    </w:p>
    <w:p>
      <w:r>
        <w:t>The multiplier captures the economic insight that a netting set already well out-of-the-money is unlikely to generate large future exposures. The 0.05 floor prevents multiplier from reaching zero.</w:t>
      </w:r>
    </w:p>
    <w:p>
      <w:pPr>
        <w:pStyle w:val="Heading2"/>
        <w:jc w:val="left"/>
      </w:pPr>
      <w:r>
        <w:t>5. Add-On by Asset Class</w:t>
      </w:r>
    </w:p>
    <w:p>
      <w:pPr>
        <w:pStyle w:val="Heading3"/>
        <w:jc w:val="left"/>
      </w:pPr>
      <w:r>
        <w:t>5.1 Interest Rate Add-On (CRE52.56–61)</w:t>
      </w:r>
    </w:p>
    <w:p>
      <w:r>
        <w:t xml:space="preserve">IR add-ons are computed per </w:t>
      </w:r>
      <w:r>
        <w:rPr>
          <w:b/>
        </w:rPr>
        <w:t>currency</w:t>
      </w:r>
      <w:r>
        <w:t xml:space="preserve"> (hedging set). Within each currency: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D_i = Adjusted Notional × SD_i × MF_i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where: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Adjusted Notional = trade notional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SD_i = Supervisory delta (+1 or −1 for linear; Black-Scholes for options)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MF_i = Maturity Factor = sqrt(min(M, 1) / 1)   for unmargined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= (3/2) × sqrt(MPOR / 250)                 for margined [GAP-01]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Effective Notional per time bucket (T_start, T_end in years):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EN_i = D_i × (exp(−0.05 × T_start) − exp(−0.05 × T_end))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Time buckets: [0,1), [1,5), [5,∞)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Add-on per hedging set: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AddOn_IR = SF_IR × sqrt(EN_1² + EN_2² + EN_3² + 1.4×EN_1×EN_2 + 1.4×EN_2×EN_3 + 0.6×EN_1×EN_3)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SF_IR = 0.005 (0.5%)</w:t>
      </w:r>
    </w:p>
    <w:p>
      <w:r>
        <w:rPr>
          <w:b/>
        </w:rPr>
        <w:t>Note:</w:t>
      </w:r>
      <w:r>
        <w:t xml:space="preserve"> The 1.4 and 0.6 cross-bucket correlations reflect partial offset between adjacent maturity buckets.</w:t>
      </w:r>
    </w:p>
    <w:p>
      <w:pPr>
        <w:pStyle w:val="Heading3"/>
        <w:jc w:val="left"/>
      </w:pPr>
      <w:r>
        <w:t>5.2 FX Add-On (CRE52.62–65)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For each currency pair (USD/EUR, USD/GBP, etc.):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Add-On_pair = SF_FX × |Σ SD_i × D_i|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SF_FX = 0.04 (4%)</w:t>
      </w:r>
    </w:p>
    <w:p>
      <w:pPr>
        <w:pStyle w:val="Heading3"/>
        <w:jc w:val="left"/>
      </w:pPr>
      <w:r>
        <w:t>5.3 Equity Add-On (CRE52.66–68, GAP-04)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Single-name:   SF = 32%, ρ = 50%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Index:         SF = 20%, ρ = 80%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For each underlying: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AddOn_eq = SF × |Σ SD_i × D_i|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Aggregation across underlyings: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Total = sqrt((ρ × Σ AddOn_k)² + (1−ρ²) × Σ AddOn_k²)</w:t>
      </w:r>
    </w:p>
    <w:p>
      <w:r>
        <w:rPr>
          <w:b/>
        </w:rPr>
        <w:t>GAP-04:</w:t>
      </w:r>
      <w:r>
        <w:t xml:space="preserve"> Original code used SF=20%/ρ=50% for both single-name and index. Basel Table 2 specifies single-name has 32% SF (higher because individual stocks are more volatile) and lower correlation (50% vs 80%).</w:t>
      </w:r>
    </w:p>
    <w:p>
      <w:pPr>
        <w:pStyle w:val="Heading3"/>
        <w:jc w:val="left"/>
      </w:pPr>
      <w:r>
        <w:t>5.4 Credit Add-On (CRE52.69–72, GAP-02/03)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SF_credit by rating (Table 2):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AAA: 0.38%  AA: 0.38%  A: 0.42%  BBB: 0.54%  BB: 1.06%  B: 1.60%  CCC: 6.00%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Single-name: ρ = 50%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Index CDS:   ρ = 80%    [GAP-03: was uniformly 50%]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For each reference entity / index: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AddOn_cr = SF(rating) × |Σ SD_i × D_i|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Aggregation: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Total_cr = sqrt((ρ × Σ AddOn_k)² + (1−ρ²) × Σ AddOn_k²)</w:t>
      </w:r>
    </w:p>
    <w:p>
      <w:r>
        <w:rPr>
          <w:b/>
        </w:rPr>
        <w:t>GAP-02:</w:t>
      </w:r>
      <w:r>
        <w:t xml:space="preserve"> Original used flat IG/HY SF split. Basel requires 7-grade rating-granular SFs — critical for accurate CDS capital.</w:t>
      </w:r>
    </w:p>
    <w:p>
      <w:pPr>
        <w:pStyle w:val="Heading3"/>
        <w:jc w:val="left"/>
      </w:pPr>
      <w:r>
        <w:t>5.5 Commodity Add-On (CRE52.73–77, GAP-05)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SF by commodity type (Table 2):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Crude oil:    18%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Electricity:  40%    [GAP-05: separate hedging set; was 18%]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Gold:         18%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Other metals: 18%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Agricultural: 15%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Other:        15%</w:t>
      </w:r>
    </w:p>
    <w:p>
      <w:r>
        <w:rPr>
          <w:b/>
        </w:rPr>
        <w:t>GAP-05:</w:t>
      </w:r>
      <w:r>
        <w:t xml:space="preserve"> Electricity is a separate hedging set with 40% SF (vs 18% for oil) because electricity is non-storable and exhibits extreme price spikes (e.g. Texas winter storm 2021).</w:t>
      </w:r>
    </w:p>
    <w:p>
      <w:pPr>
        <w:pStyle w:val="Heading2"/>
        <w:jc w:val="left"/>
      </w:pPr>
      <w:r>
        <w:t>6. EAD Formula and Margined Cap (CRE52.2)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EAD_unmargined = α × (RC_unmargined + mult_unmargined × AddOn)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EAD_margined   = α × (RC_margined   + mult_margined   × AddOn)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Final EAD = min(EAD_margined, EAD_unmargined)    [CRE52.2, GAP-08]</w:t>
      </w:r>
    </w:p>
    <w:p>
      <w:r>
        <w:rPr>
          <w:b/>
        </w:rPr>
        <w:t>GAP-08:</w:t>
      </w:r>
      <w:r>
        <w:t xml:space="preserve"> The margined EAD cap prevents a counterintuitive result where adding a margin agreement </w:t>
      </w:r>
      <w:r>
        <w:rPr>
          <w:i/>
        </w:rPr>
        <w:t>increases</w:t>
      </w:r>
      <w:r>
        <w:t xml:space="preserve"> EAD (which could happen if the MF adjustment produces a higher add-on than the unmargined calculation).</w:t>
      </w:r>
    </w:p>
    <w:p>
      <w:pPr>
        <w:pStyle w:val="Heading2"/>
        <w:jc w:val="left"/>
      </w:pPr>
      <w:r>
        <w:t>7. Supervisory Delta — Options and CDOs</w:t>
      </w:r>
    </w:p>
    <w:p>
      <w:pPr>
        <w:pStyle w:val="Heading3"/>
        <w:jc w:val="left"/>
      </w:pPr>
      <w:r>
        <w:t>Option Delta (CRE52.40, GAP-06)</w:t>
      </w:r>
    </w:p>
    <w:p>
      <w:r>
        <w:t>For options (not plain vanilla forwards/swaps):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Call option:  δ = +N(d₁)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Put option:   δ = −N(−d₁)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d₁ = (ln((P + λ) / (K + λ)) + 0.5 × σ² × T) / (σ × sqrt(T))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where: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P  = current underlying price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K  = strike price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σ  = supervisory volatility (from SUPERVISORY_VOL table)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T  = option maturity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λ  = shift parameter (ensures positive domain for rates)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λ = 0.005 (50bp) for IR options to handle negative rates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λ = 0 for other asset classes</w:t>
      </w:r>
    </w:p>
    <w:p>
      <w:r>
        <w:rPr>
          <w:b/>
        </w:rPr>
        <w:t>Supervisory volatilities (SUPERVISORY_VOL):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Asset Class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Supervisory Vol</w:t>
            </w:r>
          </w:p>
        </w:tc>
      </w:tr>
      <w:tr>
        <w:tc>
          <w:tcPr>
            <w:tcW w:type="dxa" w:w="4320"/>
          </w:tcPr>
          <w:p>
            <w:r>
              <w:t>IR</w:t>
            </w:r>
          </w:p>
        </w:tc>
        <w:tc>
          <w:tcPr>
            <w:tcW w:type="dxa" w:w="4320"/>
          </w:tcPr>
          <w:p>
            <w:r>
              <w:t>50%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  <w:tr>
        <w:tc>
          <w:tcPr>
            <w:tcW w:type="dxa" w:w="4320"/>
          </w:tcPr>
          <w:p>
            <w:r>
              <w:t>EQ Single-Name</w:t>
            </w:r>
          </w:p>
        </w:tc>
        <w:tc>
          <w:tcPr>
            <w:tcW w:type="dxa" w:w="4320"/>
          </w:tcPr>
          <w:p>
            <w:r>
              <w:t>120%</w:t>
            </w:r>
          </w:p>
        </w:tc>
      </w:tr>
      <w:tr>
        <w:tc>
          <w:tcPr>
            <w:tcW w:type="dxa" w:w="4320"/>
          </w:tcPr>
          <w:p>
            <w:r>
              <w:t>EQ Index</w:t>
            </w:r>
          </w:p>
        </w:tc>
        <w:tc>
          <w:tcPr>
            <w:tcW w:type="dxa" w:w="4320"/>
          </w:tcPr>
          <w:p>
            <w:r>
              <w:t>75%</w:t>
            </w:r>
          </w:p>
        </w:tc>
      </w:tr>
      <w:tr>
        <w:tc>
          <w:tcPr>
            <w:tcW w:type="dxa" w:w="4320"/>
          </w:tcPr>
          <w:p>
            <w:r>
              <w:t>CR Single-Name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  <w:tr>
        <w:tc>
          <w:tcPr>
            <w:tcW w:type="dxa" w:w="4320"/>
          </w:tcPr>
          <w:p>
            <w:r>
              <w:t>CR Index</w:t>
            </w:r>
          </w:p>
        </w:tc>
        <w:tc>
          <w:tcPr>
            <w:tcW w:type="dxa" w:w="4320"/>
          </w:tcPr>
          <w:p>
            <w:r>
              <w:t>80%</w:t>
            </w:r>
          </w:p>
        </w:tc>
      </w:tr>
      <w:tr>
        <w:tc>
          <w:tcPr>
            <w:tcW w:type="dxa" w:w="4320"/>
          </w:tcPr>
          <w:p>
            <w:r>
              <w:t>CMDTY</w:t>
            </w:r>
          </w:p>
        </w:tc>
        <w:tc>
          <w:tcPr>
            <w:tcW w:type="dxa" w:w="4320"/>
          </w:tcPr>
          <w:p>
            <w:r>
              <w:t>70%</w:t>
            </w:r>
          </w:p>
        </w:tc>
      </w:tr>
    </w:tbl>
    <w:p>
      <w:pPr>
        <w:pStyle w:val="Heading3"/>
        <w:jc w:val="left"/>
      </w:pPr>
      <w:r>
        <w:t>CDO Tranche Delta (CRE52.41, GAP-07)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For tranched CDO positions: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δ = +15 × exp(−14 × A) × (1 − exp(−14 × D))   [protection buyer]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δ = −15 × exp(−14 × A) × (1 − exp(−14 × D))   [protection seller]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where: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A = attachment point (e.g. 3% = 0.03)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D = detachment point (e.g. 6% = 0.06)</w:t>
      </w:r>
    </w:p>
    <w:p>
      <w:pPr>
        <w:pStyle w:val="Heading2"/>
        <w:jc w:val="left"/>
      </w:pPr>
      <w:r>
        <w:t>8. Key Gap Fixes Applied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Fix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Regulation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Impact</w:t>
            </w:r>
          </w:p>
        </w:tc>
      </w:tr>
      <w:tr>
        <w:tc>
          <w:tcPr>
            <w:tcW w:type="dxa" w:w="2160"/>
          </w:tcPr>
          <w:p>
            <w:r>
              <w:t>**GAP-01**</w:t>
            </w:r>
          </w:p>
        </w:tc>
        <w:tc>
          <w:tcPr>
            <w:tcW w:type="dxa" w:w="2160"/>
          </w:tcPr>
          <w:p>
            <w:r>
              <w:t>CRE52.52</w:t>
            </w:r>
          </w:p>
        </w:tc>
        <w:tc>
          <w:tcPr>
            <w:tcW w:type="dxa" w:w="2160"/>
          </w:tcPr>
          <w:p>
            <w:r>
              <w:t>Margined MF = (3/2) × sqrt(MPOR/250) — was missing 3/2 factor</w:t>
            </w:r>
          </w:p>
        </w:tc>
        <w:tc>
          <w:tcPr>
            <w:tcW w:type="dxa" w:w="2160"/>
          </w:tcPr>
          <w:p>
            <w:r>
              <w:t>Was understating add-on by 33% for margined trades</w:t>
            </w:r>
          </w:p>
        </w:tc>
      </w:tr>
      <w:tr>
        <w:tc>
          <w:tcPr>
            <w:tcW w:type="dxa" w:w="2160"/>
          </w:tcPr>
          <w:p>
            <w:r>
              <w:t>**GAP-02**</w:t>
            </w:r>
          </w:p>
        </w:tc>
        <w:tc>
          <w:tcPr>
            <w:tcW w:type="dxa" w:w="2160"/>
          </w:tcPr>
          <w:p>
            <w:r>
              <w:t>Table 2</w:t>
            </w:r>
          </w:p>
        </w:tc>
        <w:tc>
          <w:tcPr>
            <w:tcW w:type="dxa" w:w="2160"/>
          </w:tcPr>
          <w:p>
            <w:r>
              <w:t>Credit SF is 7-grade rating-granular (not flat IG/HY)</w:t>
            </w:r>
          </w:p>
        </w:tc>
        <w:tc>
          <w:tcPr>
            <w:tcW w:type="dxa" w:w="2160"/>
          </w:tcPr>
          <w:p>
            <w:r>
              <w:t>Material for BB/B/CCC credits</w:t>
            </w:r>
          </w:p>
        </w:tc>
      </w:tr>
      <w:tr>
        <w:tc>
          <w:tcPr>
            <w:tcW w:type="dxa" w:w="2160"/>
          </w:tcPr>
          <w:p>
            <w:r>
              <w:t>**GAP-03**</w:t>
            </w:r>
          </w:p>
        </w:tc>
        <w:tc>
          <w:tcPr>
            <w:tcW w:type="dxa" w:w="2160"/>
          </w:tcPr>
          <w:p>
            <w:r>
              <w:t>Table 2</w:t>
            </w:r>
          </w:p>
        </w:tc>
        <w:tc>
          <w:tcPr>
            <w:tcW w:type="dxa" w:w="2160"/>
          </w:tcPr>
          <w:p>
            <w:r>
              <w:t>Credit index ρ = 80% (was 50%)</w:t>
            </w:r>
          </w:p>
        </w:tc>
        <w:tc>
          <w:tcPr>
            <w:tcW w:type="dxa" w:w="2160"/>
          </w:tcPr>
          <w:p>
            <w:r>
              <w:t>30% higher portfolio offset for CDX positions</w:t>
            </w:r>
          </w:p>
        </w:tc>
      </w:tr>
      <w:tr>
        <w:tc>
          <w:tcPr>
            <w:tcW w:type="dxa" w:w="2160"/>
          </w:tcPr>
          <w:p>
            <w:r>
              <w:t>**GAP-04**</w:t>
            </w:r>
          </w:p>
        </w:tc>
        <w:tc>
          <w:tcPr>
            <w:tcW w:type="dxa" w:w="2160"/>
          </w:tcPr>
          <w:p>
            <w:r>
              <w:t>Table 2</w:t>
            </w:r>
          </w:p>
        </w:tc>
        <w:tc>
          <w:tcPr>
            <w:tcW w:type="dxa" w:w="2160"/>
          </w:tcPr>
          <w:p>
            <w:r>
              <w:t>EQ index SF=20%/ρ=80%; single-name SF=32%/ρ=50%</w:t>
            </w:r>
          </w:p>
        </w:tc>
        <w:tc>
          <w:tcPr>
            <w:tcW w:type="dxa" w:w="2160"/>
          </w:tcPr>
          <w:p>
            <w:r>
              <w:t>Correct EQ bifurcation</w:t>
            </w:r>
          </w:p>
        </w:tc>
      </w:tr>
      <w:tr>
        <w:tc>
          <w:tcPr>
            <w:tcW w:type="dxa" w:w="2160"/>
          </w:tcPr>
          <w:p>
            <w:r>
              <w:t>**GAP-05**</w:t>
            </w:r>
          </w:p>
        </w:tc>
        <w:tc>
          <w:tcPr>
            <w:tcW w:type="dxa" w:w="2160"/>
          </w:tcPr>
          <w:p>
            <w:r>
              <w:t>Table 2</w:t>
            </w:r>
          </w:p>
        </w:tc>
        <w:tc>
          <w:tcPr>
            <w:tcW w:type="dxa" w:w="2160"/>
          </w:tcPr>
          <w:p>
            <w:r>
              <w:t>Electricity SF = 40% (separate hedging set)</w:t>
            </w:r>
          </w:p>
        </w:tc>
        <w:tc>
          <w:tcPr>
            <w:tcW w:type="dxa" w:w="2160"/>
          </w:tcPr>
          <w:p>
            <w:r>
              <w:t>2.2× higher SF for power derivatives</w:t>
            </w:r>
          </w:p>
        </w:tc>
      </w:tr>
      <w:tr>
        <w:tc>
          <w:tcPr>
            <w:tcW w:type="dxa" w:w="2160"/>
          </w:tcPr>
          <w:p>
            <w:r>
              <w:t>**GAP-06**</w:t>
            </w:r>
          </w:p>
        </w:tc>
        <w:tc>
          <w:tcPr>
            <w:tcW w:type="dxa" w:w="2160"/>
          </w:tcPr>
          <w:p>
            <w:r>
              <w:t>CRE52.40</w:t>
            </w:r>
          </w:p>
        </w:tc>
        <w:tc>
          <w:tcPr>
            <w:tcW w:type="dxa" w:w="2160"/>
          </w:tcPr>
          <w:p>
            <w:r>
              <w:t>Option supervisory delta — Black-Scholes + λ-shift</w:t>
            </w:r>
          </w:p>
        </w:tc>
        <w:tc>
          <w:tcPr>
            <w:tcW w:type="dxa" w:w="2160"/>
          </w:tcPr>
          <w:p>
            <w:r>
              <w:t>New capability; was returning +1/-1 for all options</w:t>
            </w:r>
          </w:p>
        </w:tc>
      </w:tr>
      <w:tr>
        <w:tc>
          <w:tcPr>
            <w:tcW w:type="dxa" w:w="2160"/>
          </w:tcPr>
          <w:p>
            <w:r>
              <w:t>**GAP-07**</w:t>
            </w:r>
          </w:p>
        </w:tc>
        <w:tc>
          <w:tcPr>
            <w:tcW w:type="dxa" w:w="2160"/>
          </w:tcPr>
          <w:p>
            <w:r>
              <w:t>CRE52.41</w:t>
            </w:r>
          </w:p>
        </w:tc>
        <w:tc>
          <w:tcPr>
            <w:tcW w:type="dxa" w:w="2160"/>
          </w:tcPr>
          <w:p>
            <w:r>
              <w:t>CDO tranche delta with A/D attachment formula</w:t>
            </w:r>
          </w:p>
        </w:tc>
        <w:tc>
          <w:tcPr>
            <w:tcW w:type="dxa" w:w="2160"/>
          </w:tcPr>
          <w:p>
            <w:r>
              <w:t>New capability for synthetic CDO tranches</w:t>
            </w:r>
          </w:p>
        </w:tc>
      </w:tr>
      <w:tr>
        <w:tc>
          <w:tcPr>
            <w:tcW w:type="dxa" w:w="2160"/>
          </w:tcPr>
          <w:p>
            <w:r>
              <w:t>**GAP-08**</w:t>
            </w:r>
          </w:p>
        </w:tc>
        <w:tc>
          <w:tcPr>
            <w:tcW w:type="dxa" w:w="2160"/>
          </w:tcPr>
          <w:p>
            <w:r>
              <w:t>CRE52.2</w:t>
            </w:r>
          </w:p>
        </w:tc>
        <w:tc>
          <w:tcPr>
            <w:tcW w:type="dxa" w:w="2160"/>
          </w:tcPr>
          <w:p>
            <w:r>
              <w:t>Margined EAD capped at unmargined EAD</w:t>
            </w:r>
          </w:p>
        </w:tc>
        <w:tc>
          <w:tcPr>
            <w:tcW w:type="dxa" w:w="2160"/>
          </w:tcPr>
          <w:p>
            <w:r>
              <w:t>Prevents margin agreement increasing EAD</w:t>
            </w:r>
          </w:p>
        </w:tc>
      </w:tr>
      <w:tr>
        <w:tc>
          <w:tcPr>
            <w:tcW w:type="dxa" w:w="2160"/>
          </w:tcPr>
          <w:p>
            <w:r>
              <w:t>**GAP-09**</w:t>
            </w:r>
          </w:p>
        </w:tc>
        <w:tc>
          <w:tcPr>
            <w:tcW w:type="dxa" w:w="2160"/>
          </w:tcPr>
          <w:p>
            <w:r>
              <w:t>CRE52.46–47</w:t>
            </w:r>
          </w:p>
        </w:tc>
        <w:tc>
          <w:tcPr>
            <w:tcW w:type="dxa" w:w="2160"/>
          </w:tcPr>
          <w:p>
            <w:r>
              <w:t>Basis swap SF = ½×standard; vol transaction SF = 5×</w:t>
            </w:r>
          </w:p>
        </w:tc>
        <w:tc>
          <w:tcPr>
            <w:tcW w:type="dxa" w:w="2160"/>
          </w:tcPr>
          <w:p>
            <w:r>
              <w:t>Correct basis/vol transaction treatment</w:t>
            </w:r>
          </w:p>
        </w:tc>
      </w:tr>
      <w:tr>
        <w:tc>
          <w:tcPr>
            <w:tcW w:type="dxa" w:w="2160"/>
          </w:tcPr>
          <w:p>
            <w:r>
              <w:t>**GAP-10**</w:t>
            </w:r>
          </w:p>
        </w:tc>
        <w:tc>
          <w:tcPr>
            <w:tcW w:type="dxa" w:w="2160"/>
          </w:tcPr>
          <w:p>
            <w:r>
              <w:t>CRE52.37</w:t>
            </w:r>
          </w:p>
        </w:tc>
        <w:tc>
          <w:tcPr>
            <w:tcW w:type="dxa" w:w="2160"/>
          </w:tcPr>
          <w:p>
            <w:r>
              <w:t>Variable notional uses `average_notional` field</w:t>
            </w:r>
          </w:p>
        </w:tc>
        <w:tc>
          <w:tcPr>
            <w:tcW w:type="dxa" w:w="2160"/>
          </w:tcPr>
          <w:p>
            <w:r>
              <w:t>Correct amortising/leveraged swap treatment</w:t>
            </w:r>
          </w:p>
        </w:tc>
      </w:tr>
      <w:tr>
        <w:tc>
          <w:tcPr>
            <w:tcW w:type="dxa" w:w="2160"/>
          </w:tcPr>
          <w:p>
            <w:r>
              <w:t>**GAP-11**</w:t>
            </w:r>
          </w:p>
        </w:tc>
        <w:tc>
          <w:tcPr>
            <w:tcW w:type="dxa" w:w="2160"/>
          </w:tcPr>
          <w:p>
            <w:r>
              <w:t>CRE52.60</w:t>
            </w:r>
          </w:p>
        </w:tc>
        <w:tc>
          <w:tcPr>
            <w:tcW w:type="dxa" w:w="2160"/>
          </w:tcPr>
          <w:p>
            <w:r>
              <w:t>Removed duplicate `_resolve_sub_hedging_set()` call</w:t>
            </w:r>
          </w:p>
        </w:tc>
        <w:tc>
          <w:tcPr>
            <w:tcW w:type="dxa" w:w="2160"/>
          </w:tcPr>
          <w:p>
            <w:r>
              <w:t>Code correctness fix</w:t>
            </w:r>
          </w:p>
        </w:tc>
      </w:tr>
      <w:tr>
        <w:tc>
          <w:tcPr>
            <w:tcW w:type="dxa" w:w="2160"/>
          </w:tcPr>
          <w:p>
            <w:r>
              <w:t>**GAP-12**</w:t>
            </w:r>
          </w:p>
        </w:tc>
        <w:tc>
          <w:tcPr>
            <w:tcW w:type="dxa" w:w="2160"/>
          </w:tcPr>
          <w:p>
            <w:r>
              <w:t>CRE52.34</w:t>
            </w:r>
          </w:p>
        </w:tc>
        <w:tc>
          <w:tcPr>
            <w:tcW w:type="dxa" w:w="2160"/>
          </w:tcPr>
          <w:p>
            <w:r>
              <w:t>`start_date` field for forward-starting swaps</w:t>
            </w:r>
          </w:p>
        </w:tc>
        <w:tc>
          <w:tcPr>
            <w:tcW w:type="dxa" w:w="2160"/>
          </w:tcPr>
          <w:p>
            <w:r>
              <w:t>Correct S in SD formula for forward swaps</w:t>
            </w:r>
          </w:p>
        </w:tc>
      </w:tr>
      <w:tr>
        <w:tc>
          <w:tcPr>
            <w:tcW w:type="dxa" w:w="2160"/>
          </w:tcPr>
          <w:p>
            <w:r>
              <w:t>**GAP-13**</w:t>
            </w:r>
          </w:p>
        </w:tc>
        <w:tc>
          <w:tcPr>
            <w:tcW w:type="dxa" w:w="2160"/>
          </w:tcPr>
          <w:p>
            <w:r>
              <w:t>Table 2</w:t>
            </w:r>
          </w:p>
        </w:tc>
        <w:tc>
          <w:tcPr>
            <w:tcW w:type="dxa" w:w="2160"/>
          </w:tcPr>
          <w:p>
            <w:r>
              <w:t>SUPERVISORY_VOL dict added for all asset classes</w:t>
            </w:r>
          </w:p>
        </w:tc>
        <w:tc>
          <w:tcPr>
            <w:tcW w:type="dxa" w:w="2160"/>
          </w:tcPr>
          <w:p>
            <w:r>
              <w:t>Required for GAP-06 option delta</w:t>
            </w:r>
          </w:p>
        </w:tc>
      </w:tr>
    </w:tbl>
    <w:p>
      <w:pPr>
        <w:pStyle w:val="Heading2"/>
        <w:jc w:val="left"/>
      </w:pPr>
      <w:r>
        <w:t>9. Data Structures Reference</w:t>
      </w:r>
    </w:p>
    <w:p>
      <w:pPr>
        <w:pStyle w:val="Heading3"/>
        <w:jc w:val="left"/>
      </w:pPr>
      <w:r>
        <w:t>Trade (Input)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`trade_id`</w:t>
            </w:r>
          </w:p>
        </w:tc>
        <w:tc>
          <w:tcPr>
            <w:tcW w:type="dxa" w:w="4320"/>
          </w:tcPr>
          <w:p>
            <w:r>
              <w:t>Unique trade identifier</w:t>
            </w:r>
          </w:p>
        </w:tc>
      </w:tr>
      <w:tr>
        <w:tc>
          <w:tcPr>
            <w:tcW w:type="dxa" w:w="4320"/>
          </w:tcPr>
          <w:p>
            <w:r>
              <w:t>`asset_class`</w:t>
            </w:r>
          </w:p>
        </w:tc>
        <w:tc>
          <w:tcPr>
            <w:tcW w:type="dxa" w:w="4320"/>
          </w:tcPr>
          <w:p>
            <w:r>
              <w:t>'IR', 'FX', 'EQ', 'CR', 'CMDTY'</w:t>
            </w:r>
          </w:p>
        </w:tc>
      </w:tr>
      <w:tr>
        <w:tc>
          <w:tcPr>
            <w:tcW w:type="dxa" w:w="4320"/>
          </w:tcPr>
          <w:p>
            <w:r>
              <w:t>`instrument_type`</w:t>
            </w:r>
          </w:p>
        </w:tc>
        <w:tc>
          <w:tcPr>
            <w:tcW w:type="dxa" w:w="4320"/>
          </w:tcPr>
          <w:p>
            <w:r>
              <w:t>'IRS', 'CDS_Protection', 'FXFwd', 'EquitySwap', etc.</w:t>
            </w:r>
          </w:p>
        </w:tc>
      </w:tr>
      <w:tr>
        <w:tc>
          <w:tcPr>
            <w:tcW w:type="dxa" w:w="4320"/>
          </w:tcPr>
          <w:p>
            <w:r>
              <w:t>`notional`</w:t>
            </w:r>
          </w:p>
        </w:tc>
        <w:tc>
          <w:tcPr>
            <w:tcW w:type="dxa" w:w="4320"/>
          </w:tcPr>
          <w:p>
            <w:r>
              <w:t>Face / notional amount</w:t>
            </w:r>
          </w:p>
        </w:tc>
      </w:tr>
      <w:tr>
        <w:tc>
          <w:tcPr>
            <w:tcW w:type="dxa" w:w="4320"/>
          </w:tcPr>
          <w:p>
            <w:r>
              <w:t>`direction`</w:t>
            </w:r>
          </w:p>
        </w:tc>
        <w:tc>
          <w:tcPr>
            <w:tcW w:type="dxa" w:w="4320"/>
          </w:tcPr>
          <w:p>
            <w:r>
              <w:t>+1 = long/payer/protection buyer; −1 = short/receiver/seller</w:t>
            </w:r>
          </w:p>
        </w:tc>
      </w:tr>
      <w:tr>
        <w:tc>
          <w:tcPr>
            <w:tcW w:type="dxa" w:w="4320"/>
          </w:tcPr>
          <w:p>
            <w:r>
              <w:t>`maturity_date`</w:t>
            </w:r>
          </w:p>
        </w:tc>
        <w:tc>
          <w:tcPr>
            <w:tcW w:type="dxa" w:w="4320"/>
          </w:tcPr>
          <w:p>
            <w:r>
              <w:t>Trade maturity date</w:t>
            </w:r>
          </w:p>
        </w:tc>
      </w:tr>
      <w:tr>
        <w:tc>
          <w:tcPr>
            <w:tcW w:type="dxa" w:w="4320"/>
          </w:tcPr>
          <w:p>
            <w:r>
              <w:t>`current_mtm`</w:t>
            </w:r>
          </w:p>
        </w:tc>
        <w:tc>
          <w:tcPr>
            <w:tcW w:type="dxa" w:w="4320"/>
          </w:tcPr>
          <w:p>
            <w:r>
              <w:t>Current mark-to-market (USD)</w:t>
            </w:r>
          </w:p>
        </w:tc>
      </w:tr>
      <w:tr>
        <w:tc>
          <w:tcPr>
            <w:tcW w:type="dxa" w:w="4320"/>
          </w:tcPr>
          <w:p>
            <w:r>
              <w:t>`credit_sub_type`</w:t>
            </w:r>
          </w:p>
        </w:tc>
        <w:tc>
          <w:tcPr>
            <w:tcW w:type="dxa" w:w="4320"/>
          </w:tcPr>
          <w:p>
            <w:r>
              <w:t>'SINGLE_NAME', 'INDEX_CDS', 'TRANCHED'</w:t>
            </w:r>
          </w:p>
        </w:tc>
      </w:tr>
      <w:tr>
        <w:tc>
          <w:tcPr>
            <w:tcW w:type="dxa" w:w="4320"/>
          </w:tcPr>
          <w:p>
            <w:r>
              <w:t>`credit_rating`</w:t>
            </w:r>
          </w:p>
        </w:tc>
        <w:tc>
          <w:tcPr>
            <w:tcW w:type="dxa" w:w="4320"/>
          </w:tcPr>
          <w:p>
            <w:r>
              <w:t>For credit trades: 'AAA'–'CCC'</w:t>
            </w:r>
          </w:p>
        </w:tc>
      </w:tr>
      <w:tr>
        <w:tc>
          <w:tcPr>
            <w:tcW w:type="dxa" w:w="4320"/>
          </w:tcPr>
          <w:p>
            <w:r>
              <w:t>`is_option`</w:t>
            </w:r>
          </w:p>
        </w:tc>
        <w:tc>
          <w:tcPr>
            <w:tcW w:type="dxa" w:w="4320"/>
          </w:tcPr>
          <w:p>
            <w:r>
              <w:t>True if option (triggers supervisory delta calc)</w:t>
            </w:r>
          </w:p>
        </w:tc>
      </w:tr>
      <w:tr>
        <w:tc>
          <w:tcPr>
            <w:tcW w:type="dxa" w:w="4320"/>
          </w:tcPr>
          <w:p>
            <w:r>
              <w:t>`option_type`</w:t>
            </w:r>
          </w:p>
        </w:tc>
        <w:tc>
          <w:tcPr>
            <w:tcW w:type="dxa" w:w="4320"/>
          </w:tcPr>
          <w:p>
            <w:r>
              <w:t>'call' or 'put'</w:t>
            </w:r>
          </w:p>
        </w:tc>
      </w:tr>
      <w:tr>
        <w:tc>
          <w:tcPr>
            <w:tcW w:type="dxa" w:w="4320"/>
          </w:tcPr>
          <w:p>
            <w:r>
              <w:t>`strike`</w:t>
            </w:r>
          </w:p>
        </w:tc>
        <w:tc>
          <w:tcPr>
            <w:tcW w:type="dxa" w:w="4320"/>
          </w:tcPr>
          <w:p>
            <w:r>
              <w:t>Option strike price</w:t>
            </w:r>
          </w:p>
        </w:tc>
      </w:tr>
      <w:tr>
        <w:tc>
          <w:tcPr>
            <w:tcW w:type="dxa" w:w="4320"/>
          </w:tcPr>
          <w:p>
            <w:r>
              <w:t>`underlying_price`</w:t>
            </w:r>
          </w:p>
        </w:tc>
        <w:tc>
          <w:tcPr>
            <w:tcW w:type="dxa" w:w="4320"/>
          </w:tcPr>
          <w:p>
            <w:r>
              <w:t>Current underlying price</w:t>
            </w:r>
          </w:p>
        </w:tc>
      </w:tr>
      <w:tr>
        <w:tc>
          <w:tcPr>
            <w:tcW w:type="dxa" w:w="4320"/>
          </w:tcPr>
          <w:p>
            <w:r>
              <w:t>`start_date`</w:t>
            </w:r>
          </w:p>
        </w:tc>
        <w:tc>
          <w:tcPr>
            <w:tcW w:type="dxa" w:w="4320"/>
          </w:tcPr>
          <w:p>
            <w:r>
              <w:t>For forward-starting swaps</w:t>
            </w:r>
          </w:p>
        </w:tc>
      </w:tr>
      <w:tr>
        <w:tc>
          <w:tcPr>
            <w:tcW w:type="dxa" w:w="4320"/>
          </w:tcPr>
          <w:p>
            <w:r>
              <w:t>`average_notional`</w:t>
            </w:r>
          </w:p>
        </w:tc>
        <w:tc>
          <w:tcPr>
            <w:tcW w:type="dxa" w:w="4320"/>
          </w:tcPr>
          <w:p>
            <w:r>
              <w:t>For amortising or leveraged notionals</w:t>
            </w:r>
          </w:p>
        </w:tc>
      </w:tr>
    </w:tbl>
    <w:p>
      <w:pPr>
        <w:pStyle w:val="Heading2"/>
        <w:jc w:val="left"/>
      </w:pPr>
      <w:r>
        <w:t>10.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t>**RC**</w:t>
            </w:r>
          </w:p>
        </w:tc>
        <w:tc>
          <w:tcPr>
            <w:tcW w:type="dxa" w:w="4320"/>
          </w:tcPr>
          <w:p>
            <w:r>
              <w:t>Replacement Cost — current exposure if counterparty defaults today</w:t>
            </w:r>
          </w:p>
        </w:tc>
      </w:tr>
      <w:tr>
        <w:tc>
          <w:tcPr>
            <w:tcW w:type="dxa" w:w="4320"/>
          </w:tcPr>
          <w:p>
            <w:r>
              <w:t>**AddOn**</w:t>
            </w:r>
          </w:p>
        </w:tc>
        <w:tc>
          <w:tcPr>
            <w:tcW w:type="dxa" w:w="4320"/>
          </w:tcPr>
          <w:p>
            <w:r>
              <w:t>Potential Future Exposure add-on — captures possible future changes</w:t>
            </w:r>
          </w:p>
        </w:tc>
      </w:tr>
      <w:tr>
        <w:tc>
          <w:tcPr>
            <w:tcW w:type="dxa" w:w="4320"/>
          </w:tcPr>
          <w:p>
            <w:r>
              <w:t>**α**</w:t>
            </w:r>
          </w:p>
        </w:tc>
        <w:tc>
          <w:tcPr>
            <w:tcW w:type="dxa" w:w="4320"/>
          </w:tcPr>
          <w:p>
            <w:r>
              <w:t>Supervisory scaling factor = 1.4 (CRE52.6)</w:t>
            </w:r>
          </w:p>
        </w:tc>
      </w:tr>
      <w:tr>
        <w:tc>
          <w:tcPr>
            <w:tcW w:type="dxa" w:w="4320"/>
          </w:tcPr>
          <w:p>
            <w:r>
              <w:t>**SF**</w:t>
            </w:r>
          </w:p>
        </w:tc>
        <w:tc>
          <w:tcPr>
            <w:tcW w:type="dxa" w:w="4320"/>
          </w:tcPr>
          <w:p>
            <w:r>
              <w:t>Supervisory Factor — scaling the add-on by asset class/risk level</w:t>
            </w:r>
          </w:p>
        </w:tc>
      </w:tr>
      <w:tr>
        <w:tc>
          <w:tcPr>
            <w:tcW w:type="dxa" w:w="4320"/>
          </w:tcPr>
          <w:p>
            <w:r>
              <w:t>**SD**</w:t>
            </w:r>
          </w:p>
        </w:tc>
        <w:tc>
          <w:tcPr>
            <w:tcW w:type="dxa" w:w="4320"/>
          </w:tcPr>
          <w:p>
            <w:r>
              <w:t>Supervisory Delta — direction and optionality adjustment to notional</w:t>
            </w:r>
          </w:p>
        </w:tc>
      </w:tr>
      <w:tr>
        <w:tc>
          <w:tcPr>
            <w:tcW w:type="dxa" w:w="4320"/>
          </w:tcPr>
          <w:p>
            <w:r>
              <w:t>**MF**</w:t>
            </w:r>
          </w:p>
        </w:tc>
        <w:tc>
          <w:tcPr>
            <w:tcW w:type="dxa" w:w="4320"/>
          </w:tcPr>
          <w:p>
            <w:r>
              <w:t>Maturity Factor — adjusts for residual trade maturity</w:t>
            </w:r>
          </w:p>
        </w:tc>
      </w:tr>
      <w:tr>
        <w:tc>
          <w:tcPr>
            <w:tcW w:type="dxa" w:w="4320"/>
          </w:tcPr>
          <w:p>
            <w:r>
              <w:t>**MPOR**</w:t>
            </w:r>
          </w:p>
        </w:tc>
        <w:tc>
          <w:tcPr>
            <w:tcW w:type="dxa" w:w="4320"/>
          </w:tcPr>
          <w:p>
            <w:r>
              <w:t>Margin Period of Risk — days to close out a margined position</w:t>
            </w:r>
          </w:p>
        </w:tc>
      </w:tr>
      <w:tr>
        <w:tc>
          <w:tcPr>
            <w:tcW w:type="dxa" w:w="4320"/>
          </w:tcPr>
          <w:p>
            <w:r>
              <w:t>**NICA**</w:t>
            </w:r>
          </w:p>
        </w:tc>
        <w:tc>
          <w:tcPr>
            <w:tcW w:type="dxa" w:w="4320"/>
          </w:tcPr>
          <w:p>
            <w:r>
              <w:t>Net Independent Collateral Amount</w:t>
            </w:r>
          </w:p>
        </w:tc>
      </w:tr>
      <w:tr>
        <w:tc>
          <w:tcPr>
            <w:tcW w:type="dxa" w:w="4320"/>
          </w:tcPr>
          <w:p>
            <w:r>
              <w:t>**TH**</w:t>
            </w:r>
          </w:p>
        </w:tc>
        <w:tc>
          <w:tcPr>
            <w:tcW w:type="dxa" w:w="4320"/>
          </w:tcPr>
          <w:p>
            <w:r>
              <w:t>Threshold — exposure level before margin calls are triggered</w:t>
            </w:r>
          </w:p>
        </w:tc>
      </w:tr>
      <w:tr>
        <w:tc>
          <w:tcPr>
            <w:tcW w:type="dxa" w:w="4320"/>
          </w:tcPr>
          <w:p>
            <w:r>
              <w:t>**MTA**</w:t>
            </w:r>
          </w:p>
        </w:tc>
        <w:tc>
          <w:tcPr>
            <w:tcW w:type="dxa" w:w="4320"/>
          </w:tcPr>
          <w:p>
            <w:r>
              <w:t>Minimum Transfer Amount</w:t>
            </w:r>
          </w:p>
        </w:tc>
      </w:tr>
      <w:tr>
        <w:tc>
          <w:tcPr>
            <w:tcW w:type="dxa" w:w="4320"/>
          </w:tcPr>
          <w:p>
            <w:r>
              <w:t>**Hedging Set**</w:t>
            </w:r>
          </w:p>
        </w:tc>
        <w:tc>
          <w:tcPr>
            <w:tcW w:type="dxa" w:w="4320"/>
          </w:tcPr>
          <w:p>
            <w:r>
              <w:t>Group of trades with offsetting positions for add-on aggregation</w:t>
            </w:r>
          </w:p>
        </w:tc>
      </w:tr>
      <w:tr>
        <w:tc>
          <w:tcPr>
            <w:tcW w:type="dxa" w:w="4320"/>
          </w:tcPr>
          <w:p>
            <w:r>
              <w:t>**EAD**</w:t>
            </w:r>
          </w:p>
        </w:tc>
        <w:tc>
          <w:tcPr>
            <w:tcW w:type="dxa" w:w="4320"/>
          </w:tcPr>
          <w:p>
            <w:r>
              <w:t>Exposure at Default = α × (RC + mult × AddOn)</w:t>
            </w:r>
          </w:p>
        </w:tc>
      </w:tr>
    </w:tbl>
    <w:p>
      <w:pPr>
        <w:pStyle w:val="Heading2"/>
        <w:jc w:val="left"/>
      </w:pPr>
      <w:r>
        <w:t>Appendix A — Interest Rate Swap: Full Numeric Example</w:t>
      </w:r>
    </w:p>
    <w:p>
      <w:pPr>
        <w:pStyle w:val="Heading3"/>
        <w:jc w:val="left"/>
      </w:pPr>
      <w:r>
        <w:t>Trade Setup</w:t>
      </w:r>
    </w:p>
    <w:p>
      <w:r>
        <w:t xml:space="preserve">A bank </w:t>
      </w:r>
      <w:r>
        <w:rPr>
          <w:b/>
        </w:rPr>
        <w:t>pays fixed 3%</w:t>
      </w:r>
      <w:r>
        <w:t xml:space="preserve"> on a 5-year USD IRS, $10M notional. Current MtM = +$150,000 (in the money). Unmargined netting set. Valuation date: today.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Asset class</w:t>
            </w:r>
          </w:p>
        </w:tc>
        <w:tc>
          <w:tcPr>
            <w:tcW w:type="dxa" w:w="4320"/>
          </w:tcPr>
          <w:p>
            <w:r>
              <w:t>IR</w:t>
            </w:r>
          </w:p>
        </w:tc>
      </w:tr>
      <w:tr>
        <w:tc>
          <w:tcPr>
            <w:tcW w:type="dxa" w:w="4320"/>
          </w:tcPr>
          <w:p>
            <w:r>
              <w:t>Notional</w:t>
            </w:r>
          </w:p>
        </w:tc>
        <w:tc>
          <w:tcPr>
            <w:tcW w:type="dxa" w:w="4320"/>
          </w:tcPr>
          <w:p>
            <w:r>
              <w:t>$10,000,000</w:t>
            </w:r>
          </w:p>
        </w:tc>
      </w:tr>
      <w:tr>
        <w:tc>
          <w:tcPr>
            <w:tcW w:type="dxa" w:w="4320"/>
          </w:tcPr>
          <w:p>
            <w:r>
              <w:t>Direction</w:t>
            </w:r>
          </w:p>
        </w:tc>
        <w:tc>
          <w:tcPr>
            <w:tcW w:type="dxa" w:w="4320"/>
          </w:tcPr>
          <w:p>
            <w:r>
              <w:t>+1 (payer)</w:t>
            </w:r>
          </w:p>
        </w:tc>
      </w:tr>
      <w:tr>
        <w:tc>
          <w:tcPr>
            <w:tcW w:type="dxa" w:w="4320"/>
          </w:tcPr>
          <w:p>
            <w:r>
              <w:t>Maturity</w:t>
            </w:r>
          </w:p>
        </w:tc>
        <w:tc>
          <w:tcPr>
            <w:tcW w:type="dxa" w:w="4320"/>
          </w:tcPr>
          <w:p>
            <w:r>
              <w:t>5.0 years</w:t>
            </w:r>
          </w:p>
        </w:tc>
      </w:tr>
      <w:tr>
        <w:tc>
          <w:tcPr>
            <w:tcW w:type="dxa" w:w="4320"/>
          </w:tcPr>
          <w:p>
            <w:r>
              <w:t>Start date</w:t>
            </w:r>
          </w:p>
        </w:tc>
        <w:tc>
          <w:tcPr>
            <w:tcW w:type="dxa" w:w="4320"/>
          </w:tcPr>
          <w:p>
            <w:r>
              <w:t>Today (spot-starting)</w:t>
            </w:r>
          </w:p>
        </w:tc>
      </w:tr>
      <w:tr>
        <w:tc>
          <w:tcPr>
            <w:tcW w:type="dxa" w:w="4320"/>
          </w:tcPr>
          <w:p>
            <w:r>
              <w:t>Current MtM</w:t>
            </w:r>
          </w:p>
        </w:tc>
        <w:tc>
          <w:tcPr>
            <w:tcW w:type="dxa" w:w="4320"/>
          </w:tcPr>
          <w:p>
            <w:r>
              <w:t>+$150,000</w:t>
            </w:r>
          </w:p>
        </w:tc>
      </w:tr>
      <w:tr>
        <w:tc>
          <w:tcPr>
            <w:tcW w:type="dxa" w:w="4320"/>
          </w:tcPr>
          <w:p>
            <w:r>
              <w:t>Collateral held</w:t>
            </w:r>
          </w:p>
        </w:tc>
        <w:tc>
          <w:tcPr>
            <w:tcW w:type="dxa" w:w="4320"/>
          </w:tcPr>
          <w:p>
            <w:r>
              <w:t>$0</w:t>
            </w:r>
          </w:p>
        </w:tc>
      </w:tr>
    </w:tbl>
    <w:p>
      <w:pPr>
        <w:pStyle w:val="Heading3"/>
        <w:jc w:val="left"/>
      </w:pPr>
      <w:r>
        <w:t>Step 1: Replacement Cost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RC = max(V − C, 0)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= max(150,000 − 0, 0)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= $150,000</w:t>
      </w:r>
    </w:p>
    <w:p>
      <w:pPr>
        <w:pStyle w:val="Heading3"/>
        <w:jc w:val="left"/>
      </w:pPr>
      <w:r>
        <w:t>Step 2: Maturity Factor (Unmargined)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MF = sqrt(min(M, 1) / 1)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= sqrt(min(5.0, 1) / 1)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= sqrt(1.0)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= 1.0</w:t>
      </w:r>
    </w:p>
    <w:p>
      <w:r>
        <w:t>(MF is capped at 1.0 for maturities &gt; 1 year for unmargined trades)</w:t>
      </w:r>
    </w:p>
    <w:p>
      <w:pPr>
        <w:pStyle w:val="Heading3"/>
        <w:jc w:val="left"/>
      </w:pPr>
      <w:r>
        <w:t>Step 3: Adjusted Notional with SD</w:t>
      </w:r>
    </w:p>
    <w:p>
      <w:r>
        <w:t>For a vanilla IRS (linear), SD = +1.0 (payer position):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D = Notional × SD × MF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= 10,000,000 × 1.0 × 1.0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= $10,000,000</w:t>
      </w:r>
    </w:p>
    <w:p>
      <w:pPr>
        <w:pStyle w:val="Heading3"/>
        <w:jc w:val="left"/>
      </w:pPr>
      <w:r>
        <w:t>Step 4: Effective Notional per Time Bucket</w:t>
      </w:r>
    </w:p>
    <w:p>
      <w:r>
        <w:t>The 5-year IRS falls in bucket [1, 5) with T_start=0 and T_end=5: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EN_bucket2 = D × (exp(−0.05 × 0) − exp(−0.05 × 5))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= 10,000,000 × (1.0 − exp(−0.25))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= 10,000,000 × (1.0 − 0.7788)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= 10,000,000 × 0.2212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= $2,212,000</w:t>
      </w:r>
    </w:p>
    <w:p>
      <w:r>
        <w:t>No trades in buckets 1 or 3, so EN_1 = EN_3 = 0.</w:t>
      </w:r>
    </w:p>
    <w:p>
      <w:pPr>
        <w:pStyle w:val="Heading3"/>
        <w:jc w:val="left"/>
      </w:pPr>
      <w:r>
        <w:t>Step 5: IR Add-On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AddOn_IR = SF_IR × sqrt(EN_1² + EN_2² + EN_3² + cross-terms)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= 0.005 × sqrt(0 + 2,212,000² + 0)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= 0.005 × 2,212,000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= $11,060</w:t>
      </w:r>
    </w:p>
    <w:p>
      <w:pPr>
        <w:pStyle w:val="Heading3"/>
        <w:jc w:val="left"/>
      </w:pPr>
      <w:r>
        <w:t>Step 6: PFE Multiplier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y = (V − C) / (2 × 0.95 × AddOn)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= 150,000 / (2 × 0.95 × 11,060)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= 150,000 / 21,014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= 7.138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Multiplier = min(1.0, 0.05 + 0.95 × exp(7.138))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= min(1.0, 0.05 + 0.95 × 1252.3)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= min(1.0, 1189.7)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= 1.0</w:t>
      </w:r>
    </w:p>
    <w:p>
      <w:r>
        <w:t>The large positive MtM forces multiplier = 1.0 (floor applies).</w:t>
      </w:r>
    </w:p>
    <w:p>
      <w:pPr>
        <w:pStyle w:val="Heading3"/>
        <w:jc w:val="left"/>
      </w:pPr>
      <w:r>
        <w:t>Step 7: EAD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EAD = α × (RC + Multiplier × AddOn)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= 1.4 × (150,000 + 1.0 × 11,060)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= 1.4 × 161,060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= $225,484</w:t>
      </w:r>
    </w:p>
    <w:p>
      <w:pPr>
        <w:pStyle w:val="Heading3"/>
        <w:jc w:val="left"/>
      </w:pPr>
      <w:r>
        <w:t>Step 8: Credit Risk RWA (assuming BBB-rated counterparty, 100% RW)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RWA = EAD × RW = 225,484 × 1.00 = $225,484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Capital = 225,484 × 8% = $18,039</w:t>
      </w:r>
    </w:p>
    <w:p>
      <w:pPr>
        <w:pStyle w:val="Heading2"/>
        <w:jc w:val="left"/>
      </w:pPr>
      <w:r>
        <w:t>Appendix B — FX Forward: Full Numeric Example</w:t>
      </w:r>
    </w:p>
    <w:p>
      <w:pPr>
        <w:pStyle w:val="Heading3"/>
        <w:jc w:val="left"/>
      </w:pPr>
      <w:r>
        <w:t>Trade Setup</w:t>
      </w:r>
    </w:p>
    <w:p>
      <w:r>
        <w:t xml:space="preserve">Bank is </w:t>
      </w:r>
      <w:r>
        <w:rPr>
          <w:b/>
        </w:rPr>
        <w:t>long EUR/USD</w:t>
      </w:r>
      <w:r>
        <w:t xml:space="preserve"> forward. Buys EUR 10M at 1.080 in 1 year. Current spot = 1.095.</w:t>
      </w:r>
    </w:p>
    <w:p>
      <w:r>
        <w:t>MtM = (1.095 − 1.080) × 10,000,000 = +$150,000.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Asset class</w:t>
            </w:r>
          </w:p>
        </w:tc>
        <w:tc>
          <w:tcPr>
            <w:tcW w:type="dxa" w:w="4320"/>
          </w:tcPr>
          <w:p>
            <w:r>
              <w:t>FX</w:t>
            </w:r>
          </w:p>
        </w:tc>
      </w:tr>
      <w:tr>
        <w:tc>
          <w:tcPr>
            <w:tcW w:type="dxa" w:w="4320"/>
          </w:tcPr>
          <w:p>
            <w:r>
              <w:t>Notional</w:t>
            </w:r>
          </w:p>
        </w:tc>
        <w:tc>
          <w:tcPr>
            <w:tcW w:type="dxa" w:w="4320"/>
          </w:tcPr>
          <w:p>
            <w:r>
              <w:t>EUR 10,000,000 → $10,950,000 (at spot)</w:t>
            </w:r>
          </w:p>
        </w:tc>
      </w:tr>
      <w:tr>
        <w:tc>
          <w:tcPr>
            <w:tcW w:type="dxa" w:w="4320"/>
          </w:tcPr>
          <w:p>
            <w:r>
              <w:t>Direction</w:t>
            </w:r>
          </w:p>
        </w:tc>
        <w:tc>
          <w:tcPr>
            <w:tcW w:type="dxa" w:w="4320"/>
          </w:tcPr>
          <w:p>
            <w:r>
              <w:t>+1 (long EUR)</w:t>
            </w:r>
          </w:p>
        </w:tc>
      </w:tr>
      <w:tr>
        <w:tc>
          <w:tcPr>
            <w:tcW w:type="dxa" w:w="4320"/>
          </w:tcPr>
          <w:p>
            <w:r>
              <w:t>Maturity</w:t>
            </w:r>
          </w:p>
        </w:tc>
        <w:tc>
          <w:tcPr>
            <w:tcW w:type="dxa" w:w="4320"/>
          </w:tcPr>
          <w:p>
            <w:r>
              <w:t>1.0 year</w:t>
            </w:r>
          </w:p>
        </w:tc>
      </w:tr>
      <w:tr>
        <w:tc>
          <w:tcPr>
            <w:tcW w:type="dxa" w:w="4320"/>
          </w:tcPr>
          <w:p>
            <w:r>
              <w:t>Current MtM</w:t>
            </w:r>
          </w:p>
        </w:tc>
        <w:tc>
          <w:tcPr>
            <w:tcW w:type="dxa" w:w="4320"/>
          </w:tcPr>
          <w:p>
            <w:r>
              <w:t>+$150,000</w:t>
            </w:r>
          </w:p>
        </w:tc>
      </w:tr>
      <w:tr>
        <w:tc>
          <w:tcPr>
            <w:tcW w:type="dxa" w:w="4320"/>
          </w:tcPr>
          <w:p>
            <w:r>
              <w:t>Collateral</w:t>
            </w:r>
          </w:p>
        </w:tc>
        <w:tc>
          <w:tcPr>
            <w:tcW w:type="dxa" w:w="4320"/>
          </w:tcPr>
          <w:p>
            <w:r>
              <w:t>$0</w:t>
            </w:r>
          </w:p>
        </w:tc>
      </w:tr>
    </w:tbl>
    <w:p>
      <w:pPr>
        <w:pStyle w:val="Heading3"/>
        <w:jc w:val="left"/>
      </w:pPr>
      <w:r>
        <w:t>Add-On Calculation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SF_FX = 4.0%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D     = 10,950,000 × 1.0 × 1.0 = $10,950,000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AddOn_FX = SF_FX × |D| = 0.04 × 10,950,000 = $438,000</w:t>
      </w:r>
    </w:p>
    <w:p>
      <w:pPr>
        <w:pStyle w:val="Heading3"/>
        <w:jc w:val="left"/>
      </w:pPr>
      <w:r>
        <w:t>EAD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Multiplier = 1.0 (in the money)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EAD = 1.4 × (150,000 + 1.0 × 438,000) = 1.4 × 588,000 = $823,200</w:t>
      </w:r>
    </w:p>
    <w:p>
      <w:pPr>
        <w:pStyle w:val="Heading2"/>
        <w:jc w:val="left"/>
      </w:pPr>
      <w:r>
        <w:t>Appendix C — CDS Single-Name: Full Numeric Example</w:t>
      </w:r>
    </w:p>
    <w:p>
      <w:pPr>
        <w:pStyle w:val="Heading3"/>
        <w:jc w:val="left"/>
      </w:pPr>
      <w:r>
        <w:t>Trade Setup</w:t>
      </w:r>
    </w:p>
    <w:p>
      <w:r>
        <w:t xml:space="preserve">Bank buys $5M </w:t>
      </w:r>
      <w:r>
        <w:rPr>
          <w:b/>
        </w:rPr>
        <w:t>protection</w:t>
      </w:r>
      <w:r>
        <w:t xml:space="preserve"> on a BB-rated corporate. 5-year CDS. MtM = −$50,000 (out of the money for protection buyer as spreads narrowed).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Asset class</w:t>
            </w:r>
          </w:p>
        </w:tc>
        <w:tc>
          <w:tcPr>
            <w:tcW w:type="dxa" w:w="4320"/>
          </w:tcPr>
          <w:p>
            <w:r>
              <w:t>CR</w:t>
            </w:r>
          </w:p>
        </w:tc>
      </w:tr>
      <w:tr>
        <w:tc>
          <w:tcPr>
            <w:tcW w:type="dxa" w:w="4320"/>
          </w:tcPr>
          <w:p>
            <w:r>
              <w:t>Credit sub type</w:t>
            </w:r>
          </w:p>
        </w:tc>
        <w:tc>
          <w:tcPr>
            <w:tcW w:type="dxa" w:w="4320"/>
          </w:tcPr>
          <w:p>
            <w:r>
              <w:t>SINGLE_NAME</w:t>
            </w:r>
          </w:p>
        </w:tc>
      </w:tr>
      <w:tr>
        <w:tc>
          <w:tcPr>
            <w:tcW w:type="dxa" w:w="4320"/>
          </w:tcPr>
          <w:p>
            <w:r>
              <w:t>Credit rating</w:t>
            </w:r>
          </w:p>
        </w:tc>
        <w:tc>
          <w:tcPr>
            <w:tcW w:type="dxa" w:w="4320"/>
          </w:tcPr>
          <w:p>
            <w:r>
              <w:t>BB</w:t>
            </w:r>
          </w:p>
        </w:tc>
      </w:tr>
      <w:tr>
        <w:tc>
          <w:tcPr>
            <w:tcW w:type="dxa" w:w="4320"/>
          </w:tcPr>
          <w:p>
            <w:r>
              <w:t>Notional</w:t>
            </w:r>
          </w:p>
        </w:tc>
        <w:tc>
          <w:tcPr>
            <w:tcW w:type="dxa" w:w="4320"/>
          </w:tcPr>
          <w:p>
            <w:r>
              <w:t>$5,000,000</w:t>
            </w:r>
          </w:p>
        </w:tc>
      </w:tr>
      <w:tr>
        <w:tc>
          <w:tcPr>
            <w:tcW w:type="dxa" w:w="4320"/>
          </w:tcPr>
          <w:p>
            <w:r>
              <w:t>Direction</w:t>
            </w:r>
          </w:p>
        </w:tc>
        <w:tc>
          <w:tcPr>
            <w:tcW w:type="dxa" w:w="4320"/>
          </w:tcPr>
          <w:p>
            <w:r>
              <w:t>+1 (protection buyer)</w:t>
            </w:r>
          </w:p>
        </w:tc>
      </w:tr>
      <w:tr>
        <w:tc>
          <w:tcPr>
            <w:tcW w:type="dxa" w:w="4320"/>
          </w:tcPr>
          <w:p>
            <w:r>
              <w:t>Maturity</w:t>
            </w:r>
          </w:p>
        </w:tc>
        <w:tc>
          <w:tcPr>
            <w:tcW w:type="dxa" w:w="4320"/>
          </w:tcPr>
          <w:p>
            <w:r>
              <w:t>5.0 years</w:t>
            </w:r>
          </w:p>
        </w:tc>
      </w:tr>
      <w:tr>
        <w:tc>
          <w:tcPr>
            <w:tcW w:type="dxa" w:w="4320"/>
          </w:tcPr>
          <w:p>
            <w:r>
              <w:t>Current MtM</w:t>
            </w:r>
          </w:p>
        </w:tc>
        <w:tc>
          <w:tcPr>
            <w:tcW w:type="dxa" w:w="4320"/>
          </w:tcPr>
          <w:p>
            <w:r>
              <w:t>−$50,000</w:t>
            </w:r>
          </w:p>
        </w:tc>
      </w:tr>
      <w:tr>
        <w:tc>
          <w:tcPr>
            <w:tcW w:type="dxa" w:w="4320"/>
          </w:tcPr>
          <w:p>
            <w:r>
              <w:t>Collateral</w:t>
            </w:r>
          </w:p>
        </w:tc>
        <w:tc>
          <w:tcPr>
            <w:tcW w:type="dxa" w:w="4320"/>
          </w:tcPr>
          <w:p>
            <w:r>
              <w:t>$0</w:t>
            </w:r>
          </w:p>
        </w:tc>
      </w:tr>
    </w:tbl>
    <w:p>
      <w:pPr>
        <w:pStyle w:val="Heading3"/>
        <w:jc w:val="left"/>
      </w:pPr>
      <w:r>
        <w:t>Supervisory Factor (GAP-02)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SF_credit (BB rating) = 1.06% = 0.0106   [from rating-granular Table 2]</w:t>
      </w:r>
    </w:p>
    <w:p>
      <w:pPr>
        <w:pStyle w:val="Heading3"/>
        <w:jc w:val="left"/>
      </w:pPr>
      <w:r>
        <w:t>Add-On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D       = 5,000,000 × 1.0 × 1.0 = $5,000,000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AddOn_CR = SF × |D| = 0.0106 × 5,000,000 = $53,000</w:t>
      </w:r>
    </w:p>
    <w:p>
      <w:pPr>
        <w:pStyle w:val="Heading3"/>
        <w:jc w:val="left"/>
      </w:pPr>
      <w:r>
        <w:t>PFE Multiplier (out of the money)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y = (−50,000) / (2 × 0.95 × 53,000)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= −50,000 / 100,700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= −0.4965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Multiplier = min(1.0, 0.05 + 0.95 × exp(−0.4965))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= min(1.0, 0.05 + 0.95 × 0.6086)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= min(1.0, 0.05 + 0.5782)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= min(1.0, 0.6282)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= 0.6282</w:t>
      </w:r>
    </w:p>
    <w:p>
      <w:r>
        <w:t>Out-of-the-money → multiplier &lt; 1.0 (reduced PFE).</w:t>
      </w:r>
    </w:p>
    <w:p>
      <w:pPr>
        <w:pStyle w:val="Heading3"/>
        <w:jc w:val="left"/>
      </w:pPr>
      <w:r>
        <w:t>EAD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RC  = max(−50,000 − 0, 0) = 0   (OTM → no replacement cost)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EAD = 1.4 × (0 + 0.6282 × 53,000)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= 1.4 × 33,295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= $46,613</w:t>
      </w:r>
    </w:p>
    <w:p>
      <w:pPr>
        <w:pStyle w:val="Heading2"/>
        <w:jc w:val="left"/>
      </w:pPr>
      <w:r>
        <w:t>Appendix D — Equity Option (Margined Netting Set, GAP-01)</w:t>
      </w:r>
    </w:p>
    <w:p>
      <w:pPr>
        <w:pStyle w:val="Heading3"/>
        <w:jc w:val="left"/>
      </w:pPr>
      <w:r>
        <w:t>Trade Setup</w:t>
      </w:r>
    </w:p>
    <w:p>
      <w:r>
        <w:t xml:space="preserve">Bank holds a </w:t>
      </w:r>
      <w:r>
        <w:rPr>
          <w:b/>
        </w:rPr>
        <w:t>long call option</w:t>
      </w:r>
      <w:r>
        <w:t xml:space="preserve"> on SPX Index. $2M notional. Strike = 5,200, spot = 5,350. Maturity = 0.5 years. Margined (CSA), MPOR = 10 days. σ</w:t>
      </w:r>
      <w:r>
        <w:rPr>
          <w:i/>
        </w:rPr>
        <w:t>eq</w:t>
      </w:r>
      <w:r>
        <w:t>index = 75%.</w:t>
      </w:r>
    </w:p>
    <w:p>
      <w:pPr>
        <w:pStyle w:val="Heading3"/>
        <w:jc w:val="left"/>
      </w:pPr>
      <w:r>
        <w:t>Supervisory Delta (GAP-06)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P = 5,350, K = 5,200, T = 0.5, σ = 75%, λ = 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d₁ = (ln(5350/5200) + 0.5 × 0.75² × 0.5) / (0.75 × sqrt(0.5))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= (ln(1.0288) + 0.5 × 0.5625 × 0.5) / (0.75 × 0.7071)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= (0.02841 + 0.14063) / 0.53033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= 0.16904 / 0.53033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= 0.3188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SD = N(0.3188) = 0.6251   (call option: long EQ exposure)</w:t>
      </w:r>
    </w:p>
    <w:p>
      <w:pPr>
        <w:pStyle w:val="Heading3"/>
        <w:jc w:val="left"/>
      </w:pPr>
      <w:r>
        <w:t>Maturity Factor — Margined (GAP-01)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MF_margined = (3/2) × sqrt(MPOR / 250)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= 1.5 × sqrt(10 / 250)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= 1.5 × sqrt(0.04)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= 1.5 × 0.2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= 0.30</w:t>
      </w:r>
    </w:p>
    <w:p>
      <w:r>
        <w:rPr>
          <w:b/>
        </w:rPr>
        <w:t>Without GAP-01 fix:</w:t>
      </w:r>
      <w:r>
        <w:t xml:space="preserve"> MF = sqrt(10/250) = 0.20 → add-on understated by 33%.</w:t>
      </w:r>
    </w:p>
    <w:p>
      <w:pPr>
        <w:pStyle w:val="Heading3"/>
        <w:jc w:val="left"/>
      </w:pPr>
      <w:r>
        <w:t>Add-On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D_eq    = Notional × SD × MF = 2,000,000 × 0.6251 × 0.30 = $375,060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SF_eq   = 20% (index)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AddOn   = 0.20 × 375,060 = $75,012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Multiplier = 1.0 (assume in the money)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EAD_margined = 1.4 × (0 + 1.0 × 75,012) = $105,017</w:t>
      </w:r>
    </w:p>
    <w:p>
      <w:pPr>
        <w:pStyle w:val="Heading2"/>
        <w:jc w:val="left"/>
      </w:pPr>
      <w:r>
        <w:t>Appendix E — Multi-Asset Netting Set</w:t>
      </w:r>
    </w:p>
    <w:p>
      <w:pPr>
        <w:pStyle w:val="Heading3"/>
        <w:jc w:val="left"/>
      </w:pPr>
      <w:r>
        <w:t>Setup</w:t>
      </w:r>
    </w:p>
    <w:p>
      <w:r>
        <w:t>A netting set with three trades: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Trade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Asset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Notional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Direction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Add-On (Approx.)</w:t>
            </w:r>
          </w:p>
        </w:tc>
      </w:tr>
      <w:tr>
        <w:tc>
          <w:tcPr>
            <w:tcW w:type="dxa" w:w="1728"/>
          </w:tcPr>
          <w:p>
            <w:r>
              <w:t>IRS 5Y USD</w:t>
            </w:r>
          </w:p>
        </w:tc>
        <w:tc>
          <w:tcPr>
            <w:tcW w:type="dxa" w:w="1728"/>
          </w:tcPr>
          <w:p>
            <w:r>
              <w:t>IR</w:t>
            </w:r>
          </w:p>
        </w:tc>
        <w:tc>
          <w:tcPr>
            <w:tcW w:type="dxa" w:w="1728"/>
          </w:tcPr>
          <w:p>
            <w:r>
              <w:t>$10M</w:t>
            </w:r>
          </w:p>
        </w:tc>
        <w:tc>
          <w:tcPr>
            <w:tcW w:type="dxa" w:w="1728"/>
          </w:tcPr>
          <w:p>
            <w:r>
              <w:t>+1</w:t>
            </w:r>
          </w:p>
        </w:tc>
        <w:tc>
          <w:tcPr>
            <w:tcW w:type="dxa" w:w="1728"/>
          </w:tcPr>
          <w:p>
            <w:r>
              <w:t>$11,060</w:t>
            </w:r>
          </w:p>
        </w:tc>
      </w:tr>
      <w:tr>
        <w:tc>
          <w:tcPr>
            <w:tcW w:type="dxa" w:w="1728"/>
          </w:tcPr>
          <w:p>
            <w:r>
              <w:t>IRS 3Y USD</w:t>
            </w:r>
          </w:p>
        </w:tc>
        <w:tc>
          <w:tcPr>
            <w:tcW w:type="dxa" w:w="1728"/>
          </w:tcPr>
          <w:p>
            <w:r>
              <w:t>IR</w:t>
            </w:r>
          </w:p>
        </w:tc>
        <w:tc>
          <w:tcPr>
            <w:tcW w:type="dxa" w:w="1728"/>
          </w:tcPr>
          <w:p>
            <w:r>
              <w:t>$8M</w:t>
            </w:r>
          </w:p>
        </w:tc>
        <w:tc>
          <w:tcPr>
            <w:tcW w:type="dxa" w:w="1728"/>
          </w:tcPr>
          <w:p>
            <w:r>
              <w:t>−1</w:t>
            </w:r>
          </w:p>
        </w:tc>
        <w:tc>
          <w:tcPr>
            <w:tcW w:type="dxa" w:w="1728"/>
          </w:tcPr>
          <w:p>
            <w:r>
              <w:t>−$8,480 (offsets)</w:t>
            </w:r>
          </w:p>
        </w:tc>
      </w:tr>
      <w:tr>
        <w:tc>
          <w:tcPr>
            <w:tcW w:type="dxa" w:w="1728"/>
          </w:tcPr>
          <w:p>
            <w:r>
              <w:t>FX EUR/USD</w:t>
            </w:r>
          </w:p>
        </w:tc>
        <w:tc>
          <w:tcPr>
            <w:tcW w:type="dxa" w:w="1728"/>
          </w:tcPr>
          <w:p>
            <w:r>
              <w:t>FX</w:t>
            </w:r>
          </w:p>
        </w:tc>
        <w:tc>
          <w:tcPr>
            <w:tcW w:type="dxa" w:w="1728"/>
          </w:tcPr>
          <w:p>
            <w:r>
              <w:t>$10M</w:t>
            </w:r>
          </w:p>
        </w:tc>
        <w:tc>
          <w:tcPr>
            <w:tcW w:type="dxa" w:w="1728"/>
          </w:tcPr>
          <w:p>
            <w:r>
              <w:t>+1</w:t>
            </w:r>
          </w:p>
        </w:tc>
        <w:tc>
          <w:tcPr>
            <w:tcW w:type="dxa" w:w="1728"/>
          </w:tcPr>
          <w:p>
            <w:r>
              <w:t>$438,000</w:t>
            </w:r>
          </w:p>
        </w:tc>
      </w:tr>
    </w:tbl>
    <w:p>
      <w:r>
        <w:t>Net MtM = +$200,000. Collateral = $50,000.</w:t>
      </w:r>
    </w:p>
    <w:p>
      <w:pPr>
        <w:pStyle w:val="Heading3"/>
        <w:jc w:val="left"/>
      </w:pPr>
      <w:r>
        <w:t>IR Aggregation (Same Currency, Partial Netting)</w:t>
      </w:r>
    </w:p>
    <w:p>
      <w:r>
        <w:t>The +$10M and −$8M USD IRS positions partially offset within the USD hedging set: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Net EN_bucket2 = 2,212,000 − 1,697,000 = $515,000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AddOn_IR = 0.005 × 515,000 = $2,575</w:t>
      </w:r>
    </w:p>
    <w:p>
      <w:pPr>
        <w:pStyle w:val="Heading3"/>
        <w:jc w:val="left"/>
      </w:pPr>
      <w:r>
        <w:t>Total Add-On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AddOn_IR = $2,575       (partially netted)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AddOn_FX = $438,000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Total AddOn = $2,575 + $438,000 = $440,575</w:t>
      </w:r>
    </w:p>
    <w:p>
      <w:r>
        <w:rPr>
          <w:b/>
        </w:rPr>
        <w:t>No cross-asset-class netting</w:t>
      </w:r>
      <w:r>
        <w:t xml:space="preserve"> — IR and FX add-ons always sum arithmetically.</w:t>
      </w:r>
    </w:p>
    <w:p>
      <w:pPr>
        <w:pStyle w:val="Heading3"/>
        <w:jc w:val="left"/>
      </w:pPr>
      <w:r>
        <w:t>RC and EAD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RC   = max(200,000 − 50,000, 0) = $150,000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mult = 1.0 (in the money)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EAD  = 1.4 × (150,000 + 440,575) = 1.4 × 590,575 = $826,805</w:t>
      </w:r>
    </w:p>
    <w:p>
      <w:r>
        <w:rPr>
          <w:b/>
        </w:rPr>
        <w:t>Insight:</w:t>
      </w:r>
      <w:r>
        <w:t xml:space="preserve"> The FX forward dominates the add-on ($438k vs $2.6k for IR) because 4% SF is 8× higher than 0.5% IR SF. IR netting generated $8,480 in savings — illustrating why CSA agreements with robust netting are capital-efficient.</w:t>
      </w:r>
    </w:p>
    <w:p/>
    <w:p>
      <w:pPr>
        <w:ind w:left="720"/>
      </w:pPr>
      <w:r>
        <w:rPr>
          <w:i/>
        </w:rPr>
        <w:t>Source: SACCR_TECHNICAL_GUIDE.md</w:t>
        <w:br/>
      </w:r>
      <w:r>
        <w:rPr>
          <w:i/>
        </w:rPr>
        <w:t>Generated: 2026-05-03 18:06:23</w:t>
        <w:br/>
      </w:r>
      <w:r>
        <w:rPr>
          <w:i/>
        </w:rPr>
        <w:t>Prometheus Phase 2A Documentation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