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cva-risk-capital-technical-guide"/>
    <w:p>
      <w:pPr>
        <w:pStyle w:val="Heading1"/>
      </w:pPr>
      <w:r>
        <w:t xml:space="preserve">CVA Risk Capital — Technical Guide</w:t>
      </w:r>
    </w:p>
    <w:bookmarkStart w:id="10" w:name="credit-valuation-adjustment-mar50"/>
    <w:p>
      <w:pPr>
        <w:pStyle w:val="Heading2"/>
      </w:pPr>
      <w:r>
        <w:t xml:space="preserve">Credit Valuation Adjustment (MAR50)</w:t>
      </w:r>
    </w:p>
    <w:bookmarkStart w:id="9" w:name="prometheus-risk-platform"/>
    <w:p>
      <w:pPr>
        <w:pStyle w:val="Heading3"/>
      </w:pPr>
      <w:r>
        <w:t xml:space="preserve">PROMETHEUS Risk Platform</w:t>
      </w:r>
    </w:p>
    <w:p>
      <w:r>
        <w:pict>
          <v:rect style="width:0;height:1.5pt" o:hralign="center" o:hrstd="t" o:hr="t"/>
        </w:pict>
      </w:r>
    </w:p>
    <w:bookmarkEnd w:id="9"/>
    <w:bookmarkEnd w:id="10"/>
    <w:bookmarkStart w:id="11" w:name="table-of-contents"/>
    <w:p>
      <w:pPr>
        <w:pStyle w:val="Heading2"/>
      </w:pPr>
      <w:r>
        <w:t xml:space="preserve">Table of Contents</w:t>
      </w:r>
    </w:p>
    <w:p>
      <w:pPr>
        <w:pStyle w:val="Compact"/>
        <w:numPr>
          <w:ilvl w:val="0"/>
          <w:numId w:val="1001"/>
        </w:numPr>
      </w:pPr>
      <w:r>
        <w:t xml:space="preserve">Overview &amp; Regulatory Basis</w:t>
      </w:r>
    </w:p>
    <w:p>
      <w:pPr>
        <w:pStyle w:val="Compact"/>
        <w:numPr>
          <w:ilvl w:val="0"/>
          <w:numId w:val="1001"/>
        </w:numPr>
      </w:pPr>
      <w:r>
        <w:t xml:space="preserve">What Is CVA and Why Does It Generate Capital?</w:t>
      </w:r>
    </w:p>
    <w:p>
      <w:pPr>
        <w:pStyle w:val="Compact"/>
        <w:numPr>
          <w:ilvl w:val="0"/>
          <w:numId w:val="1001"/>
        </w:numPr>
      </w:pPr>
      <w:r>
        <w:t xml:space="preserve">CVA Capital Approaches — Overview</w:t>
      </w:r>
    </w:p>
    <w:p>
      <w:pPr>
        <w:pStyle w:val="Compact"/>
        <w:numPr>
          <w:ilvl w:val="0"/>
          <w:numId w:val="1001"/>
        </w:numPr>
      </w:pPr>
      <w:r>
        <w:t xml:space="preserve">Materiality Threshold (MAR50.9)</w:t>
      </w:r>
    </w:p>
    <w:p>
      <w:pPr>
        <w:pStyle w:val="Compact"/>
        <w:numPr>
          <w:ilvl w:val="0"/>
          <w:numId w:val="1001"/>
        </w:numPr>
      </w:pPr>
      <w:r>
        <w:t xml:space="preserve">BA-CVA — Basic Approach (MAR50.14–38)</w:t>
      </w:r>
    </w:p>
    <w:p>
      <w:pPr>
        <w:pStyle w:val="Compact"/>
        <w:numPr>
          <w:ilvl w:val="0"/>
          <w:numId w:val="1001"/>
        </w:numPr>
      </w:pPr>
      <w:r>
        <w:t xml:space="preserve">SA-CVA — Standardised Approach (MAR50.40–77)</w:t>
      </w:r>
    </w:p>
    <w:p>
      <w:pPr>
        <w:pStyle w:val="Compact"/>
        <w:numPr>
          <w:ilvl w:val="0"/>
          <w:numId w:val="1001"/>
        </w:numPr>
      </w:pPr>
      <w:r>
        <w:t xml:space="preserve">CVA Engine — Method Routing and Fallback Logic</w:t>
      </w:r>
    </w:p>
    <w:p>
      <w:pPr>
        <w:pStyle w:val="Compact"/>
        <w:numPr>
          <w:ilvl w:val="0"/>
          <w:numId w:val="1001"/>
        </w:numPr>
      </w:pPr>
      <w:r>
        <w:t xml:space="preserve">Proxy Spread Cascade (MAR50.32(3))</w:t>
      </w:r>
    </w:p>
    <w:p>
      <w:pPr>
        <w:pStyle w:val="Compact"/>
        <w:numPr>
          <w:ilvl w:val="0"/>
          <w:numId w:val="1001"/>
        </w:numPr>
      </w:pPr>
      <w:r>
        <w:t xml:space="preserve">Wrong-Way Risk (MAR50.32)</w:t>
      </w:r>
    </w:p>
    <w:p>
      <w:pPr>
        <w:pStyle w:val="Compact"/>
        <w:numPr>
          <w:ilvl w:val="0"/>
          <w:numId w:val="1001"/>
        </w:numPr>
      </w:pPr>
      <w:r>
        <w:t xml:space="preserve">Live Market Data Integration</w:t>
      </w:r>
    </w:p>
    <w:p>
      <w:pPr>
        <w:pStyle w:val="Compact"/>
        <w:numPr>
          <w:ilvl w:val="0"/>
          <w:numId w:val="1001"/>
        </w:numPr>
      </w:pPr>
      <w:r>
        <w:t xml:space="preserve">Key Regulatory Fixes Applied (FIX-01 through FIX-09)</w:t>
      </w:r>
    </w:p>
    <w:p>
      <w:pPr>
        <w:pStyle w:val="Compact"/>
        <w:numPr>
          <w:ilvl w:val="0"/>
          <w:numId w:val="1001"/>
        </w:numPr>
      </w:pPr>
      <w:r>
        <w:t xml:space="preserve">Data Structures Reference</w:t>
      </w:r>
    </w:p>
    <w:p>
      <w:pPr>
        <w:pStyle w:val="Compact"/>
        <w:numPr>
          <w:ilvl w:val="0"/>
          <w:numId w:val="1001"/>
        </w:numPr>
      </w:pPr>
      <w:r>
        <w:t xml:space="preserve">Glossary</w:t>
      </w:r>
    </w:p>
    <w:p>
      <w:pPr>
        <w:pStyle w:val="FirstParagraph"/>
      </w:pPr>
      <w:r>
        <w:rPr>
          <w:b/>
          <w:bCs/>
        </w:rPr>
        <w:t xml:space="preserve">Appendix A</w:t>
      </w:r>
      <w:r>
        <w:t xml:space="preserve"> </w:t>
      </w:r>
      <w:r>
        <w:t xml:space="preserve">— Numeric Walk-Through: BA-CVA (Reduced, No Hedges)</w:t>
      </w:r>
      <w:r>
        <w:t xml:space="preserve"> </w:t>
      </w:r>
      <w:r>
        <w:rPr>
          <w:b/>
          <w:bCs/>
        </w:rPr>
        <w:t xml:space="preserve">Appendix B</w:t>
      </w:r>
      <w:r>
        <w:t xml:space="preserve"> </w:t>
      </w:r>
      <w:r>
        <w:t xml:space="preserve">— Numeric Walk-Through: BA-CVA (Full, With Hedges)</w:t>
      </w:r>
      <w:r>
        <w:t xml:space="preserve"> </w:t>
      </w:r>
      <w:r>
        <w:rPr>
          <w:b/>
          <w:bCs/>
        </w:rPr>
        <w:t xml:space="preserve">Appendix C</w:t>
      </w:r>
      <w:r>
        <w:t xml:space="preserve"> </w:t>
      </w:r>
      <w:r>
        <w:t xml:space="preserve">— Numeric Walk-Through: SA-CVA with Sector Buckets</w:t>
      </w:r>
      <w:r>
        <w:t xml:space="preserve"> </w:t>
      </w:r>
      <w:r>
        <w:rPr>
          <w:b/>
          <w:bCs/>
        </w:rPr>
        <w:t xml:space="preserve">Appendix D</w:t>
      </w:r>
      <w:r>
        <w:t xml:space="preserve"> </w:t>
      </w:r>
      <w:r>
        <w:t xml:space="preserve">— Wrong-Way Risk: CDS on Financials</w:t>
      </w:r>
      <w:r>
        <w:t xml:space="preserve"> </w:t>
      </w:r>
      <w:r>
        <w:rPr>
          <w:b/>
          <w:bCs/>
        </w:rPr>
        <w:t xml:space="preserve">Appendix E</w:t>
      </w:r>
      <w:r>
        <w:t xml:space="preserve"> </w:t>
      </w:r>
      <w:r>
        <w:t xml:space="preserve">— Cross-Method Comparison Portfolio</w:t>
      </w:r>
    </w:p>
    <w:p>
      <w:r>
        <w:pict>
          <v:rect style="width:0;height:1.5pt" o:hralign="center" o:hrstd="t" o:hr="t"/>
        </w:pict>
      </w:r>
    </w:p>
    <w:bookmarkEnd w:id="11"/>
    <w:bookmarkStart w:id="12" w:name="overview-regulatory-basis"/>
    <w:p>
      <w:pPr>
        <w:pStyle w:val="Heading2"/>
      </w:pPr>
      <w:r>
        <w:t xml:space="preserve">1. Overview &amp; Regulatory Basis</w:t>
      </w:r>
    </w:p>
    <w:p>
      <w:pPr>
        <w:pStyle w:val="FirstParagraph"/>
      </w:pPr>
      <w:r>
        <w:t xml:space="preserve">CVA (Credit Valuation Adjustment) is the market value of</w:t>
      </w:r>
      <w:r>
        <w:t xml:space="preserve"> </w:t>
      </w:r>
      <w:r>
        <w:rPr>
          <w:b/>
          <w:bCs/>
        </w:rPr>
        <w:t xml:space="preserve">counterparty credit risk</w:t>
      </w:r>
      <w:r>
        <w:t xml:space="preserve"> </w:t>
      </w:r>
      <w:r>
        <w:t xml:space="preserve">embedded in a derivative portfolio. It represents the expected loss from counterparty default, accounting for the future value of trades at the time of default.</w:t>
      </w:r>
    </w:p>
    <w:p>
      <w:pPr>
        <w:pStyle w:val="BodyText"/>
      </w:pPr>
      <w:r>
        <w:rPr>
          <w:b/>
          <w:bCs/>
        </w:rPr>
        <w:t xml:space="preserve">CVA Capital</w:t>
      </w:r>
      <w:r>
        <w:t xml:space="preserve"> </w:t>
      </w:r>
      <w:r>
        <w:t xml:space="preserve">(distinct from CVA Value) captures the risk that CVA itself will change due to movements in credit spreads, rates, FX, equity, and other market risk factors. It is a</w:t>
      </w:r>
      <w:r>
        <w:t xml:space="preserve"> </w:t>
      </w:r>
      <w:r>
        <w:rPr>
          <w:b/>
          <w:bCs/>
        </w:rPr>
        <w:t xml:space="preserve">market risk charge</w:t>
      </w:r>
      <w:r>
        <w:t xml:space="preserve"> </w:t>
      </w:r>
      <w:r>
        <w:t xml:space="preserve">sitting in the Market Risk RWA bucket, not the Credit Risk bucket.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 Section</w:t>
            </w:r>
          </w:p>
        </w:tc>
        <w:tc>
          <w:tcPr/>
          <w:p>
            <w:pPr>
              <w:pStyle w:val="Compact"/>
            </w:pPr>
            <w:r>
              <w:t xml:space="preserve">Topic</w:t>
            </w:r>
          </w:p>
        </w:tc>
      </w:tr>
      <w:tr>
        <w:tc>
          <w:tcPr/>
          <w:p>
            <w:pPr>
              <w:pStyle w:val="Compact"/>
            </w:pPr>
            <w:r>
              <w:t xml:space="preserve">MAR50.9</w:t>
            </w:r>
          </w:p>
        </w:tc>
        <w:tc>
          <w:tcPr/>
          <w:p>
            <w:pPr>
              <w:pStyle w:val="Compact"/>
            </w:pPr>
            <w:r>
              <w:t xml:space="preserve">Materiality threshold (EUR 100bn notional)</w:t>
            </w:r>
          </w:p>
        </w:tc>
      </w:tr>
      <w:tr>
        <w:tc>
          <w:tcPr/>
          <w:p>
            <w:pPr>
              <w:pStyle w:val="Compact"/>
            </w:pPr>
            <w:r>
              <w:t xml:space="preserve">MAR50.14</w:t>
            </w:r>
          </w:p>
        </w:tc>
        <w:tc>
          <w:tcPr/>
          <w:p>
            <w:pPr>
              <w:pStyle w:val="Compact"/>
            </w:pPr>
            <w:r>
              <w:t xml:space="preserve">BA-CVA reduced version</w:t>
            </w:r>
          </w:p>
        </w:tc>
      </w:tr>
      <w:tr>
        <w:tc>
          <w:tcPr/>
          <w:p>
            <w:pPr>
              <w:pStyle w:val="Compact"/>
            </w:pPr>
            <w:r>
              <w:t xml:space="preserve">MAR50.20–21</w:t>
            </w:r>
          </w:p>
        </w:tc>
        <w:tc>
          <w:tcPr/>
          <w:p>
            <w:pPr>
              <w:pStyle w:val="Compact"/>
            </w:pPr>
            <w:r>
              <w:t xml:space="preserve">BA-CVA full version with hedges</w:t>
            </w:r>
          </w:p>
        </w:tc>
      </w:tr>
      <w:tr>
        <w:tc>
          <w:tcPr/>
          <w:p>
            <w:pPr>
              <w:pStyle w:val="Compact"/>
            </w:pPr>
            <w:r>
              <w:t xml:space="preserve">MAR50.29</w:t>
            </w:r>
          </w:p>
        </w:tc>
        <w:tc>
          <w:tcPr/>
          <w:p>
            <w:pPr>
              <w:pStyle w:val="Compact"/>
            </w:pPr>
            <w:r>
              <w:t xml:space="preserve">Supervisory rho = 0.50 (fixed)</w:t>
            </w:r>
          </w:p>
        </w:tc>
      </w:tr>
      <w:tr>
        <w:tc>
          <w:tcPr/>
          <w:p>
            <w:pPr>
              <w:pStyle w:val="Compact"/>
            </w:pPr>
            <w:r>
              <w:t xml:space="preserve">MAR50.32</w:t>
            </w:r>
          </w:p>
        </w:tc>
        <w:tc>
          <w:tcPr/>
          <w:p>
            <w:pPr>
              <w:pStyle w:val="Compact"/>
            </w:pPr>
            <w:r>
              <w:t xml:space="preserve">Wrong-way risk; proxy spread for illiquid counterparties</w:t>
            </w:r>
          </w:p>
        </w:tc>
      </w:tr>
      <w:tr>
        <w:tc>
          <w:tcPr/>
          <w:p>
            <w:pPr>
              <w:pStyle w:val="Compact"/>
            </w:pPr>
            <w:r>
              <w:t xml:space="preserve">MAR50.40–77</w:t>
            </w:r>
          </w:p>
        </w:tc>
        <w:tc>
          <w:tcPr/>
          <w:p>
            <w:pPr>
              <w:pStyle w:val="Compact"/>
            </w:pPr>
            <w:r>
              <w:t xml:space="preserve">SA-CVA sensitivities-based approach</w:t>
            </w:r>
          </w:p>
        </w:tc>
      </w:tr>
      <w:tr>
        <w:tc>
          <w:tcPr/>
          <w:p>
            <w:pPr>
              <w:pStyle w:val="Compact"/>
            </w:pPr>
            <w:r>
              <w:t xml:space="preserve">MAR50.43</w:t>
            </w:r>
          </w:p>
        </w:tc>
        <w:tc>
          <w:tcPr/>
          <w:p>
            <w:pPr>
              <w:pStyle w:val="Compact"/>
            </w:pPr>
            <w:r>
              <w:t xml:space="preserve">SA-CVA six delta risk classes</w:t>
            </w:r>
          </w:p>
        </w:tc>
      </w:tr>
      <w:tr>
        <w:tc>
          <w:tcPr/>
          <w:p>
            <w:pPr>
              <w:pStyle w:val="Compact"/>
            </w:pPr>
            <w:r>
              <w:t xml:space="preserve">MAR50.45–49</w:t>
            </w:r>
          </w:p>
        </w:tc>
        <w:tc>
          <w:tcPr/>
          <w:p>
            <w:pPr>
              <w:pStyle w:val="Compact"/>
            </w:pPr>
            <w:r>
              <w:t xml:space="preserve">SA-CVA five vega risk classes</w:t>
            </w:r>
          </w:p>
        </w:tc>
      </w:tr>
      <w:tr>
        <w:tc>
          <w:tcPr/>
          <w:p>
            <w:pPr>
              <w:pStyle w:val="Compact"/>
            </w:pPr>
            <w:r>
              <w:t xml:space="preserve">MAR50.63–65</w:t>
            </w:r>
          </w:p>
        </w:tc>
        <w:tc>
          <w:tcPr/>
          <w:p>
            <w:pPr>
              <w:pStyle w:val="Compact"/>
            </w:pPr>
            <w:r>
              <w:t xml:space="preserve">Sector buckets (Table 5) and risk weights (Table 7)</w:t>
            </w:r>
          </w:p>
        </w:tc>
      </w:tr>
      <w:tr>
        <w:tc>
          <w:tcPr/>
          <w:p>
            <w:pPr>
              <w:pStyle w:val="Compact"/>
            </w:pPr>
            <w:r>
              <w:t xml:space="preserve">RBC20.9(2)</w:t>
            </w:r>
          </w:p>
        </w:tc>
        <w:tc>
          <w:tcPr/>
          <w:p>
            <w:pPr>
              <w:pStyle w:val="Compact"/>
            </w:pPr>
            <w:r>
              <w:t xml:space="preserve">CVA RWA feeds total RWA as distinct Market Risk line item</w:t>
            </w:r>
          </w:p>
        </w:tc>
      </w:tr>
      <w:tr>
        <w:tc>
          <w:tcPr/>
          <w:p>
            <w:pPr>
              <w:pStyle w:val="Compact"/>
            </w:pPr>
            <w:r>
              <w:t xml:space="preserve">CAP10 FAQ1</w:t>
            </w:r>
          </w:p>
        </w:tc>
        <w:tc>
          <w:tcPr/>
          <w:p>
            <w:pPr>
              <w:pStyle w:val="Compact"/>
            </w:pPr>
            <w:r>
              <w:t xml:space="preserve">CVA RWA excluded from SA output floor base</w:t>
            </w:r>
          </w:p>
        </w:tc>
      </w:tr>
    </w:tbl>
    <w:p>
      <w:r>
        <w:pict>
          <v:rect style="width:0;height:1.5pt" o:hralign="center" o:hrstd="t" o:hr="t"/>
        </w:pict>
      </w:r>
    </w:p>
    <w:bookmarkEnd w:id="12"/>
    <w:bookmarkStart w:id="15" w:name="X8433899448d7ea5f685013a12912ca187ee5f2f"/>
    <w:p>
      <w:pPr>
        <w:pStyle w:val="Heading2"/>
      </w:pPr>
      <w:r>
        <w:t xml:space="preserve">2. What Is CVA and Why Does It Generate Capital?</w:t>
      </w:r>
    </w:p>
    <w:bookmarkStart w:id="13" w:name="cva-value"/>
    <w:p>
      <w:pPr>
        <w:pStyle w:val="Heading3"/>
      </w:pPr>
      <w:r>
        <w:t xml:space="preserve">CVA Value</w:t>
      </w:r>
    </w:p>
    <w:p>
      <w:pPr>
        <w:pStyle w:val="FirstParagraph"/>
      </w:pPr>
      <w:r>
        <w:t xml:space="preserve">CVA is the risk-neutral expected loss from counterparty default:</w:t>
      </w:r>
    </w:p>
    <w:p>
      <w:pPr>
        <w:pStyle w:val="SourceCode"/>
      </w:pPr>
      <w:r>
        <w:rPr>
          <w:rStyle w:val="VerbatimChar"/>
        </w:rPr>
        <w:t xml:space="preserve">CVA ≈ LGD × Integral[0→T] {PD(t) × EE(t) × DF(t) dt}</w:t>
      </w:r>
      <w:r>
        <w:br/>
      </w:r>
      <w:r>
        <w:br/>
      </w:r>
      <w:r>
        <w:rPr>
          <w:rStyle w:val="VerbatimChar"/>
        </w:rPr>
        <w:t xml:space="preserve">where:</w:t>
      </w:r>
      <w:r>
        <w:br/>
      </w:r>
      <w:r>
        <w:rPr>
          <w:rStyle w:val="VerbatimChar"/>
        </w:rPr>
        <w:t xml:space="preserve">  LGD  = Loss Given Default (market-implied from CDS recovery)</w:t>
      </w:r>
      <w:r>
        <w:br/>
      </w:r>
      <w:r>
        <w:rPr>
          <w:rStyle w:val="VerbatimChar"/>
        </w:rPr>
        <w:t xml:space="preserve">  PD(t) = Risk-neutral default probability at time t (from CDS spread)</w:t>
      </w:r>
      <w:r>
        <w:br/>
      </w:r>
      <w:r>
        <w:rPr>
          <w:rStyle w:val="VerbatimChar"/>
        </w:rPr>
        <w:t xml:space="preserve">  EE(t) = Expected Exposure at time t (from IMM or SA-CCR)</w:t>
      </w:r>
      <w:r>
        <w:br/>
      </w:r>
      <w:r>
        <w:rPr>
          <w:rStyle w:val="VerbatimChar"/>
        </w:rPr>
        <w:t xml:space="preserve">  DF(t) = Risk-free discount factor</w:t>
      </w:r>
    </w:p>
    <w:bookmarkEnd w:id="13"/>
    <w:bookmarkStart w:id="14" w:name="why-capital-is-required"/>
    <w:p>
      <w:pPr>
        <w:pStyle w:val="Heading3"/>
      </w:pPr>
      <w:r>
        <w:t xml:space="preserve">Why Capital is Required</w:t>
      </w:r>
    </w:p>
    <w:p>
      <w:pPr>
        <w:pStyle w:val="FirstParagraph"/>
      </w:pPr>
      <w:r>
        <w:t xml:space="preserve">CVA itself is an asset (a valuation adjustment) that fluctuates with:</w:t>
      </w:r>
      <w:r>
        <w:t xml:space="preserve"> </w:t>
      </w:r>
      <w:r>
        <w:t xml:space="preserve">-</w:t>
      </w:r>
      <w:r>
        <w:t xml:space="preserve"> </w:t>
      </w:r>
      <w:r>
        <w:rPr>
          <w:b/>
          <w:bCs/>
        </w:rPr>
        <w:t xml:space="preserve">Credit spread changes</w:t>
      </w:r>
      <w:r>
        <w:t xml:space="preserve"> </w:t>
      </w:r>
      <w:r>
        <w:t xml:space="preserve">— if counterparty spreads widen, CVA increases (more expected loss)</w:t>
      </w:r>
      <w:r>
        <w:t xml:space="preserve"> </w:t>
      </w:r>
      <w:r>
        <w:t xml:space="preserve">-</w:t>
      </w:r>
      <w:r>
        <w:t xml:space="preserve"> </w:t>
      </w:r>
      <w:r>
        <w:rPr>
          <w:b/>
          <w:bCs/>
        </w:rPr>
        <w:t xml:space="preserve">Exposure changes</w:t>
      </w:r>
      <w:r>
        <w:t xml:space="preserve"> </w:t>
      </w:r>
      <w:r>
        <w:t xml:space="preserve">— if rates/FX/equity move, EE changes, so CVA changes</w:t>
      </w:r>
      <w:r>
        <w:t xml:space="preserve"> </w:t>
      </w:r>
      <w:r>
        <w:t xml:space="preserve">-</w:t>
      </w:r>
      <w:r>
        <w:t xml:space="preserve"> </w:t>
      </w:r>
      <w:r>
        <w:rPr>
          <w:b/>
          <w:bCs/>
        </w:rPr>
        <w:t xml:space="preserve">Correlation between spread and exposure</w:t>
      </w:r>
      <w:r>
        <w:t xml:space="preserve"> </w:t>
      </w:r>
      <w:r>
        <w:t xml:space="preserve">(wrong-way risk)</w:t>
      </w:r>
    </w:p>
    <w:p>
      <w:pPr>
        <w:pStyle w:val="BodyText"/>
      </w:pPr>
      <w:r>
        <w:t xml:space="preserve">The</w:t>
      </w:r>
      <w:r>
        <w:t xml:space="preserve"> </w:t>
      </w:r>
      <w:r>
        <w:rPr>
          <w:b/>
          <w:bCs/>
        </w:rPr>
        <w:t xml:space="preserve">2007–2009 crisis</w:t>
      </w:r>
      <w:r>
        <w:t xml:space="preserve"> </w:t>
      </w:r>
      <w:r>
        <w:t xml:space="preserve">showed that ~2/3 of credit losses from counterparty credit risk came from CVA mark-to-market movements, not actual defaults. Basel III responded by mandating CVA capital.</w:t>
      </w:r>
    </w:p>
    <w:p>
      <w:r>
        <w:pict>
          <v:rect style="width:0;height:1.5pt" o:hralign="center" o:hrstd="t" o:hr="t"/>
        </w:pict>
      </w:r>
    </w:p>
    <w:bookmarkEnd w:id="14"/>
    <w:bookmarkEnd w:id="15"/>
    <w:bookmarkStart w:id="16" w:name="cva-capital-approaches-overview"/>
    <w:p>
      <w:pPr>
        <w:pStyle w:val="Heading2"/>
      </w:pPr>
      <w:r>
        <w:t xml:space="preserve">3. CVA Capital Approaches — Overview</w:t>
      </w:r>
    </w:p>
    <w:p>
      <w:pPr>
        <w:pStyle w:val="SourceCode"/>
      </w:pPr>
      <w:r>
        <w:rPr>
          <w:rStyle w:val="VerbatimChar"/>
        </w:rPr>
        <w:t xml:space="preserve">Portfolio of non-cleared derivatives</w:t>
      </w:r>
      <w:r>
        <w:br/>
      </w:r>
      <w:r>
        <w:rPr>
          <w:rStyle w:val="VerbatimChar"/>
        </w:rPr>
        <w:t xml:space="preserve">           │</w:t>
      </w:r>
      <w:r>
        <w:br/>
      </w:r>
      <w:r>
        <w:rPr>
          <w:rStyle w:val="VerbatimChar"/>
        </w:rPr>
        <w:t xml:space="preserve">           ▼</w:t>
      </w:r>
      <w:r>
        <w:br/>
      </w:r>
      <w:r>
        <w:rPr>
          <w:rStyle w:val="VerbatimChar"/>
        </w:rPr>
        <w:t xml:space="preserve">    MAR50.9: Materiality check</w:t>
      </w:r>
      <w:r>
        <w:br/>
      </w:r>
      <w:r>
        <w:rPr>
          <w:rStyle w:val="VerbatimChar"/>
        </w:rPr>
        <w:t xml:space="preserve">    ├── Below EUR 100bn notional → 100% of CCR RWA as proxy</w:t>
      </w:r>
      <w:r>
        <w:br/>
      </w:r>
      <w:r>
        <w:rPr>
          <w:rStyle w:val="VerbatimChar"/>
        </w:rPr>
        <w:t xml:space="preserve">    └── Above EUR 100bn notional → compute CVA capital</w:t>
      </w:r>
      <w:r>
        <w:br/>
      </w:r>
      <w:r>
        <w:rPr>
          <w:rStyle w:val="VerbatimChar"/>
        </w:rPr>
        <w:t xml:space="preserve">                │</w:t>
      </w:r>
      <w:r>
        <w:br/>
      </w:r>
      <w:r>
        <w:rPr>
          <w:rStyle w:val="VerbatimChar"/>
        </w:rPr>
        <w:t xml:space="preserve">                ├── SA-CVA approved + live CDS spreads?</w:t>
      </w:r>
      <w:r>
        <w:br/>
      </w:r>
      <w:r>
        <w:rPr>
          <w:rStyle w:val="VerbatimChar"/>
        </w:rPr>
        <w:t xml:space="preserve">                │    └── SA-CVA (MAR50.40-77)</w:t>
      </w:r>
      <w:r>
        <w:br/>
      </w:r>
      <w:r>
        <w:rPr>
          <w:rStyle w:val="VerbatimChar"/>
        </w:rPr>
        <w:t xml:space="preserve">                │</w:t>
      </w:r>
      <w:r>
        <w:br/>
      </w:r>
      <w:r>
        <w:rPr>
          <w:rStyle w:val="VerbatimChar"/>
        </w:rPr>
        <w:t xml:space="preserve">                └── Otherwise → BA-CVA (MAR50.14–38)</w:t>
      </w:r>
      <w:r>
        <w:br/>
      </w:r>
      <w:r>
        <w:rPr>
          <w:rStyle w:val="VerbatimChar"/>
        </w:rPr>
        <w:t xml:space="preserve">                     ├── Reduced (no hedges) — MAR50.14</w:t>
      </w:r>
      <w:r>
        <w:br/>
      </w:r>
      <w:r>
        <w:rPr>
          <w:rStyle w:val="VerbatimChar"/>
        </w:rPr>
        <w:t xml:space="preserve">                     └── Full (with hedges) — MAR50.20–21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When Available</w:t>
            </w:r>
          </w:p>
        </w:tc>
        <w:tc>
          <w:tcPr/>
          <w:p>
            <w:pPr>
              <w:pStyle w:val="Compact"/>
            </w:pPr>
            <w:r>
              <w:t xml:space="preserve">Benefit</w:t>
            </w:r>
          </w:p>
        </w:tc>
      </w:tr>
      <w:tr>
        <w:tc>
          <w:tcPr/>
          <w:p>
            <w:pPr>
              <w:pStyle w:val="Compact"/>
            </w:pPr>
            <w:r>
              <w:rPr>
                <w:b/>
                <w:bCs/>
              </w:rPr>
              <w:t xml:space="preserve">SA Output Floor (CCR proxy)</w:t>
            </w:r>
          </w:p>
        </w:tc>
        <w:tc>
          <w:tcPr/>
          <w:p>
            <w:pPr>
              <w:pStyle w:val="Compact"/>
            </w:pPr>
            <w:r>
              <w:t xml:space="preserve">Below EUR 100bn notional</w:t>
            </w:r>
          </w:p>
        </w:tc>
        <w:tc>
          <w:tcPr/>
          <w:p>
            <w:pPr>
              <w:pStyle w:val="Compact"/>
            </w:pPr>
            <w:r>
              <w:t xml:space="preserve">Simplest — no CVA model needed</w:t>
            </w:r>
          </w:p>
        </w:tc>
      </w:tr>
      <w:tr>
        <w:tc>
          <w:tcPr/>
          <w:p>
            <w:pPr>
              <w:pStyle w:val="Compact"/>
            </w:pPr>
            <w:r>
              <w:rPr>
                <w:b/>
                <w:bCs/>
              </w:rPr>
              <w:t xml:space="preserve">BA-CVA Reduced</w:t>
            </w:r>
          </w:p>
        </w:tc>
        <w:tc>
          <w:tcPr/>
          <w:p>
            <w:pPr>
              <w:pStyle w:val="Compact"/>
            </w:pPr>
            <w:r>
              <w:t xml:space="preserve">Always available</w:t>
            </w:r>
          </w:p>
        </w:tc>
        <w:tc>
          <w:tcPr/>
          <w:p>
            <w:pPr>
              <w:pStyle w:val="Compact"/>
            </w:pPr>
            <w:r>
              <w:t xml:space="preserve">Simple EAD-based; no hedge recognition</w:t>
            </w:r>
          </w:p>
        </w:tc>
      </w:tr>
      <w:tr>
        <w:tc>
          <w:tcPr/>
          <w:p>
            <w:pPr>
              <w:pStyle w:val="Compact"/>
            </w:pPr>
            <w:r>
              <w:rPr>
                <w:b/>
                <w:bCs/>
              </w:rPr>
              <w:t xml:space="preserve">BA-CVA Full</w:t>
            </w:r>
          </w:p>
        </w:tc>
        <w:tc>
          <w:tcPr/>
          <w:p>
            <w:pPr>
              <w:pStyle w:val="Compact"/>
            </w:pPr>
            <w:r>
              <w:t xml:space="preserve">Always (if hedges present)</w:t>
            </w:r>
          </w:p>
        </w:tc>
        <w:tc>
          <w:tcPr/>
          <w:p>
            <w:pPr>
              <w:pStyle w:val="Compact"/>
            </w:pPr>
            <w:r>
              <w:t xml:space="preserve">Reduces capital by recognising eligible CVA hedges</w:t>
            </w:r>
          </w:p>
        </w:tc>
      </w:tr>
      <w:tr>
        <w:tc>
          <w:tcPr/>
          <w:p>
            <w:pPr>
              <w:pStyle w:val="Compact"/>
            </w:pPr>
            <w:r>
              <w:rPr>
                <w:b/>
                <w:bCs/>
              </w:rPr>
              <w:t xml:space="preserve">SA-CVA</w:t>
            </w:r>
          </w:p>
        </w:tc>
        <w:tc>
          <w:tcPr/>
          <w:p>
            <w:pPr>
              <w:pStyle w:val="Compact"/>
            </w:pPr>
            <w:r>
              <w:t xml:space="preserve">Supervisory approval + live spreads</w:t>
            </w:r>
          </w:p>
        </w:tc>
        <w:tc>
          <w:tcPr/>
          <w:p>
            <w:pPr>
              <w:pStyle w:val="Compact"/>
            </w:pPr>
            <w:r>
              <w:t xml:space="preserve">Lowest capital for well-hedged portfolios</w:t>
            </w:r>
          </w:p>
        </w:tc>
      </w:tr>
    </w:tbl>
    <w:p>
      <w:r>
        <w:pict>
          <v:rect style="width:0;height:1.5pt" o:hralign="center" o:hrstd="t" o:hr="t"/>
        </w:pict>
      </w:r>
    </w:p>
    <w:bookmarkEnd w:id="16"/>
    <w:bookmarkStart w:id="17" w:name="materiality-threshold-mar50.9"/>
    <w:p>
      <w:pPr>
        <w:pStyle w:val="Heading2"/>
      </w:pPr>
      <w:r>
        <w:t xml:space="preserve">4. Materiality Threshold (MAR50.9)</w:t>
      </w:r>
    </w:p>
    <w:p>
      <w:pPr>
        <w:pStyle w:val="FirstParagraph"/>
      </w:pPr>
      <w:r>
        <w:rPr>
          <w:b/>
          <w:bCs/>
        </w:rPr>
        <w:t xml:space="preserve">FIX-04:</w:t>
      </w:r>
      <w:r>
        <w:t xml:space="preserve"> </w:t>
      </w:r>
      <w:r>
        <w:t xml:space="preserve">The original code used USD 1M CCR RWA as the threshold — wrong by four orders of magnitude. The correct threshold is:</w:t>
      </w:r>
    </w:p>
    <w:p>
      <w:pPr>
        <w:pStyle w:val="SourceCode"/>
      </w:pPr>
      <w:r>
        <w:rPr>
          <w:rStyle w:val="VerbatimChar"/>
        </w:rPr>
        <w:t xml:space="preserve">Threshold: Aggregate non-centrally-cleared derivative NOTIONAL ≤ EUR 100 billion</w:t>
      </w:r>
      <w:r>
        <w:br/>
      </w:r>
      <w:r>
        <w:br/>
      </w:r>
      <w:r>
        <w:rPr>
          <w:rStyle w:val="VerbatimChar"/>
        </w:rPr>
        <w:t xml:space="preserve">If notional ≤ EUR 100bn → CVA RWA = 100% of CCR RWA (proxy)</w:t>
      </w:r>
      <w:r>
        <w:br/>
      </w:r>
      <w:r>
        <w:rPr>
          <w:rStyle w:val="VerbatimChar"/>
        </w:rPr>
        <w:t xml:space="preserve">If notional &gt;  EUR 100bn → must compute BA-CVA or SA-CVA</w:t>
      </w:r>
    </w:p>
    <w:p>
      <w:pPr>
        <w:pStyle w:val="FirstParagraph"/>
      </w:pPr>
      <w:r>
        <w:t xml:space="preserve">For most G-SIBs, the notional far exceeds EUR 100bn. The threshold mainly relieves small regional banks from running CVA models.</w:t>
      </w:r>
    </w:p>
    <w:p>
      <w:r>
        <w:pict>
          <v:rect style="width:0;height:1.5pt" o:hralign="center" o:hrstd="t" o:hr="t"/>
        </w:pict>
      </w:r>
    </w:p>
    <w:bookmarkEnd w:id="17"/>
    <w:bookmarkStart w:id="22" w:name="ba-cva-basic-approach-mar50.1438"/>
    <w:p>
      <w:pPr>
        <w:pStyle w:val="Heading2"/>
      </w:pPr>
      <w:r>
        <w:t xml:space="preserve">5. BA-CVA — Basic Approach (MAR50.14–38)</w:t>
      </w:r>
    </w:p>
    <w:bookmarkStart w:id="18" w:name="core-concept"/>
    <w:p>
      <w:pPr>
        <w:pStyle w:val="Heading3"/>
      </w:pPr>
      <w:r>
        <w:t xml:space="preserve">Core Concept</w:t>
      </w:r>
    </w:p>
    <w:p>
      <w:pPr>
        <w:pStyle w:val="FirstParagraph"/>
      </w:pPr>
      <w:r>
        <w:t xml:space="preserve">BA-CVA estimates CVA capital from the</w:t>
      </w:r>
      <w:r>
        <w:t xml:space="preserve"> </w:t>
      </w:r>
      <w:r>
        <w:rPr>
          <w:b/>
          <w:bCs/>
        </w:rPr>
        <w:t xml:space="preserve">EAD</w:t>
      </w:r>
      <w:r>
        <w:t xml:space="preserve"> </w:t>
      </w:r>
      <w:r>
        <w:t xml:space="preserve">of each counterparty (not from sensitivity to market risk factors). It uses:</w:t>
      </w:r>
      <w:r>
        <w:t xml:space="preserve"> </w:t>
      </w:r>
      <w:r>
        <w:t xml:space="preserve">-</w:t>
      </w:r>
      <w:r>
        <w:t xml:space="preserve"> </w:t>
      </w:r>
      <w:r>
        <w:rPr>
          <w:b/>
          <w:bCs/>
        </w:rPr>
        <w:t xml:space="preserve">Supervisory credit spreads</w:t>
      </w:r>
      <w:r>
        <w:t xml:space="preserve"> </w:t>
      </w:r>
      <w:r>
        <w:t xml:space="preserve">(rating-based, from MAR50 Table 1)</w:t>
      </w:r>
      <w:r>
        <w:t xml:space="preserve"> </w:t>
      </w:r>
      <w:r>
        <w:t xml:space="preserve">-</w:t>
      </w:r>
      <w:r>
        <w:t xml:space="preserve"> </w:t>
      </w:r>
      <w:r>
        <w:rPr>
          <w:b/>
          <w:bCs/>
        </w:rPr>
        <w:t xml:space="preserve">Supervisory correlation</w:t>
      </w:r>
      <w:r>
        <w:t xml:space="preserve"> </w:t>
      </w:r>
      <w:r>
        <w:t xml:space="preserve">ρ = 0.50 (fixed, not market-implied)</w:t>
      </w:r>
      <w:r>
        <w:t xml:space="preserve"> </w:t>
      </w:r>
      <w:r>
        <w:t xml:space="preserve">-</w:t>
      </w:r>
      <w:r>
        <w:t xml:space="preserve"> </w:t>
      </w:r>
      <w:r>
        <w:rPr>
          <w:b/>
          <w:bCs/>
        </w:rPr>
        <w:t xml:space="preserve">Effective maturity discount</w:t>
      </w:r>
      <w:r>
        <w:t xml:space="preserve"> </w:t>
      </w:r>
      <w:r>
        <w:t xml:space="preserve">for time value</w:t>
      </w:r>
    </w:p>
    <w:bookmarkEnd w:id="18"/>
    <w:bookmarkStart w:id="19" w:name="stand-alone-cva-capital-sc_c-mar50.15"/>
    <w:p>
      <w:pPr>
        <w:pStyle w:val="Heading3"/>
      </w:pPr>
      <w:r>
        <w:t xml:space="preserve">Stand-Alone CVA Capital: SC_c (MAR50.15)</w:t>
      </w:r>
    </w:p>
    <w:p>
      <w:pPr>
        <w:pStyle w:val="SourceCode"/>
      </w:pPr>
      <w:r>
        <w:rPr>
          <w:rStyle w:val="VerbatimChar"/>
        </w:rPr>
        <w:t xml:space="preserve">SC_c = RW_c × M_c_eff × EAD_c</w:t>
      </w:r>
      <w:r>
        <w:br/>
      </w:r>
      <w:r>
        <w:br/>
      </w:r>
      <w:r>
        <w:rPr>
          <w:rStyle w:val="VerbatimChar"/>
        </w:rPr>
        <w:t xml:space="preserve">where:</w:t>
      </w:r>
      <w:r>
        <w:br/>
      </w:r>
      <w:r>
        <w:rPr>
          <w:rStyle w:val="VerbatimChar"/>
        </w:rPr>
        <w:t xml:space="preserve">  RW_c     = Supervisory spread for counterparty's rating (see table below)</w:t>
      </w:r>
      <w:r>
        <w:br/>
      </w:r>
      <w:r>
        <w:rPr>
          <w:rStyle w:val="VerbatimChar"/>
        </w:rPr>
        <w:t xml:space="preserve">  EAD_c    = EAD from SA-CCR or IMM (with WWR add-on if applicable)</w:t>
      </w:r>
      <w:r>
        <w:br/>
      </w:r>
      <w:r>
        <w:rPr>
          <w:rStyle w:val="VerbatimChar"/>
        </w:rPr>
        <w:t xml:space="preserve">  M_c_eff  = (1 − exp(−r × M_c)) / (r × M_c)   [effective maturity discount]</w:t>
      </w:r>
      <w:r>
        <w:br/>
      </w:r>
      <w:r>
        <w:rPr>
          <w:rStyle w:val="VerbatimChar"/>
        </w:rPr>
        <w:t xml:space="preserve">  r        = OIS/SOFR rate</w:t>
      </w:r>
      <w:r>
        <w:br/>
      </w:r>
      <w:r>
        <w:rPr>
          <w:rStyle w:val="VerbatimChar"/>
        </w:rPr>
        <w:t xml:space="preserve">  M_c      = Effective maturity of the netting set (years)</w:t>
      </w:r>
    </w:p>
    <w:p>
      <w:pPr>
        <w:pStyle w:val="FirstParagraph"/>
      </w:pPr>
      <w:r>
        <w:rPr>
          <w:b/>
          <w:bCs/>
        </w:rPr>
        <w:t xml:space="preserve">Supervisory spread by rating (MAR50 Table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Rating</w:t>
            </w:r>
          </w:p>
        </w:tc>
        <w:tc>
          <w:tcPr/>
          <w:p>
            <w:pPr>
              <w:pStyle w:val="Compact"/>
            </w:pPr>
            <w:r>
              <w:t xml:space="preserve">Supervisory Spread (bps)</w:t>
            </w:r>
          </w:p>
        </w:tc>
      </w:tr>
      <w:tr>
        <w:tc>
          <w:tcPr/>
          <w:p>
            <w:pPr>
              <w:pStyle w:val="Compact"/>
            </w:pPr>
            <w:r>
              <w:t xml:space="preserve">AAA</w:t>
            </w:r>
          </w:p>
        </w:tc>
        <w:tc>
          <w:tcPr/>
          <w:p>
            <w:pPr>
              <w:pStyle w:val="Compact"/>
            </w:pPr>
            <w:r>
              <w:t xml:space="preserve">38</w:t>
            </w:r>
          </w:p>
        </w:tc>
      </w:tr>
      <w:tr>
        <w:tc>
          <w:tcPr/>
          <w:p>
            <w:pPr>
              <w:pStyle w:val="Compact"/>
            </w:pPr>
            <w:r>
              <w:t xml:space="preserve">AA</w:t>
            </w:r>
          </w:p>
        </w:tc>
        <w:tc>
          <w:tcPr/>
          <w:p>
            <w:pPr>
              <w:pStyle w:val="Compact"/>
            </w:pPr>
            <w:r>
              <w:t xml:space="preserve">38</w:t>
            </w:r>
          </w:p>
        </w:tc>
      </w:tr>
      <w:tr>
        <w:tc>
          <w:tcPr/>
          <w:p>
            <w:pPr>
              <w:pStyle w:val="Compact"/>
            </w:pPr>
            <w:r>
              <w:t xml:space="preserve">A</w:t>
            </w:r>
          </w:p>
        </w:tc>
        <w:tc>
          <w:tcPr/>
          <w:p>
            <w:pPr>
              <w:pStyle w:val="Compact"/>
            </w:pPr>
            <w:r>
              <w:t xml:space="preserve">42</w:t>
            </w:r>
          </w:p>
        </w:tc>
      </w:tr>
      <w:tr>
        <w:tc>
          <w:tcPr/>
          <w:p>
            <w:pPr>
              <w:pStyle w:val="Compact"/>
            </w:pPr>
            <w:r>
              <w:t xml:space="preserve">BBB</w:t>
            </w:r>
          </w:p>
        </w:tc>
        <w:tc>
          <w:tcPr/>
          <w:p>
            <w:pPr>
              <w:pStyle w:val="Compact"/>
            </w:pPr>
            <w:r>
              <w:t xml:space="preserve">54</w:t>
            </w:r>
          </w:p>
        </w:tc>
      </w:tr>
      <w:tr>
        <w:tc>
          <w:tcPr/>
          <w:p>
            <w:pPr>
              <w:pStyle w:val="Compact"/>
            </w:pPr>
            <w:r>
              <w:t xml:space="preserve">BB</w:t>
            </w:r>
          </w:p>
        </w:tc>
        <w:tc>
          <w:tcPr/>
          <w:p>
            <w:pPr>
              <w:pStyle w:val="Compact"/>
            </w:pPr>
            <w:r>
              <w:t xml:space="preserve">106</w:t>
            </w:r>
          </w:p>
        </w:tc>
      </w:tr>
      <w:tr>
        <w:tc>
          <w:tcPr/>
          <w:p>
            <w:pPr>
              <w:pStyle w:val="Compact"/>
            </w:pPr>
            <w:r>
              <w:t xml:space="preserve">B</w:t>
            </w:r>
          </w:p>
        </w:tc>
        <w:tc>
          <w:tcPr/>
          <w:p>
            <w:pPr>
              <w:pStyle w:val="Compact"/>
            </w:pPr>
            <w:r>
              <w:t xml:space="preserve">160</w:t>
            </w:r>
          </w:p>
        </w:tc>
      </w:tr>
      <w:tr>
        <w:tc>
          <w:tcPr/>
          <w:p>
            <w:pPr>
              <w:pStyle w:val="Compact"/>
            </w:pPr>
            <w:r>
              <w:t xml:space="preserve">CCC</w:t>
            </w:r>
          </w:p>
        </w:tc>
        <w:tc>
          <w:tcPr/>
          <w:p>
            <w:pPr>
              <w:pStyle w:val="Compact"/>
            </w:pPr>
            <w:r>
              <w:t xml:space="preserve">600</w:t>
            </w:r>
          </w:p>
        </w:tc>
      </w:tr>
      <w:tr>
        <w:tc>
          <w:tcPr/>
          <w:p>
            <w:pPr>
              <w:pStyle w:val="Compact"/>
            </w:pPr>
            <w:r>
              <w:t xml:space="preserve">NR (unrated)</w:t>
            </w:r>
          </w:p>
        </w:tc>
        <w:tc>
          <w:tcPr/>
          <w:p>
            <w:pPr>
              <w:pStyle w:val="Compact"/>
            </w:pPr>
            <w:r>
              <w:t xml:space="preserve">54 (BBB equivalent)</w:t>
            </w:r>
          </w:p>
        </w:tc>
      </w:tr>
    </w:tbl>
    <w:bookmarkEnd w:id="19"/>
    <w:bookmarkStart w:id="20" w:name="X5f64a85331134c855c7bab9f154175389863070"/>
    <w:p>
      <w:pPr>
        <w:pStyle w:val="Heading3"/>
      </w:pPr>
      <w:r>
        <w:t xml:space="preserve">Reduced BA-CVA (MAR50.14) — No Hedge Recognition</w:t>
      </w:r>
    </w:p>
    <w:p>
      <w:pPr>
        <w:pStyle w:val="SourceCode"/>
      </w:pPr>
      <w:r>
        <w:rPr>
          <w:rStyle w:val="VerbatimChar"/>
        </w:rPr>
        <w:t xml:space="preserve">K_reduced = sqrt(ρ² × (Σ SC_c)² + (1 − ρ²) × Σ SC_c²)</w:t>
      </w:r>
      <w:r>
        <w:br/>
      </w:r>
      <w:r>
        <w:rPr>
          <w:rStyle w:val="VerbatimChar"/>
        </w:rPr>
        <w:t xml:space="preserve">          where ρ = 0.50 (supervisory)</w:t>
      </w:r>
      <w:r>
        <w:br/>
      </w:r>
      <w:r>
        <w:br/>
      </w:r>
      <w:r>
        <w:rPr>
          <w:rStyle w:val="VerbatimChar"/>
        </w:rPr>
        <w:t xml:space="preserve">Capital   = DS × K_reduced × 12.5   [DS = 0.65 per MAR50.14]</w:t>
      </w:r>
    </w:p>
    <w:p>
      <w:pPr>
        <w:pStyle w:val="FirstParagraph"/>
      </w:pPr>
      <w:r>
        <w:rPr>
          <w:b/>
          <w:bCs/>
        </w:rPr>
        <w:t xml:space="preserve">FIX-01:</w:t>
      </w:r>
      <w:r>
        <w:t xml:space="preserve"> </w:t>
      </w:r>
      <w:r>
        <w:t xml:space="preserve">The original code was missing the</w:t>
      </w:r>
      <w:r>
        <w:t xml:space="preserve"> </w:t>
      </w:r>
      <w:r>
        <w:rPr>
          <w:b/>
          <w:bCs/>
        </w:rPr>
        <w:t xml:space="preserve">DS = 0.65 discount scalar</w:t>
      </w:r>
      <w:r>
        <w:t xml:space="preserve">. This overstated BA-CVA capital by ~54% (1/0.65 = 1.54×). DS was introduced in the 2019 FRTB reforms as a calibration offset.</w:t>
      </w:r>
    </w:p>
    <w:bookmarkEnd w:id="20"/>
    <w:bookmarkStart w:id="21" w:name="full-ba-cva-mar50.2021-with-hedges"/>
    <w:p>
      <w:pPr>
        <w:pStyle w:val="Heading3"/>
      </w:pPr>
      <w:r>
        <w:t xml:space="preserve">Full BA-CVA (MAR50.20–21) — With Hedges</w:t>
      </w:r>
    </w:p>
    <w:p>
      <w:pPr>
        <w:pStyle w:val="SourceCode"/>
      </w:pPr>
      <w:r>
        <w:rPr>
          <w:rStyle w:val="VerbatimChar"/>
        </w:rPr>
        <w:t xml:space="preserve">SNH_c  = ρ_hc × RW_h × DF_h × Notional_h    [single-name hedge, MAR50.23]</w:t>
      </w:r>
      <w:r>
        <w:br/>
      </w:r>
      <w:r>
        <w:rPr>
          <w:rStyle w:val="VerbatimChar"/>
        </w:rPr>
        <w:t xml:space="preserve">IH     = 0.7 × Σ RW_index × DF_index × N_index  [index hedge, MAR50.24]</w:t>
      </w:r>
      <w:r>
        <w:br/>
      </w:r>
      <w:r>
        <w:br/>
      </w:r>
      <w:r>
        <w:rPr>
          <w:rStyle w:val="VerbatimChar"/>
        </w:rPr>
        <w:t xml:space="preserve">Systematic  = Σ SC_c − Σ SNH_c − IH</w:t>
      </w:r>
      <w:r>
        <w:br/>
      </w:r>
      <w:r>
        <w:rPr>
          <w:rStyle w:val="VerbatimChar"/>
        </w:rPr>
        <w:t xml:space="preserve">Idiosyncratic = Σ (SC_c − SNH_c)²</w:t>
      </w:r>
      <w:r>
        <w:br/>
      </w:r>
      <w:r>
        <w:br/>
      </w:r>
      <w:r>
        <w:rPr>
          <w:rStyle w:val="VerbatimChar"/>
        </w:rPr>
        <w:t xml:space="preserve">K_full  = sqrt(ρ² × Systematic² + (1−ρ²) × Idiosyncratic) + Σ sqrt(HMA_c)</w:t>
      </w:r>
      <w:r>
        <w:br/>
      </w:r>
      <w:r>
        <w:rPr>
          <w:rStyle w:val="VerbatimChar"/>
        </w:rPr>
        <w:t xml:space="preserve">HMA_c   = (1 − ρ_hc²) × (RW_h × DF_h × N_h)²   [hedge misalignment, MAR50.25]</w:t>
      </w:r>
      <w:r>
        <w:br/>
      </w:r>
      <w:r>
        <w:br/>
      </w:r>
      <w:r>
        <w:rPr>
          <w:rStyle w:val="VerbatimChar"/>
        </w:rPr>
        <w:t xml:space="preserve">Capital = DS × max(K_full, β × K_reduced) × 12.5   [β = 0.25 floor, MAR50.20]</w:t>
      </w:r>
    </w:p>
    <w:p>
      <w:pPr>
        <w:pStyle w:val="FirstParagraph"/>
      </w:pPr>
      <w:r>
        <w:rPr>
          <w:b/>
          <w:bCs/>
        </w:rPr>
        <w:t xml:space="preserve">FIX-02:</w:t>
      </w:r>
      <w:r>
        <w:t xml:space="preserve"> </w:t>
      </w:r>
      <w:r>
        <w:t xml:space="preserve">The original hedge reduction formula</w:t>
      </w:r>
      <w:r>
        <w:t xml:space="preserve"> </w:t>
      </w:r>
      <w:r>
        <w:rPr>
          <w:rStyle w:val="VerbatimChar"/>
        </w:rPr>
        <w:t xml:space="preserve">(0.50 × notional × spread)</w:t>
      </w:r>
      <w:r>
        <w:t xml:space="preserve"> </w:t>
      </w:r>
      <w:r>
        <w:t xml:space="preserve">had no MAR50 basis. The correct SNH/IH/HMA structure with supervisory hedge correlations (ρ_hc) is now implemented.</w:t>
      </w:r>
    </w:p>
    <w:p>
      <w:pPr>
        <w:pStyle w:val="BodyText"/>
      </w:pPr>
      <w:r>
        <w:rPr>
          <w:b/>
          <w:bCs/>
        </w:rPr>
        <w:t xml:space="preserve">Supervisory hedge correlations (MAR50 Table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Type</w:t>
            </w:r>
          </w:p>
        </w:tc>
        <w:tc>
          <w:tcPr/>
          <w:p>
            <w:pPr>
              <w:pStyle w:val="Compact"/>
            </w:pPr>
            <w:r>
              <w:t xml:space="preserve">ρ_hc</w:t>
            </w:r>
          </w:p>
        </w:tc>
      </w:tr>
      <w:tr>
        <w:tc>
          <w:tcPr/>
          <w:p>
            <w:pPr>
              <w:pStyle w:val="Compact"/>
            </w:pPr>
            <w:r>
              <w:t xml:space="preserve">References counterparty directly</w:t>
            </w:r>
          </w:p>
        </w:tc>
        <w:tc>
          <w:tcPr/>
          <w:p>
            <w:pPr>
              <w:pStyle w:val="Compact"/>
            </w:pPr>
            <w:r>
              <w:t xml:space="preserve">100%</w:t>
            </w:r>
          </w:p>
        </w:tc>
      </w:tr>
      <w:tr>
        <w:tc>
          <w:tcPr/>
          <w:p>
            <w:pPr>
              <w:pStyle w:val="Compact"/>
            </w:pPr>
            <w:r>
              <w:t xml:space="preserve">Legally related (parent/subsidiary)</w:t>
            </w:r>
          </w:p>
        </w:tc>
        <w:tc>
          <w:tcPr/>
          <w:p>
            <w:pPr>
              <w:pStyle w:val="Compact"/>
            </w:pPr>
            <w:r>
              <w:t xml:space="preserve">80%</w:t>
            </w:r>
          </w:p>
        </w:tc>
      </w:tr>
      <w:tr>
        <w:tc>
          <w:tcPr/>
          <w:p>
            <w:pPr>
              <w:pStyle w:val="Compact"/>
            </w:pPr>
            <w:r>
              <w:t xml:space="preserve">Same sector and region</w:t>
            </w:r>
          </w:p>
        </w:tc>
        <w:tc>
          <w:tcPr/>
          <w:p>
            <w:pPr>
              <w:pStyle w:val="Compact"/>
            </w:pPr>
            <w:r>
              <w:t xml:space="preserve">50%</w:t>
            </w:r>
          </w:p>
        </w:tc>
      </w:tr>
    </w:tbl>
    <w:p>
      <w:r>
        <w:pict>
          <v:rect style="width:0;height:1.5pt" o:hralign="center" o:hrstd="t" o:hr="t"/>
        </w:pict>
      </w:r>
    </w:p>
    <w:bookmarkEnd w:id="21"/>
    <w:bookmarkEnd w:id="22"/>
    <w:bookmarkStart w:id="26" w:name="sa-cva-standardised-approach-mar50.4077"/>
    <w:p>
      <w:pPr>
        <w:pStyle w:val="Heading2"/>
      </w:pPr>
      <w:r>
        <w:t xml:space="preserve">6. SA-CVA — Standardised Approach (MAR50.40–77)</w:t>
      </w:r>
    </w:p>
    <w:p>
      <w:pPr>
        <w:pStyle w:val="FirstParagraph"/>
      </w:pPr>
      <w:r>
        <w:t xml:space="preserve">SA-CVA requires supervisory approval and live CDS spread data per counterparty.</w:t>
      </w:r>
    </w:p>
    <w:bookmarkStart w:id="23" w:name="six-delta-risk-classes-mar50.43"/>
    <w:p>
      <w:pPr>
        <w:pStyle w:val="Heading3"/>
      </w:pPr>
      <w:r>
        <w:t xml:space="preserve">Six Delta Risk Classes (MAR50.43)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Class</w:t>
            </w:r>
          </w:p>
        </w:tc>
        <w:tc>
          <w:tcPr/>
          <w:p>
            <w:pPr>
              <w:pStyle w:val="Compact"/>
            </w:pPr>
            <w:r>
              <w:t xml:space="preserve">Sensitivity</w:t>
            </w:r>
          </w:p>
        </w:tc>
        <w:tc>
          <w:tcPr/>
          <w:p>
            <w:pPr>
              <w:pStyle w:val="Compact"/>
            </w:pPr>
            <w:r>
              <w:t xml:space="preserve">Example</w:t>
            </w:r>
          </w:p>
        </w:tc>
      </w:tr>
      <w:tr>
        <w:tc>
          <w:tcPr/>
          <w:p>
            <w:pPr>
              <w:pStyle w:val="Compact"/>
            </w:pPr>
            <w:r>
              <w:t xml:space="preserve">Interest Rate (GIRR)</w:t>
            </w:r>
          </w:p>
        </w:tc>
        <w:tc>
          <w:tcPr/>
          <w:p>
            <w:pPr>
              <w:pStyle w:val="Compact"/>
            </w:pPr>
            <w:r>
              <w:t xml:space="preserve">∂CVA/∂r per tenor</w:t>
            </w:r>
          </w:p>
        </w:tc>
        <w:tc>
          <w:tcPr/>
          <w:p>
            <w:pPr>
              <w:pStyle w:val="Compact"/>
            </w:pPr>
            <w:r>
              <w:t xml:space="preserve">IRS counterparties</w:t>
            </w:r>
          </w:p>
        </w:tc>
      </w:tr>
      <w:tr>
        <w:tc>
          <w:tcPr/>
          <w:p>
            <w:pPr>
              <w:pStyle w:val="Compact"/>
            </w:pPr>
            <w:r>
              <w:t xml:space="preserve">FX</w:t>
            </w:r>
          </w:p>
        </w:tc>
        <w:tc>
          <w:tcPr/>
          <w:p>
            <w:pPr>
              <w:pStyle w:val="Compact"/>
            </w:pPr>
            <w:r>
              <w:t xml:space="preserve">∂CVA/∂FX_spot</w:t>
            </w:r>
          </w:p>
        </w:tc>
        <w:tc>
          <w:tcPr/>
          <w:p>
            <w:pPr>
              <w:pStyle w:val="Compact"/>
            </w:pPr>
            <w:r>
              <w:t xml:space="preserve">Cross-currency swap counterparties</w:t>
            </w:r>
          </w:p>
        </w:tc>
      </w:tr>
      <w:tr>
        <w:tc>
          <w:tcPr/>
          <w:p>
            <w:pPr>
              <w:pStyle w:val="Compact"/>
            </w:pPr>
            <w:r>
              <w:t xml:space="preserve">Counterparty Credit Spread</w:t>
            </w:r>
          </w:p>
        </w:tc>
        <w:tc>
          <w:tcPr/>
          <w:p>
            <w:pPr>
              <w:pStyle w:val="Compact"/>
            </w:pPr>
            <w:r>
              <w:t xml:space="preserve">∂CVA/∂s_counterparty</w:t>
            </w:r>
          </w:p>
        </w:tc>
        <w:tc>
          <w:tcPr/>
          <w:p>
            <w:pPr>
              <w:pStyle w:val="Compact"/>
            </w:pPr>
            <w:r>
              <w:t xml:space="preserve">All OTC derivative counterparties</w:t>
            </w:r>
          </w:p>
        </w:tc>
      </w:tr>
      <w:tr>
        <w:tc>
          <w:tcPr/>
          <w:p>
            <w:pPr>
              <w:pStyle w:val="Compact"/>
            </w:pPr>
            <w:r>
              <w:t xml:space="preserve">Reference Credit Spread</w:t>
            </w:r>
          </w:p>
        </w:tc>
        <w:tc>
          <w:tcPr/>
          <w:p>
            <w:pPr>
              <w:pStyle w:val="Compact"/>
            </w:pPr>
            <w:r>
              <w:t xml:space="preserve">∂CVA/∂s_reference</w:t>
            </w:r>
          </w:p>
        </w:tc>
        <w:tc>
          <w:tcPr/>
          <w:p>
            <w:pPr>
              <w:pStyle w:val="Compact"/>
            </w:pPr>
            <w:r>
              <w:t xml:space="preserve">Protection seller on third-party CDS</w:t>
            </w:r>
          </w:p>
        </w:tc>
      </w:tr>
      <w:tr>
        <w:tc>
          <w:tcPr/>
          <w:p>
            <w:pPr>
              <w:pStyle w:val="Compact"/>
            </w:pPr>
            <w:r>
              <w:t xml:space="preserve">Equity</w:t>
            </w:r>
          </w:p>
        </w:tc>
        <w:tc>
          <w:tcPr/>
          <w:p>
            <w:pPr>
              <w:pStyle w:val="Compact"/>
            </w:pPr>
            <w:r>
              <w:t xml:space="preserve">∂CVA/∂S_equity</w:t>
            </w:r>
          </w:p>
        </w:tc>
        <w:tc>
          <w:tcPr/>
          <w:p>
            <w:pPr>
              <w:pStyle w:val="Compact"/>
            </w:pPr>
            <w:r>
              <w:t xml:space="preserve">Equity TRS/option counterparties</w:t>
            </w:r>
          </w:p>
        </w:tc>
      </w:tr>
      <w:tr>
        <w:tc>
          <w:tcPr/>
          <w:p>
            <w:pPr>
              <w:pStyle w:val="Compact"/>
            </w:pPr>
            <w:r>
              <w:t xml:space="preserve">Commodity</w:t>
            </w:r>
          </w:p>
        </w:tc>
        <w:tc>
          <w:tcPr/>
          <w:p>
            <w:pPr>
              <w:pStyle w:val="Compact"/>
            </w:pPr>
            <w:r>
              <w:t xml:space="preserve">∂CVA/∂C_commodity</w:t>
            </w:r>
          </w:p>
        </w:tc>
        <w:tc>
          <w:tcPr/>
          <w:p>
            <w:pPr>
              <w:pStyle w:val="Compact"/>
            </w:pPr>
            <w:r>
              <w:t xml:space="preserve">Commodity swap counterparties</w:t>
            </w:r>
          </w:p>
        </w:tc>
      </w:tr>
    </w:tbl>
    <w:bookmarkEnd w:id="23"/>
    <w:bookmarkStart w:id="24" w:name="Xdb20d769f32e8c7acc53e7ce5dd0cd0cb98e1b1"/>
    <w:p>
      <w:pPr>
        <w:pStyle w:val="Heading3"/>
      </w:pPr>
      <w:r>
        <w:t xml:space="preserve">SA-CVA Delta Charge (Counterparty Credit Spread — implemented)</w:t>
      </w:r>
    </w:p>
    <w:p>
      <w:pPr>
        <w:pStyle w:val="SourceCode"/>
      </w:pPr>
      <w:r>
        <w:rPr>
          <w:rStyle w:val="VerbatimChar"/>
        </w:rPr>
        <w:t xml:space="preserve">delta_sens    = EAD_eff × M_eff × LGD</w:t>
      </w:r>
      <w:r>
        <w:br/>
      </w:r>
      <w:r>
        <w:br/>
      </w:r>
      <w:r>
        <w:rPr>
          <w:rStyle w:val="VerbatimChar"/>
        </w:rPr>
        <w:t xml:space="preserve">RW_spread     = Risk weight from MAR50.65 Table 7 (by sector bucket + IG/HY)</w:t>
      </w:r>
      <w:r>
        <w:br/>
      </w:r>
      <w:r>
        <w:br/>
      </w:r>
      <w:r>
        <w:rPr>
          <w:rStyle w:val="VerbatimChar"/>
        </w:rPr>
        <w:t xml:space="preserve">delta_charge  = RW_spread × delta_sens</w:t>
      </w:r>
      <w:r>
        <w:br/>
      </w:r>
      <w:r>
        <w:br/>
      </w:r>
      <w:r>
        <w:rPr>
          <w:rStyle w:val="VerbatimChar"/>
        </w:rPr>
        <w:t xml:space="preserve">Net weighted sensitivity (with hedge, MAR50.52–53):</w:t>
      </w:r>
      <w:r>
        <w:br/>
      </w:r>
      <w:r>
        <w:rPr>
          <w:rStyle w:val="VerbatimChar"/>
        </w:rPr>
        <w:t xml:space="preserve">  ws_hedge    = (1 − R) × ρ_hc × RW_spread × N_hedge × M_eff_hedge × LGD</w:t>
      </w:r>
      <w:r>
        <w:br/>
      </w:r>
      <w:r>
        <w:rPr>
          <w:rStyle w:val="VerbatimChar"/>
        </w:rPr>
        <w:t xml:space="preserve">  ws_net      = max(delta_charge − ws_hedge, 0)</w:t>
      </w:r>
      <w:r>
        <w:br/>
      </w:r>
      <w:r>
        <w:rPr>
          <w:rStyle w:val="VerbatimChar"/>
        </w:rPr>
        <w:t xml:space="preserve">  R = 0.01 (hedging disallowance parameter per MAR50.53)</w:t>
      </w:r>
      <w:r>
        <w:br/>
      </w:r>
      <w:r>
        <w:br/>
      </w:r>
      <w:r>
        <w:rPr>
          <w:rStyle w:val="VerbatimChar"/>
        </w:rPr>
        <w:t xml:space="preserve">rwa_delta     = ws_net × 12.5</w:t>
      </w:r>
    </w:p>
    <w:p>
      <w:pPr>
        <w:pStyle w:val="FirstParagraph"/>
      </w:pPr>
      <w:r>
        <w:rPr>
          <w:b/>
          <w:bCs/>
        </w:rPr>
        <w:t xml:space="preserve">FIX-05:</w:t>
      </w:r>
      <w:r>
        <w:t xml:space="preserve"> </w:t>
      </w:r>
      <w:r>
        <w:t xml:space="preserve">Original code selected RW by</w:t>
      </w:r>
      <w:r>
        <w:t xml:space="preserve"> </w:t>
      </w:r>
      <w:r>
        <w:rPr>
          <w:rStyle w:val="VerbatimChar"/>
        </w:rPr>
        <w:t xml:space="preserve">pd_1yr &lt; 0.02</w:t>
      </w:r>
      <w:r>
        <w:t xml:space="preserve"> </w:t>
      </w:r>
      <w:r>
        <w:t xml:space="preserve">(IG/HY split by PD threshold) — no MAR50 basis. The correct approach uses the</w:t>
      </w:r>
      <w:r>
        <w:t xml:space="preserve"> </w:t>
      </w:r>
      <w:r>
        <w:rPr>
          <w:b/>
          <w:bCs/>
        </w:rPr>
        <w:t xml:space="preserve">8-bucket sector structure</w:t>
      </w:r>
      <w:r>
        <w:t xml:space="preserve"> </w:t>
      </w:r>
      <w:r>
        <w:t xml:space="preserve">(Table 5 → Table 7):</w:t>
      </w:r>
    </w:p>
    <w:p>
      <w:pPr>
        <w:pStyle w:val="BodyText"/>
      </w:pPr>
      <w:r>
        <w:rPr>
          <w:b/>
          <w:bCs/>
        </w:rPr>
        <w:t xml:space="preserve">SA-CVA Risk Weights (MAR50.65 Table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Bucket</w:t>
            </w:r>
          </w:p>
        </w:tc>
        <w:tc>
          <w:tcPr/>
          <w:p>
            <w:pPr>
              <w:pStyle w:val="Compact"/>
            </w:pPr>
            <w:r>
              <w:t xml:space="preserve">Sector</w:t>
            </w:r>
          </w:p>
        </w:tc>
        <w:tc>
          <w:tcPr/>
          <w:p>
            <w:pPr>
              <w:pStyle w:val="Compact"/>
            </w:pPr>
            <w:r>
              <w:t xml:space="preserve">IG RW</w:t>
            </w:r>
          </w:p>
        </w:tc>
        <w:tc>
          <w:tcPr/>
          <w:p>
            <w:pPr>
              <w:pStyle w:val="Compact"/>
            </w:pPr>
            <w:r>
              <w:t xml:space="preserve">HY/NR RW</w:t>
            </w:r>
          </w:p>
        </w:tc>
      </w:tr>
      <w:tr>
        <w:tc>
          <w:tcPr/>
          <w:p>
            <w:pPr>
              <w:pStyle w:val="Compact"/>
            </w:pPr>
            <w:r>
              <w:t xml:space="preserve">1</w:t>
            </w:r>
          </w:p>
        </w:tc>
        <w:tc>
          <w:tcPr/>
          <w:p>
            <w:pPr>
              <w:pStyle w:val="Compact"/>
            </w:pPr>
            <w:r>
              <w:t xml:space="preserve">Sovereign / Muni</w:t>
            </w:r>
          </w:p>
        </w:tc>
        <w:tc>
          <w:tcPr/>
          <w:p>
            <w:pPr>
              <w:pStyle w:val="Compact"/>
            </w:pPr>
            <w:r>
              <w:t xml:space="preserve">0.5%</w:t>
            </w:r>
          </w:p>
        </w:tc>
        <w:tc>
          <w:tcPr/>
          <w:p>
            <w:pPr>
              <w:pStyle w:val="Compact"/>
            </w:pPr>
            <w:r>
              <w:t xml:space="preserve">2.0%</w:t>
            </w:r>
          </w:p>
        </w:tc>
      </w:tr>
      <w:tr>
        <w:tc>
          <w:tcPr/>
          <w:p>
            <w:pPr>
              <w:pStyle w:val="Compact"/>
            </w:pPr>
            <w:r>
              <w:t xml:space="preserve">2</w:t>
            </w:r>
          </w:p>
        </w:tc>
        <w:tc>
          <w:tcPr/>
          <w:p>
            <w:pPr>
              <w:pStyle w:val="Compact"/>
            </w:pPr>
            <w:r>
              <w:t xml:space="preserve">Financials</w:t>
            </w:r>
          </w:p>
        </w:tc>
        <w:tc>
          <w:tcPr/>
          <w:p>
            <w:pPr>
              <w:pStyle w:val="Compact"/>
            </w:pPr>
            <w:r>
              <w:t xml:space="preserve">1.0%</w:t>
            </w:r>
          </w:p>
        </w:tc>
        <w:tc>
          <w:tcPr/>
          <w:p>
            <w:pPr>
              <w:pStyle w:val="Compact"/>
            </w:pPr>
            <w:r>
              <w:t xml:space="preserve">4.0%</w:t>
            </w:r>
          </w:p>
        </w:tc>
      </w:tr>
      <w:tr>
        <w:tc>
          <w:tcPr/>
          <w:p>
            <w:pPr>
              <w:pStyle w:val="Compact"/>
            </w:pPr>
            <w:r>
              <w:t xml:space="preserve">3</w:t>
            </w:r>
          </w:p>
        </w:tc>
        <w:tc>
          <w:tcPr/>
          <w:p>
            <w:pPr>
              <w:pStyle w:val="Compact"/>
            </w:pPr>
            <w:r>
              <w:t xml:space="preserve">Industrials / Energy</w:t>
            </w:r>
          </w:p>
        </w:tc>
        <w:tc>
          <w:tcPr/>
          <w:p>
            <w:pPr>
              <w:pStyle w:val="Compact"/>
            </w:pPr>
            <w:r>
              <w:t xml:space="preserve">3.0%</w:t>
            </w:r>
          </w:p>
        </w:tc>
        <w:tc>
          <w:tcPr/>
          <w:p>
            <w:pPr>
              <w:pStyle w:val="Compact"/>
            </w:pPr>
            <w:r>
              <w:t xml:space="preserve">7.0%</w:t>
            </w:r>
          </w:p>
        </w:tc>
      </w:tr>
      <w:tr>
        <w:tc>
          <w:tcPr/>
          <w:p>
            <w:pPr>
              <w:pStyle w:val="Compact"/>
            </w:pPr>
            <w:r>
              <w:t xml:space="preserve">4</w:t>
            </w:r>
          </w:p>
        </w:tc>
        <w:tc>
          <w:tcPr/>
          <w:p>
            <w:pPr>
              <w:pStyle w:val="Compact"/>
            </w:pPr>
            <w:r>
              <w:t xml:space="preserve">Consumer</w:t>
            </w:r>
          </w:p>
        </w:tc>
        <w:tc>
          <w:tcPr/>
          <w:p>
            <w:pPr>
              <w:pStyle w:val="Compact"/>
            </w:pPr>
            <w:r>
              <w:t xml:space="preserve">3.0%</w:t>
            </w:r>
          </w:p>
        </w:tc>
        <w:tc>
          <w:tcPr/>
          <w:p>
            <w:pPr>
              <w:pStyle w:val="Compact"/>
            </w:pPr>
            <w:r>
              <w:t xml:space="preserve">8.5%</w:t>
            </w:r>
          </w:p>
        </w:tc>
      </w:tr>
      <w:tr>
        <w:tc>
          <w:tcPr/>
          <w:p>
            <w:pPr>
              <w:pStyle w:val="Compact"/>
            </w:pPr>
            <w:r>
              <w:t xml:space="preserve">5</w:t>
            </w:r>
          </w:p>
        </w:tc>
        <w:tc>
          <w:tcPr/>
          <w:p>
            <w:pPr>
              <w:pStyle w:val="Compact"/>
            </w:pPr>
            <w:r>
              <w:t xml:space="preserve">Technology / Telecom</w:t>
            </w:r>
          </w:p>
        </w:tc>
        <w:tc>
          <w:tcPr/>
          <w:p>
            <w:pPr>
              <w:pStyle w:val="Compact"/>
            </w:pPr>
            <w:r>
              <w:t xml:space="preserve">2.0%</w:t>
            </w:r>
          </w:p>
        </w:tc>
        <w:tc>
          <w:tcPr/>
          <w:p>
            <w:pPr>
              <w:pStyle w:val="Compact"/>
            </w:pPr>
            <w:r>
              <w:t xml:space="preserve">5.5%</w:t>
            </w:r>
          </w:p>
        </w:tc>
      </w:tr>
      <w:tr>
        <w:tc>
          <w:tcPr/>
          <w:p>
            <w:pPr>
              <w:pStyle w:val="Compact"/>
            </w:pPr>
            <w:r>
              <w:t xml:space="preserve">6</w:t>
            </w:r>
          </w:p>
        </w:tc>
        <w:tc>
          <w:tcPr/>
          <w:p>
            <w:pPr>
              <w:pStyle w:val="Compact"/>
            </w:pPr>
            <w:r>
              <w:t xml:space="preserve">Healthcare / Utilities</w:t>
            </w:r>
          </w:p>
        </w:tc>
        <w:tc>
          <w:tcPr/>
          <w:p>
            <w:pPr>
              <w:pStyle w:val="Compact"/>
            </w:pPr>
            <w:r>
              <w:t xml:space="preserve">1.5%</w:t>
            </w:r>
          </w:p>
        </w:tc>
        <w:tc>
          <w:tcPr/>
          <w:p>
            <w:pPr>
              <w:pStyle w:val="Compact"/>
            </w:pPr>
            <w:r>
              <w:t xml:space="preserve">5.0%</w:t>
            </w:r>
          </w:p>
        </w:tc>
      </w:tr>
      <w:tr>
        <w:tc>
          <w:tcPr/>
          <w:p>
            <w:pPr>
              <w:pStyle w:val="Compact"/>
            </w:pPr>
            <w:r>
              <w:t xml:space="preserve">7</w:t>
            </w:r>
          </w:p>
        </w:tc>
        <w:tc>
          <w:tcPr/>
          <w:p>
            <w:pPr>
              <w:pStyle w:val="Compact"/>
            </w:pPr>
            <w:r>
              <w:t xml:space="preserve">Other</w:t>
            </w:r>
          </w:p>
        </w:tc>
        <w:tc>
          <w:tcPr/>
          <w:p>
            <w:pPr>
              <w:pStyle w:val="Compact"/>
            </w:pPr>
            <w:r>
              <w:t xml:space="preserve">5.0%</w:t>
            </w:r>
          </w:p>
        </w:tc>
        <w:tc>
          <w:tcPr/>
          <w:p>
            <w:pPr>
              <w:pStyle w:val="Compact"/>
            </w:pPr>
            <w:r>
              <w:t xml:space="preserve">12.0%</w:t>
            </w:r>
          </w:p>
        </w:tc>
      </w:tr>
      <w:tr>
        <w:tc>
          <w:tcPr/>
          <w:p>
            <w:pPr>
              <w:pStyle w:val="Compact"/>
            </w:pPr>
            <w:r>
              <w:t xml:space="preserve">8</w:t>
            </w:r>
          </w:p>
        </w:tc>
        <w:tc>
          <w:tcPr/>
          <w:p>
            <w:pPr>
              <w:pStyle w:val="Compact"/>
            </w:pPr>
            <w:r>
              <w:t xml:space="preserve">Qualified Index</w:t>
            </w:r>
          </w:p>
        </w:tc>
        <w:tc>
          <w:tcPr/>
          <w:p>
            <w:pPr>
              <w:pStyle w:val="Compact"/>
            </w:pPr>
            <w:r>
              <w:t xml:space="preserve">1.5%</w:t>
            </w:r>
          </w:p>
        </w:tc>
        <w:tc>
          <w:tcPr/>
          <w:p>
            <w:pPr>
              <w:pStyle w:val="Compact"/>
            </w:pPr>
            <w:r>
              <w:t xml:space="preserve">5.0%</w:t>
            </w:r>
          </w:p>
        </w:tc>
      </w:tr>
    </w:tbl>
    <w:bookmarkEnd w:id="24"/>
    <w:bookmarkStart w:id="25" w:name="five-vega-risk-classes-mar50.45-mar50.48"/>
    <w:p>
      <w:pPr>
        <w:pStyle w:val="Heading3"/>
      </w:pPr>
      <w:r>
        <w:t xml:space="preserve">Five Vega Risk Classes (MAR50.45, MAR50.48)</w:t>
      </w:r>
    </w:p>
    <w:p>
      <w:pPr>
        <w:pStyle w:val="FirstParagraph"/>
      </w:pPr>
      <w:r>
        <w:rPr>
          <w:b/>
          <w:bCs/>
        </w:rPr>
        <w:t xml:space="preserve">FIX-06:</w:t>
      </w:r>
      <w:r>
        <w:t xml:space="preserve"> </w:t>
      </w:r>
      <w:r>
        <w:t xml:space="preserve">MAR50.48 states vega must</w:t>
      </w:r>
      <w:r>
        <w:t xml:space="preserve"> </w:t>
      </w:r>
      <w:r>
        <w:rPr>
          <w:b/>
          <w:bCs/>
        </w:rPr>
        <w:t xml:space="preserve">always</w:t>
      </w:r>
      <w:r>
        <w:t xml:space="preserve"> </w:t>
      </w:r>
      <w:r>
        <w:t xml:space="preserve">be computed — it is not optional even for non-option portfolios. Vega arises from the volatility parameters (σ) in the exposure simulation model (Hull-White σ_r for IRS, Black-Scholes σ_eq for equity derivatives).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Vega Risk Class</w:t>
            </w:r>
          </w:p>
        </w:tc>
        <w:tc>
          <w:tcPr/>
          <w:p>
            <w:pPr>
              <w:pStyle w:val="Compact"/>
            </w:pPr>
            <w:r>
              <w:t xml:space="preserve">Description</w:t>
            </w:r>
          </w:p>
        </w:tc>
      </w:tr>
      <w:tr>
        <w:tc>
          <w:tcPr/>
          <w:p>
            <w:pPr>
              <w:pStyle w:val="Compact"/>
            </w:pPr>
            <w:r>
              <w:t xml:space="preserve">GIRR Vega</w:t>
            </w:r>
          </w:p>
        </w:tc>
        <w:tc>
          <w:tcPr/>
          <w:p>
            <w:pPr>
              <w:pStyle w:val="Compact"/>
            </w:pPr>
            <w:r>
              <w:t xml:space="preserve">∂CVA/∂σ_IR (swaption vol surface)</w:t>
            </w:r>
          </w:p>
        </w:tc>
      </w:tr>
      <w:tr>
        <w:tc>
          <w:tcPr/>
          <w:p>
            <w:pPr>
              <w:pStyle w:val="Compact"/>
            </w:pPr>
            <w:r>
              <w:t xml:space="preserve">FX Vega</w:t>
            </w:r>
          </w:p>
        </w:tc>
        <w:tc>
          <w:tcPr/>
          <w:p>
            <w:pPr>
              <w:pStyle w:val="Compact"/>
            </w:pPr>
            <w:r>
              <w:t xml:space="preserve">∂CVA/∂σ_FX (FX option vol)</w:t>
            </w:r>
          </w:p>
        </w:tc>
      </w:tr>
      <w:tr>
        <w:tc>
          <w:tcPr/>
          <w:p>
            <w:pPr>
              <w:pStyle w:val="Compact"/>
            </w:pPr>
            <w:r>
              <w:t xml:space="preserve">Reference Credit Spread Vega</w:t>
            </w:r>
          </w:p>
        </w:tc>
        <w:tc>
          <w:tcPr/>
          <w:p>
            <w:pPr>
              <w:pStyle w:val="Compact"/>
            </w:pPr>
            <w:r>
              <w:t xml:space="preserve">∂CVA/∂σ_spread (CDS options)</w:t>
            </w:r>
          </w:p>
        </w:tc>
      </w:tr>
      <w:tr>
        <w:tc>
          <w:tcPr/>
          <w:p>
            <w:pPr>
              <w:pStyle w:val="Compact"/>
            </w:pPr>
            <w:r>
              <w:t xml:space="preserve">Equity Vega</w:t>
            </w:r>
          </w:p>
        </w:tc>
        <w:tc>
          <w:tcPr/>
          <w:p>
            <w:pPr>
              <w:pStyle w:val="Compact"/>
            </w:pPr>
            <w:r>
              <w:t xml:space="preserve">∂CVA/∂σ_equity (equity option vol)</w:t>
            </w:r>
          </w:p>
        </w:tc>
      </w:tr>
      <w:tr>
        <w:tc>
          <w:tcPr/>
          <w:p>
            <w:pPr>
              <w:pStyle w:val="Compact"/>
            </w:pPr>
            <w:r>
              <w:t xml:space="preserve">Commodity Vega</w:t>
            </w:r>
          </w:p>
        </w:tc>
        <w:tc>
          <w:tcPr/>
          <w:p>
            <w:pPr>
              <w:pStyle w:val="Compact"/>
            </w:pPr>
            <w:r>
              <w:t xml:space="preserve">∂CVA/∂σ_commodity</w:t>
            </w:r>
          </w:p>
        </w:tc>
      </w:tr>
    </w:tbl>
    <w:p>
      <w:pPr>
        <w:pStyle w:val="BodyText"/>
      </w:pPr>
      <w:r>
        <w:t xml:space="preserve">Note:</w:t>
      </w:r>
      <w:r>
        <w:t xml:space="preserve"> </w:t>
      </w:r>
      <w:r>
        <w:rPr>
          <w:b/>
          <w:bCs/>
        </w:rPr>
        <w:t xml:space="preserve">No counterparty credit spread vega</w:t>
      </w:r>
      <w:r>
        <w:t xml:space="preserve"> </w:t>
      </w:r>
      <w:r>
        <w:t xml:space="preserve">per MAR50.45 (CCSR is not a vega risk class).</w:t>
      </w:r>
    </w:p>
    <w:p>
      <w:r>
        <w:pict>
          <v:rect style="width:0;height:1.5pt" o:hralign="center" o:hrstd="t" o:hr="t"/>
        </w:pict>
      </w:r>
    </w:p>
    <w:bookmarkEnd w:id="25"/>
    <w:bookmarkEnd w:id="26"/>
    <w:bookmarkStart w:id="29" w:name="Xd9250e41cc7fe7af979b54afc50b0dae38abb98"/>
    <w:p>
      <w:pPr>
        <w:pStyle w:val="Heading2"/>
      </w:pPr>
      <w:r>
        <w:t xml:space="preserve">7. CVA Engine — Method Routing and Fallback Logic</w:t>
      </w:r>
    </w:p>
    <w:bookmarkStart w:id="27" w:name="routing-decision-tree"/>
    <w:p>
      <w:pPr>
        <w:pStyle w:val="Heading3"/>
      </w:pPr>
      <w:r>
        <w:t xml:space="preserve">Routing Decision Tree</w:t>
      </w:r>
    </w:p>
    <w:p>
      <w:pPr>
        <w:pStyle w:val="SourceCode"/>
      </w:pPr>
      <w:r>
        <w:rPr>
          <w:rStyle w:val="NormalTok"/>
        </w:rPr>
        <w:t xml:space="preserve">compute_portfolio_cva(inputs, total_ccr_rwa, total_notional_eur</w:t>
      </w:r>
      <w:r>
        <w:rPr>
          <w:rStyle w:val="OperatorTok"/>
        </w:rPr>
        <w:t xml:space="preserve">=</w:t>
      </w:r>
      <w:r>
        <w:rPr>
          <w:rStyle w:val="NormalTok"/>
        </w:rPr>
        <w:t xml:space="preserve">...)</w:t>
      </w:r>
      <w:r>
        <w:br/>
      </w:r>
      <w:r>
        <w:br/>
      </w:r>
      <w:r>
        <w:rPr>
          <w:rStyle w:val="NormalTok"/>
        </w:rPr>
        <w:t xml:space="preserve">Step </w:t>
      </w:r>
      <w:r>
        <w:rPr>
          <w:rStyle w:val="DecValTok"/>
        </w:rPr>
        <w:t xml:space="preserve">1</w:t>
      </w:r>
      <w:r>
        <w:rPr>
          <w:rStyle w:val="NormalTok"/>
        </w:rPr>
        <w:t xml:space="preserve">: Materiality check (MAR50</w:t>
      </w:r>
      <w:r>
        <w:rPr>
          <w:rStyle w:val="FloatTok"/>
        </w:rPr>
        <w:t xml:space="preserve">.9</w:t>
      </w:r>
      <w:r>
        <w:rPr>
          <w:rStyle w:val="NormalTok"/>
        </w:rPr>
        <w:t xml:space="preserve">)</w:t>
      </w:r>
      <w:r>
        <w:br/>
      </w:r>
      <w:r>
        <w:rPr>
          <w:rStyle w:val="NormalTok"/>
        </w:rPr>
        <w:t xml:space="preserve">        </w:t>
      </w:r>
      <w:r>
        <w:rPr>
          <w:rStyle w:val="ControlFlowTok"/>
        </w:rPr>
        <w:t xml:space="preserve">if</w:t>
      </w:r>
      <w:r>
        <w:rPr>
          <w:rStyle w:val="NormalTok"/>
        </w:rPr>
        <w:t xml:space="preserve"> total_notional_eur ≤ </w:t>
      </w:r>
      <w:r>
        <w:rPr>
          <w:rStyle w:val="DecValTok"/>
        </w:rPr>
        <w:t xml:space="preserve">100</w:t>
      </w:r>
      <w:r>
        <w:rPr>
          <w:rStyle w:val="ErrorTok"/>
        </w:rPr>
        <w:t xml:space="preserve">bn</w:t>
      </w:r>
      <w:r>
        <w:rPr>
          <w:rStyle w:val="NormalTok"/>
        </w:rPr>
        <w:t xml:space="preserve"> EUR:</w:t>
      </w:r>
      <w:r>
        <w:br/>
      </w:r>
      <w:r>
        <w:rPr>
          <w:rStyle w:val="NormalTok"/>
        </w:rPr>
        <w:t xml:space="preserve">            </w:t>
      </w:r>
      <w:r>
        <w:rPr>
          <w:rStyle w:val="ControlFlowTok"/>
        </w:rPr>
        <w:t xml:space="preserve">return</w:t>
      </w:r>
      <w:r>
        <w:rPr>
          <w:rStyle w:val="NormalTok"/>
        </w:rPr>
        <w:t xml:space="preserve"> CCR_PROXY (cva_rwa </w:t>
      </w:r>
      <w:r>
        <w:rPr>
          <w:rStyle w:val="OperatorTok"/>
        </w:rPr>
        <w:t xml:space="preserve">=</w:t>
      </w:r>
      <w:r>
        <w:rPr>
          <w:rStyle w:val="NormalTok"/>
        </w:rPr>
        <w:t xml:space="preserve"> total_ccr_rwa)</w:t>
      </w:r>
      <w:r>
        <w:br/>
      </w:r>
      <w:r>
        <w:br/>
      </w:r>
      <w:r>
        <w:rPr>
          <w:rStyle w:val="NormalTok"/>
        </w:rPr>
        <w:t xml:space="preserve">Step </w:t>
      </w:r>
      <w:r>
        <w:rPr>
          <w:rStyle w:val="DecValTok"/>
        </w:rPr>
        <w:t xml:space="preserve">2</w:t>
      </w:r>
      <w:r>
        <w:rPr>
          <w:rStyle w:val="NormalTok"/>
        </w:rPr>
        <w:t xml:space="preserve">: Enrich missing spreads (_enrich_missing_spreads)</w:t>
      </w:r>
      <w:r>
        <w:br/>
      </w:r>
      <w:r>
        <w:rPr>
          <w:rStyle w:val="NormalTok"/>
        </w:rPr>
        <w:t xml:space="preserve">        </w:t>
      </w:r>
      <w:r>
        <w:rPr>
          <w:rStyle w:val="ControlFlowTok"/>
        </w:rPr>
        <w:t xml:space="preserve">for</w:t>
      </w:r>
      <w:r>
        <w:rPr>
          <w:rStyle w:val="NormalTok"/>
        </w:rPr>
        <w:t xml:space="preserve"> each counterparty without credit_spread_bps:</w:t>
      </w:r>
      <w:r>
        <w:br/>
      </w:r>
      <w:r>
        <w:rPr>
          <w:rStyle w:val="NormalTok"/>
        </w:rPr>
        <w:t xml:space="preserve">            Tier </w:t>
      </w:r>
      <w:r>
        <w:rPr>
          <w:rStyle w:val="DecValTok"/>
        </w:rPr>
        <w:t xml:space="preserve">1</w:t>
      </w:r>
      <w:r>
        <w:rPr>
          <w:rStyle w:val="NormalTok"/>
        </w:rPr>
        <w:t xml:space="preserve">: sector</w:t>
      </w:r>
      <w:r>
        <w:rPr>
          <w:rStyle w:val="OperatorTok"/>
        </w:rPr>
        <w:t xml:space="preserve">/</w:t>
      </w:r>
      <w:r>
        <w:rPr>
          <w:rStyle w:val="NormalTok"/>
        </w:rPr>
        <w:t xml:space="preserve">credit_quality</w:t>
      </w:r>
      <w:r>
        <w:rPr>
          <w:rStyle w:val="OperatorTok"/>
        </w:rPr>
        <w:t xml:space="preserve">/</w:t>
      </w:r>
      <w:r>
        <w:rPr>
          <w:rStyle w:val="NormalTok"/>
        </w:rPr>
        <w:t xml:space="preserve">region peer lookup</w:t>
      </w:r>
      <w:r>
        <w:br/>
      </w:r>
      <w:r>
        <w:rPr>
          <w:rStyle w:val="NormalTok"/>
        </w:rPr>
        <w:t xml:space="preserve">            Tier </w:t>
      </w:r>
      <w:r>
        <w:rPr>
          <w:rStyle w:val="DecValTok"/>
        </w:rPr>
        <w:t xml:space="preserve">2</w:t>
      </w:r>
      <w:r>
        <w:rPr>
          <w:rStyle w:val="NormalTok"/>
        </w:rPr>
        <w:t xml:space="preserve">: live IG</w:t>
      </w:r>
      <w:r>
        <w:rPr>
          <w:rStyle w:val="OperatorTok"/>
        </w:rPr>
        <w:t xml:space="preserve">/</w:t>
      </w:r>
      <w:r>
        <w:rPr>
          <w:rStyle w:val="NormalTok"/>
        </w:rPr>
        <w:t xml:space="preserve">HY market index spread</w:t>
      </w:r>
      <w:r>
        <w:br/>
      </w:r>
      <w:r>
        <w:br/>
      </w:r>
      <w:r>
        <w:rPr>
          <w:rStyle w:val="NormalTok"/>
        </w:rPr>
        <w:t xml:space="preserve">Step </w:t>
      </w:r>
      <w:r>
        <w:rPr>
          <w:rStyle w:val="DecValTok"/>
        </w:rPr>
        <w:t xml:space="preserve">3</w:t>
      </w:r>
      <w:r>
        <w:rPr>
          <w:rStyle w:val="NormalTok"/>
        </w:rPr>
        <w:t xml:space="preserve">: Eligibility check per counterparty</w:t>
      </w:r>
      <w:r>
        <w:br/>
      </w:r>
      <w:r>
        <w:rPr>
          <w:rStyle w:val="NormalTok"/>
        </w:rPr>
        <w:t xml:space="preserve">        SA</w:t>
      </w:r>
      <w:r>
        <w:rPr>
          <w:rStyle w:val="OperatorTok"/>
        </w:rPr>
        <w:t xml:space="preserve">-</w:t>
      </w:r>
      <w:r>
        <w:rPr>
          <w:rStyle w:val="NormalTok"/>
        </w:rPr>
        <w:t xml:space="preserve">CVA eligible </w:t>
      </w:r>
      <w:r>
        <w:rPr>
          <w:rStyle w:val="ControlFlowTok"/>
        </w:rPr>
        <w:t xml:space="preserve">if</w:t>
      </w:r>
      <w:r>
        <w:rPr>
          <w:rStyle w:val="NormalTok"/>
        </w:rPr>
        <w:t xml:space="preserve">:</w:t>
      </w:r>
      <w:r>
        <w:br/>
      </w:r>
      <w:r>
        <w:rPr>
          <w:rStyle w:val="NormalTok"/>
        </w:rPr>
        <w:t xml:space="preserve">            sa_cva_approved </w:t>
      </w:r>
      <w:r>
        <w:rPr>
          <w:rStyle w:val="OperatorTok"/>
        </w:rPr>
        <w:t xml:space="preserve">=</w:t>
      </w:r>
      <w:r>
        <w:rPr>
          <w:rStyle w:val="NormalTok"/>
        </w:rPr>
        <w:t xml:space="preserve"> </w:t>
      </w:r>
      <w:r>
        <w:rPr>
          <w:rStyle w:val="VariableTok"/>
        </w:rPr>
        <w:t xml:space="preserve">True</w:t>
      </w:r>
      <w:r>
        <w:br/>
      </w:r>
      <w:r>
        <w:rPr>
          <w:rStyle w:val="NormalTok"/>
        </w:rPr>
        <w:t xml:space="preserve">            credit_spread_bps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rPr>
          <w:rStyle w:val="NormalTok"/>
        </w:rPr>
        <w:t xml:space="preserve">            spread_source </w:t>
      </w:r>
      <w:r>
        <w:rPr>
          <w:rStyle w:val="OperatorTok"/>
        </w:rPr>
        <w:t xml:space="preserve">=</w:t>
      </w:r>
      <w:r>
        <w:rPr>
          <w:rStyle w:val="NormalTok"/>
        </w:rPr>
        <w:t xml:space="preserve"> </w:t>
      </w:r>
      <w:r>
        <w:rPr>
          <w:rStyle w:val="StringTok"/>
        </w:rPr>
        <w:t xml:space="preserve">'LIVE'</w:t>
      </w:r>
      <w:r>
        <w:rPr>
          <w:rStyle w:val="NormalTok"/>
        </w:rPr>
        <w:t xml:space="preserve">  (proxy spreads → BA</w:t>
      </w:r>
      <w:r>
        <w:rPr>
          <w:rStyle w:val="OperatorTok"/>
        </w:rPr>
        <w:t xml:space="preserve">-</w:t>
      </w:r>
      <w:r>
        <w:rPr>
          <w:rStyle w:val="NormalTok"/>
        </w:rPr>
        <w:t xml:space="preserve">CVA)</w:t>
      </w:r>
      <w:r>
        <w:br/>
      </w:r>
      <w:r>
        <w:br/>
      </w:r>
      <w:r>
        <w:rPr>
          <w:rStyle w:val="NormalTok"/>
        </w:rPr>
        <w:t xml:space="preserve">Step </w:t>
      </w:r>
      <w:r>
        <w:rPr>
          <w:rStyle w:val="DecValTok"/>
        </w:rPr>
        <w:t xml:space="preserve">4</w:t>
      </w:r>
      <w:r>
        <w:rPr>
          <w:rStyle w:val="NormalTok"/>
        </w:rPr>
        <w:t xml:space="preserve">: Route to SA</w:t>
      </w:r>
      <w:r>
        <w:rPr>
          <w:rStyle w:val="OperatorTok"/>
        </w:rPr>
        <w:t xml:space="preserve">-</w:t>
      </w:r>
      <w:r>
        <w:rPr>
          <w:rStyle w:val="NormalTok"/>
        </w:rPr>
        <w:t xml:space="preserve">CVA </w:t>
      </w:r>
      <w:r>
        <w:rPr>
          <w:rStyle w:val="KeywordTok"/>
        </w:rPr>
        <w:t xml:space="preserve">or</w:t>
      </w:r>
      <w:r>
        <w:rPr>
          <w:rStyle w:val="NormalTok"/>
        </w:rPr>
        <w:t xml:space="preserve"> BA</w:t>
      </w:r>
      <w:r>
        <w:rPr>
          <w:rStyle w:val="OperatorTok"/>
        </w:rPr>
        <w:t xml:space="preserve">-</w:t>
      </w:r>
      <w:r>
        <w:rPr>
          <w:rStyle w:val="NormalTok"/>
        </w:rPr>
        <w:t xml:space="preserve">CVA</w:t>
      </w:r>
      <w:r>
        <w:br/>
      </w:r>
      <w:r>
        <w:br/>
      </w:r>
      <w:r>
        <w:rPr>
          <w:rStyle w:val="NormalTok"/>
        </w:rPr>
        <w:t xml:space="preserve">Step </w:t>
      </w:r>
      <w:r>
        <w:rPr>
          <w:rStyle w:val="DecValTok"/>
        </w:rPr>
        <w:t xml:space="preserve">5</w:t>
      </w:r>
      <w:r>
        <w:rPr>
          <w:rStyle w:val="NormalTok"/>
        </w:rPr>
        <w:t xml:space="preserve">: Record fallback trace codes </w:t>
      </w:r>
      <w:r>
        <w:rPr>
          <w:rStyle w:val="ControlFlowTok"/>
        </w:rPr>
        <w:t xml:space="preserve">for</w:t>
      </w:r>
      <w:r>
        <w:rPr>
          <w:rStyle w:val="NormalTok"/>
        </w:rPr>
        <w:t xml:space="preserve"> </w:t>
      </w:r>
      <w:r>
        <w:rPr>
          <w:rStyle w:val="BuiltInTok"/>
        </w:rPr>
        <w:t xml:space="preserve">all</w:t>
      </w:r>
      <w:r>
        <w:rPr>
          <w:rStyle w:val="NormalTok"/>
        </w:rPr>
        <w:t xml:space="preserve"> BA</w:t>
      </w:r>
      <w:r>
        <w:rPr>
          <w:rStyle w:val="OperatorTok"/>
        </w:rPr>
        <w:t xml:space="preserve">-</w:t>
      </w:r>
      <w:r>
        <w:rPr>
          <w:rStyle w:val="NormalTok"/>
        </w:rPr>
        <w:t xml:space="preserve">CVA counterparties</w:t>
      </w:r>
    </w:p>
    <w:bookmarkEnd w:id="27"/>
    <w:bookmarkStart w:id="28" w:name="fallback-trace-codes"/>
    <w:p>
      <w:pPr>
        <w:pStyle w:val="Heading3"/>
      </w:pPr>
      <w:r>
        <w:t xml:space="preserve">Fallback Trace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Reason</w:t>
            </w:r>
          </w:p>
        </w:tc>
        <w:tc>
          <w:tcPr/>
          <w:p>
            <w:pPr>
              <w:pStyle w:val="Compact"/>
            </w:pPr>
            <w:r>
              <w:t xml:space="preserve">Action</w:t>
            </w:r>
          </w:p>
        </w:tc>
      </w:tr>
      <w:tr>
        <w:tc>
          <w:tcPr/>
          <w:p>
            <w:pPr>
              <w:pStyle w:val="Compact"/>
            </w:pPr>
            <w:r>
              <w:rPr>
                <w:rStyle w:val="VerbatimChar"/>
              </w:rPr>
              <w:t xml:space="preserve">NO_SA_APPROVAL</w:t>
            </w:r>
          </w:p>
        </w:tc>
        <w:tc>
          <w:tcPr/>
          <w:p>
            <w:pPr>
              <w:pStyle w:val="Compact"/>
            </w:pPr>
            <w:r>
              <w:t xml:space="preserve">SA-CVA not approved by supervisor</w:t>
            </w:r>
          </w:p>
        </w:tc>
        <w:tc>
          <w:tcPr/>
          <w:p>
            <w:pPr>
              <w:pStyle w:val="Compact"/>
            </w:pPr>
            <w:r>
              <w:t xml:space="preserve">Apply for approval; document model</w:t>
            </w:r>
          </w:p>
        </w:tc>
      </w:tr>
      <w:tr>
        <w:tc>
          <w:tcPr/>
          <w:p>
            <w:pPr>
              <w:pStyle w:val="Compact"/>
            </w:pPr>
            <w:r>
              <w:rPr>
                <w:rStyle w:val="VerbatimChar"/>
              </w:rPr>
              <w:t xml:space="preserve">MISSING_SPREADS</w:t>
            </w:r>
          </w:p>
        </w:tc>
        <w:tc>
          <w:tcPr/>
          <w:p>
            <w:pPr>
              <w:pStyle w:val="Compact"/>
            </w:pPr>
            <w:r>
              <w:t xml:space="preserve">No CDS spread data</w:t>
            </w:r>
          </w:p>
        </w:tc>
        <w:tc>
          <w:tcPr/>
          <w:p>
            <w:pPr>
              <w:pStyle w:val="Compact"/>
            </w:pPr>
            <w:r>
              <w:t xml:space="preserve">Engage credit desk for proxy spreads</w:t>
            </w:r>
          </w:p>
        </w:tc>
      </w:tr>
      <w:tr>
        <w:tc>
          <w:tcPr/>
          <w:p>
            <w:pPr>
              <w:pStyle w:val="Compact"/>
            </w:pPr>
            <w:r>
              <w:rPr>
                <w:rStyle w:val="VerbatimChar"/>
              </w:rPr>
              <w:t xml:space="preserve">BELOW_THRESHOLD</w:t>
            </w:r>
          </w:p>
        </w:tc>
        <w:tc>
          <w:tcPr/>
          <w:p>
            <w:pPr>
              <w:pStyle w:val="Compact"/>
            </w:pPr>
            <w:r>
              <w:t xml:space="preserve">Notional ≤ EUR 100bn</w:t>
            </w:r>
          </w:p>
        </w:tc>
        <w:tc>
          <w:tcPr/>
          <w:p>
            <w:pPr>
              <w:pStyle w:val="Compact"/>
            </w:pPr>
            <w:r>
              <w:t xml:space="preserve">CCR proxy applied — simpler calculation</w:t>
            </w:r>
          </w:p>
        </w:tc>
      </w:tr>
      <w:tr>
        <w:tc>
          <w:tcPr/>
          <w:p>
            <w:pPr>
              <w:pStyle w:val="Compact"/>
            </w:pPr>
            <w:r>
              <w:rPr>
                <w:rStyle w:val="VerbatimChar"/>
              </w:rPr>
              <w:t xml:space="preserve">HEDGES_INELIGIBLE</w:t>
            </w:r>
          </w:p>
        </w:tc>
        <w:tc>
          <w:tcPr/>
          <w:p>
            <w:pPr>
              <w:pStyle w:val="Compact"/>
            </w:pPr>
            <w:r>
              <w:t xml:space="preserve">CVA hedges don’t meet MAR50 eligibility</w:t>
            </w:r>
          </w:p>
        </w:tc>
        <w:tc>
          <w:tcPr/>
          <w:p>
            <w:pPr>
              <w:pStyle w:val="Compact"/>
            </w:pPr>
            <w:r>
              <w:t xml:space="preserve">Review hedge documentation</w:t>
            </w:r>
          </w:p>
        </w:tc>
      </w:tr>
      <w:tr>
        <w:tc>
          <w:tcPr/>
          <w:p>
            <w:pPr>
              <w:pStyle w:val="Compact"/>
            </w:pPr>
            <w:r>
              <w:rPr>
                <w:rStyle w:val="VerbatimChar"/>
              </w:rPr>
              <w:t xml:space="preserve">MODEL_LIMITATION</w:t>
            </w:r>
          </w:p>
        </w:tc>
        <w:tc>
          <w:tcPr/>
          <w:p>
            <w:pPr>
              <w:pStyle w:val="Compact"/>
            </w:pPr>
            <w:r>
              <w:t xml:space="preserve">Trade type not validated in CVA model</w:t>
            </w:r>
          </w:p>
        </w:tc>
        <w:tc>
          <w:tcPr/>
          <w:p>
            <w:pPr>
              <w:pStyle w:val="Compact"/>
            </w:pPr>
            <w:r>
              <w:t xml:space="preserve">Extend model or apply BA-CVA</w:t>
            </w:r>
          </w:p>
        </w:tc>
      </w:tr>
    </w:tbl>
    <w:p>
      <w:r>
        <w:pict>
          <v:rect style="width:0;height:1.5pt" o:hralign="center" o:hrstd="t" o:hr="t"/>
        </w:pict>
      </w:r>
    </w:p>
    <w:bookmarkEnd w:id="28"/>
    <w:bookmarkEnd w:id="29"/>
    <w:bookmarkStart w:id="30" w:name="proxy-spread-cascade-mar50.323"/>
    <w:p>
      <w:pPr>
        <w:pStyle w:val="Heading2"/>
      </w:pPr>
      <w:r>
        <w:t xml:space="preserve">8. Proxy Spread Cascade (MAR50.32(3))</w:t>
      </w:r>
    </w:p>
    <w:p>
      <w:pPr>
        <w:pStyle w:val="FirstParagraph"/>
      </w:pPr>
      <w:r>
        <w:t xml:space="preserve">For illiquid counterparties without traded CDS, banks must estimate credit spreads:</w:t>
      </w:r>
    </w:p>
    <w:p>
      <w:pPr>
        <w:pStyle w:val="SourceCode"/>
      </w:pPr>
      <w:r>
        <w:rPr>
          <w:rStyle w:val="VerbatimChar"/>
        </w:rPr>
        <w:t xml:space="preserve">Tier 1: Sector / credit_quality / region peer lookup</w:t>
      </w:r>
      <w:r>
        <w:br/>
      </w:r>
      <w:r>
        <w:rPr>
          <w:rStyle w:val="VerbatimChar"/>
        </w:rPr>
        <w:t xml:space="preserve">        → estimate_proxy_spread(sector, credit_quality, region)</w:t>
      </w:r>
      <w:r>
        <w:br/>
      </w:r>
      <w:r>
        <w:rPr>
          <w:rStyle w:val="VerbatimChar"/>
        </w:rPr>
        <w:t xml:space="preserve">        → Must be calibrated to liquid CDS peers monthly</w:t>
      </w:r>
      <w:r>
        <w:br/>
      </w:r>
      <w:r>
        <w:br/>
      </w:r>
      <w:r>
        <w:rPr>
          <w:rStyle w:val="VerbatimChar"/>
        </w:rPr>
        <w:t xml:space="preserve">Tier 2: Live market index spread</w:t>
      </w:r>
      <w:r>
        <w:br/>
      </w:r>
      <w:r>
        <w:rPr>
          <w:rStyle w:val="VerbatimChar"/>
        </w:rPr>
        <w:t xml:space="preserve">        → IG counterparty → CDX IG (FRED BAMLC0A0CM)</w:t>
      </w:r>
      <w:r>
        <w:br/>
      </w:r>
      <w:r>
        <w:rPr>
          <w:rStyle w:val="VerbatimChar"/>
        </w:rPr>
        <w:t xml:space="preserve">        → HY/NR counterparty → CDX HY (FRED BAMLH0A0HYM2)</w:t>
      </w:r>
    </w:p>
    <w:p>
      <w:pPr>
        <w:pStyle w:val="FirstParagraph"/>
      </w:pPr>
      <w:r>
        <w:rPr>
          <w:b/>
          <w:bCs/>
        </w:rPr>
        <w:t xml:space="preserve">MAR50.40 compliance:</w:t>
      </w:r>
      <w:r>
        <w:t xml:space="preserve"> </w:t>
      </w:r>
      <w:r>
        <w:t xml:space="preserve">Proxy spreads (spread_source ≠</w:t>
      </w:r>
      <w:r>
        <w:t xml:space="preserve"> </w:t>
      </w:r>
      <w:r>
        <w:t xml:space="preserve">‘LIVE’</w:t>
      </w:r>
      <w:r>
        <w:t xml:space="preserve">) are</w:t>
      </w:r>
      <w:r>
        <w:t xml:space="preserve"> </w:t>
      </w:r>
      <w:r>
        <w:rPr>
          <w:b/>
          <w:bCs/>
        </w:rPr>
        <w:t xml:space="preserve">not eligible</w:t>
      </w:r>
      <w:r>
        <w:t xml:space="preserve"> </w:t>
      </w:r>
      <w:r>
        <w:t xml:space="preserve">for SA-CVA. They route to BA-CVA. SA-CVA requires observable market credit spreads.</w:t>
      </w:r>
    </w:p>
    <w:p>
      <w:pPr>
        <w:pStyle w:val="BodyText"/>
      </w:pPr>
      <w:r>
        <w:rPr>
          <w:b/>
          <w:bCs/>
        </w:rPr>
        <w:t xml:space="preserve">Audit trail:</w:t>
      </w:r>
      <w:r>
        <w:t xml:space="preserve"> </w:t>
      </w:r>
      <w:r>
        <w:t xml:space="preserve">Every CVAResult carries</w:t>
      </w:r>
      <w:r>
        <w:t xml:space="preserve"> </w:t>
      </w:r>
      <w:r>
        <w:rPr>
          <w:rStyle w:val="VerbatimChar"/>
        </w:rPr>
        <w:t xml:space="preserve">spread_source</w:t>
      </w:r>
      <w:r>
        <w:t xml:space="preserve"> </w:t>
      </w:r>
      <w:r>
        <w:t xml:space="preserve">field:</w:t>
      </w:r>
      <w:r>
        <w:t xml:space="preserve"> </w:t>
      </w:r>
      <w:r>
        <w:t xml:space="preserve">-</w:t>
      </w:r>
      <w:r>
        <w:t xml:space="preserve"> </w:t>
      </w:r>
      <w:r>
        <w:rPr>
          <w:rStyle w:val="VerbatimChar"/>
        </w:rPr>
        <w:t xml:space="preserve">LIVE</w:t>
      </w:r>
      <w:r>
        <w:t xml:space="preserve"> </w:t>
      </w:r>
      <w:r>
        <w:t xml:space="preserve">— direct CDS market data</w:t>
      </w:r>
      <w:r>
        <w:t xml:space="preserve"> </w:t>
      </w:r>
      <w:r>
        <w:t xml:space="preserve">-</w:t>
      </w:r>
      <w:r>
        <w:t xml:space="preserve"> </w:t>
      </w:r>
      <w:r>
        <w:rPr>
          <w:rStyle w:val="VerbatimChar"/>
        </w:rPr>
        <w:t xml:space="preserve">PROXY_SECTOR</w:t>
      </w:r>
      <w:r>
        <w:t xml:space="preserve"> </w:t>
      </w:r>
      <w:r>
        <w:t xml:space="preserve">— from peer lookup table</w:t>
      </w:r>
      <w:r>
        <w:t xml:space="preserve"> </w:t>
      </w:r>
      <w:r>
        <w:t xml:space="preserve">-</w:t>
      </w:r>
      <w:r>
        <w:t xml:space="preserve"> </w:t>
      </w:r>
      <w:r>
        <w:rPr>
          <w:rStyle w:val="VerbatimChar"/>
        </w:rPr>
        <w:t xml:space="preserve">PROXY_INDEX_IG</w:t>
      </w:r>
      <w:r>
        <w:t xml:space="preserve"> </w:t>
      </w:r>
      <w:r>
        <w:t xml:space="preserve">— from CDX IG index</w:t>
      </w:r>
      <w:r>
        <w:t xml:space="preserve"> </w:t>
      </w:r>
      <w:r>
        <w:t xml:space="preserve">-</w:t>
      </w:r>
      <w:r>
        <w:t xml:space="preserve"> </w:t>
      </w:r>
      <w:r>
        <w:rPr>
          <w:rStyle w:val="VerbatimChar"/>
        </w:rPr>
        <w:t xml:space="preserve">PROXY_INDEX_HY</w:t>
      </w:r>
      <w:r>
        <w:t xml:space="preserve"> </w:t>
      </w:r>
      <w:r>
        <w:t xml:space="preserve">— from CDX HY index</w:t>
      </w:r>
    </w:p>
    <w:p>
      <w:r>
        <w:pict>
          <v:rect style="width:0;height:1.5pt" o:hralign="center" o:hrstd="t" o:hr="t"/>
        </w:pict>
      </w:r>
    </w:p>
    <w:bookmarkEnd w:id="30"/>
    <w:bookmarkStart w:id="32" w:name="wrong-way-risk-mar50.32"/>
    <w:p>
      <w:pPr>
        <w:pStyle w:val="Heading2"/>
      </w:pPr>
      <w:r>
        <w:t xml:space="preserve">9. Wrong-Way Risk (MAR50.32)</w:t>
      </w:r>
    </w:p>
    <w:p>
      <w:pPr>
        <w:pStyle w:val="FirstParagraph"/>
      </w:pPr>
      <w:r>
        <w:t xml:space="preserve">Wrong-Way Risk (WWR) occurs when the counterparty is most likely to default</w:t>
      </w:r>
      <w:r>
        <w:t xml:space="preserve"> </w:t>
      </w:r>
      <w:r>
        <w:rPr>
          <w:b/>
          <w:bCs/>
        </w:rPr>
        <w:t xml:space="preserve">exactly when the exposure is largest</w:t>
      </w:r>
      <w:r>
        <w:t xml:space="preserve"> </w:t>
      </w:r>
      <w:r>
        <w:t xml:space="preserve">— a positive correlation between PD and EE.</w:t>
      </w:r>
    </w:p>
    <w:p>
      <w:pPr>
        <w:pStyle w:val="BodyText"/>
      </w:pPr>
      <w:r>
        <w:rPr>
          <w:b/>
          <w:bCs/>
        </w:rPr>
        <w:t xml:space="preserve">Classic example:</w:t>
      </w:r>
      <w:r>
        <w:t xml:space="preserve"> </w:t>
      </w:r>
      <w:r>
        <w:t xml:space="preserve">Bank buys CDS protection from a bank counterparty. If credit spreads widen (indicating stress), the CDS gains value (EE increases) AND the counterparty’s PD increases. The bank is exposed to losing its hedge precisely when it needs it most.</w:t>
      </w:r>
    </w:p>
    <w:bookmarkStart w:id="31" w:name="wwr-in-prometheus"/>
    <w:p>
      <w:pPr>
        <w:pStyle w:val="Heading3"/>
      </w:pPr>
      <w:r>
        <w:t xml:space="preserve">WWR in PROMETHEUS</w:t>
      </w:r>
    </w:p>
    <w:p>
      <w:pPr>
        <w:pStyle w:val="SourceCode"/>
      </w:pPr>
      <w:r>
        <w:rPr>
          <w:rStyle w:val="CommentTok"/>
        </w:rPr>
        <w:t xml:space="preserve"># CVAInput fields</w:t>
      </w:r>
      <w:r>
        <w:br/>
      </w:r>
      <w:r>
        <w:rPr>
          <w:rStyle w:val="NormalTok"/>
        </w:rPr>
        <w:t xml:space="preserve">is_wrong_way: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Flags WWR counterparty</w:t>
      </w:r>
      <w:r>
        <w:br/>
      </w:r>
      <w:r>
        <w:rPr>
          <w:rStyle w:val="NormalTok"/>
        </w:rPr>
        <w:t xml:space="preserve">wwr_add_on: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Conservative EAD uplift (% of EAD)</w:t>
      </w:r>
      <w:r>
        <w:br/>
      </w:r>
      <w:r>
        <w:br/>
      </w:r>
      <w:r>
        <w:rPr>
          <w:rStyle w:val="CommentTok"/>
        </w:rPr>
        <w:t xml:space="preserve"># Applied in both BA-CVA and SA-CVA</w:t>
      </w:r>
      <w:r>
        <w:br/>
      </w:r>
      <w:r>
        <w:rPr>
          <w:rStyle w:val="NormalTok"/>
        </w:rPr>
        <w:t xml:space="preserve">ead_eff </w:t>
      </w:r>
      <w:r>
        <w:rPr>
          <w:rStyle w:val="OperatorTok"/>
        </w:rPr>
        <w:t xml:space="preserve">=</w:t>
      </w:r>
      <w:r>
        <w:rPr>
          <w:rStyle w:val="NormalTok"/>
        </w:rPr>
        <w:t xml:space="preserve"> ead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wwr_add_on) </w:t>
      </w:r>
      <w:r>
        <w:rPr>
          <w:rStyle w:val="ControlFlowTok"/>
        </w:rPr>
        <w:t xml:space="preserve">if</w:t>
      </w:r>
      <w:r>
        <w:rPr>
          <w:rStyle w:val="NormalTok"/>
        </w:rPr>
        <w:t xml:space="preserve"> is_wrong_way </w:t>
      </w:r>
      <w:r>
        <w:rPr>
          <w:rStyle w:val="ControlFlowTok"/>
        </w:rPr>
        <w:t xml:space="preserve">else</w:t>
      </w:r>
      <w:r>
        <w:rPr>
          <w:rStyle w:val="NormalTok"/>
        </w:rPr>
        <w:t xml:space="preserve"> ead</w:t>
      </w:r>
    </w:p>
    <w:p>
      <w:pPr>
        <w:pStyle w:val="FirstParagraph"/>
      </w:pPr>
      <w:r>
        <w:t xml:space="preserve">Basel allows discretion in WWR modelling (MAR50.32). The Prometheus implementation uses a conservative flat add-on. Production should implement correlation-based modelling between exposure paths and default intensity.</w:t>
      </w:r>
    </w:p>
    <w:p>
      <w:r>
        <w:pict>
          <v:rect style="width:0;height:1.5pt" o:hralign="center" o:hrstd="t" o:hr="t"/>
        </w:pict>
      </w:r>
    </w:p>
    <w:bookmarkEnd w:id="31"/>
    <w:bookmarkEnd w:id="32"/>
    <w:bookmarkStart w:id="35" w:name="live-market-data-integration"/>
    <w:p>
      <w:pPr>
        <w:pStyle w:val="Heading2"/>
      </w:pPr>
      <w:r>
        <w:t xml:space="preserve">10. Live Market Data Integration</w:t>
      </w:r>
    </w:p>
    <w:bookmarkStart w:id="33" w:name="cvamarketdatafeed"/>
    <w:p>
      <w:pPr>
        <w:pStyle w:val="Heading3"/>
      </w:pPr>
      <w:r>
        <w:t xml:space="preserve">CVAMarketDataFeed</w:t>
      </w:r>
    </w:p>
    <w:p>
      <w:pPr>
        <w:pStyle w:val="FirstParagraph"/>
      </w:pPr>
      <w:r>
        <w:t xml:space="preserve">Fetches live market data from FRED (no API key required):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Series</w:t>
            </w:r>
          </w:p>
        </w:tc>
        <w:tc>
          <w:tcPr/>
          <w:p>
            <w:pPr>
              <w:pStyle w:val="Compact"/>
            </w:pPr>
            <w:r>
              <w:t xml:space="preserve">Parameter</w:t>
            </w:r>
          </w:p>
        </w:tc>
        <w:tc>
          <w:tcPr/>
          <w:p>
            <w:pPr>
              <w:pStyle w:val="Compact"/>
            </w:pPr>
            <w:r>
              <w:t xml:space="preserve">FRED Code</w:t>
            </w:r>
          </w:p>
        </w:tc>
      </w:tr>
      <w:tr>
        <w:tc>
          <w:tcPr/>
          <w:p>
            <w:pPr>
              <w:pStyle w:val="Compact"/>
            </w:pPr>
            <w:r>
              <w:t xml:space="preserve">SOFR (risk-free rate)</w:t>
            </w:r>
          </w:p>
        </w:tc>
        <w:tc>
          <w:tcPr/>
          <w:p>
            <w:pPr>
              <w:pStyle w:val="Compact"/>
            </w:pPr>
            <w:r>
              <w:rPr>
                <w:rStyle w:val="VerbatimChar"/>
              </w:rPr>
              <w:t xml:space="preserve">risk_free_rate</w:t>
            </w:r>
          </w:p>
        </w:tc>
        <w:tc>
          <w:tcPr/>
          <w:p>
            <w:pPr>
              <w:pStyle w:val="Compact"/>
            </w:pPr>
            <w:r>
              <w:rPr>
                <w:rStyle w:val="VerbatimChar"/>
              </w:rPr>
              <w:t xml:space="preserve">SOFR</w:t>
            </w:r>
          </w:p>
        </w:tc>
      </w:tr>
      <w:tr>
        <w:tc>
          <w:tcPr/>
          <w:p>
            <w:pPr>
              <w:pStyle w:val="Compact"/>
            </w:pPr>
            <w:r>
              <w:t xml:space="preserve">IG OAS spread</w:t>
            </w:r>
          </w:p>
        </w:tc>
        <w:tc>
          <w:tcPr/>
          <w:p>
            <w:pPr>
              <w:pStyle w:val="Compact"/>
            </w:pPr>
            <w:r>
              <w:rPr>
                <w:rStyle w:val="VerbatimChar"/>
              </w:rPr>
              <w:t xml:space="preserve">credit_spread_ig</w:t>
            </w:r>
          </w:p>
        </w:tc>
        <w:tc>
          <w:tcPr/>
          <w:p>
            <w:pPr>
              <w:pStyle w:val="Compact"/>
            </w:pPr>
            <w:r>
              <w:rPr>
                <w:rStyle w:val="VerbatimChar"/>
              </w:rPr>
              <w:t xml:space="preserve">BAMLC0A0CM</w:t>
            </w:r>
          </w:p>
        </w:tc>
      </w:tr>
      <w:tr>
        <w:tc>
          <w:tcPr/>
          <w:p>
            <w:pPr>
              <w:pStyle w:val="Compact"/>
            </w:pPr>
            <w:r>
              <w:t xml:space="preserve">HY OAS spread</w:t>
            </w:r>
          </w:p>
        </w:tc>
        <w:tc>
          <w:tcPr/>
          <w:p>
            <w:pPr>
              <w:pStyle w:val="Compact"/>
            </w:pPr>
            <w:r>
              <w:rPr>
                <w:rStyle w:val="VerbatimChar"/>
              </w:rPr>
              <w:t xml:space="preserve">credit_spread_hy</w:t>
            </w:r>
          </w:p>
        </w:tc>
        <w:tc>
          <w:tcPr/>
          <w:p>
            <w:pPr>
              <w:pStyle w:val="Compact"/>
            </w:pPr>
            <w:r>
              <w:rPr>
                <w:rStyle w:val="VerbatimChar"/>
              </w:rPr>
              <w:t xml:space="preserve">BAMLH0A0HYM2</w:t>
            </w:r>
          </w:p>
        </w:tc>
      </w:tr>
      <w:tr>
        <w:tc>
          <w:tcPr/>
          <w:p>
            <w:pPr>
              <w:pStyle w:val="Compact"/>
            </w:pPr>
            <w:r>
              <w:t xml:space="preserve">VIX index</w:t>
            </w:r>
          </w:p>
        </w:tc>
        <w:tc>
          <w:tcPr/>
          <w:p>
            <w:pPr>
              <w:pStyle w:val="Compact"/>
            </w:pPr>
            <w:r>
              <w:rPr>
                <w:rStyle w:val="VerbatimChar"/>
              </w:rPr>
              <w:t xml:space="preserve">vix_level</w:t>
            </w:r>
          </w:p>
        </w:tc>
        <w:tc>
          <w:tcPr/>
          <w:p>
            <w:pPr>
              <w:pStyle w:val="Compact"/>
            </w:pPr>
            <w:r>
              <w:rPr>
                <w:rStyle w:val="VerbatimChar"/>
              </w:rPr>
              <w:t xml:space="preserve">VIXCLS</w:t>
            </w:r>
            <w:r>
              <w:t xml:space="preserve"> </w:t>
            </w:r>
            <w:r>
              <w:t xml:space="preserve">(or yfinance)</w:t>
            </w:r>
          </w:p>
        </w:tc>
      </w:tr>
    </w:tbl>
    <w:bookmarkEnd w:id="33"/>
    <w:bookmarkStart w:id="34" w:name="supervisory-vs-stress-ρ"/>
    <w:p>
      <w:pPr>
        <w:pStyle w:val="Heading3"/>
      </w:pPr>
      <w:r>
        <w:t xml:space="preserve">Supervisory vs Stress ρ</w:t>
      </w:r>
    </w:p>
    <w:p>
      <w:pPr>
        <w:pStyle w:val="FirstParagraph"/>
      </w:pPr>
      <w:r>
        <w:rPr>
          <w:b/>
          <w:bCs/>
        </w:rPr>
        <w:t xml:space="preserve">FIX-03:</w:t>
      </w:r>
      <w:r>
        <w:t xml:space="preserve"> </w:t>
      </w:r>
      <w:r>
        <w:t xml:space="preserve">The original code scaled ρ from 0.50 to 0.80 based on VIX. Basel MAR50.14(2) is explicit:</w:t>
      </w:r>
      <w:r>
        <w:t xml:space="preserve"> </w:t>
      </w:r>
      <w:r>
        <w:rPr>
          <w:b/>
          <w:bCs/>
        </w:rPr>
        <w:t xml:space="preserve">ρ = 0.50 is a fixed supervisory parameter</w:t>
      </w:r>
      <w:r>
        <w:t xml:space="preserve">. It cannot be dynamically adjusted.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ρ Function</w:t>
            </w:r>
          </w:p>
        </w:tc>
        <w:tc>
          <w:tcPr/>
          <w:p>
            <w:pPr>
              <w:pStyle w:val="Compact"/>
            </w:pPr>
            <w:r>
              <w:t xml:space="preserve">Use Case</w:t>
            </w:r>
          </w:p>
        </w:tc>
        <w:tc>
          <w:tcPr/>
          <w:p>
            <w:pPr>
              <w:pStyle w:val="Compact"/>
            </w:pPr>
            <w:r>
              <w:t xml:space="preserve">Value</w:t>
            </w:r>
          </w:p>
        </w:tc>
      </w:tr>
      <w:tr>
        <w:tc>
          <w:tcPr/>
          <w:p>
            <w:pPr>
              <w:pStyle w:val="Compact"/>
            </w:pPr>
            <w:r>
              <w:rPr>
                <w:rStyle w:val="VerbatimChar"/>
              </w:rPr>
              <w:t xml:space="preserve">supervisory_rho()</w:t>
            </w:r>
          </w:p>
        </w:tc>
        <w:tc>
          <w:tcPr/>
          <w:p>
            <w:pPr>
              <w:pStyle w:val="Compact"/>
            </w:pPr>
            <w:r>
              <w:t xml:space="preserve">Regulatory capital (BA-CVA, SA-CVA)</w:t>
            </w:r>
          </w:p>
        </w:tc>
        <w:tc>
          <w:tcPr/>
          <w:p>
            <w:pPr>
              <w:pStyle w:val="Compact"/>
            </w:pPr>
            <w:r>
              <w:t xml:space="preserve">Always 0.50</w:t>
            </w:r>
          </w:p>
        </w:tc>
      </w:tr>
      <w:tr>
        <w:tc>
          <w:tcPr/>
          <w:p>
            <w:pPr>
              <w:pStyle w:val="Compact"/>
            </w:pPr>
            <w:r>
              <w:rPr>
                <w:rStyle w:val="VerbatimChar"/>
              </w:rPr>
              <w:t xml:space="preserve">stress_rho()</w:t>
            </w:r>
          </w:p>
        </w:tc>
        <w:tc>
          <w:tcPr/>
          <w:p>
            <w:pPr>
              <w:pStyle w:val="Compact"/>
            </w:pPr>
            <w:r>
              <w:t xml:space="preserve">Pillar 2 ICAAP / internal stress testing</w:t>
            </w:r>
          </w:p>
        </w:tc>
        <w:tc>
          <w:tcPr/>
          <w:p>
            <w:pPr>
              <w:pStyle w:val="Compact"/>
            </w:pPr>
            <w:r>
              <w:t xml:space="preserve">0.50–0.80 (VIX-driven)</w:t>
            </w:r>
          </w:p>
        </w:tc>
      </w:tr>
    </w:tbl>
    <w:p>
      <w:r>
        <w:pict>
          <v:rect style="width:0;height:1.5pt" o:hralign="center" o:hrstd="t" o:hr="t"/>
        </w:pict>
      </w:r>
    </w:p>
    <w:bookmarkEnd w:id="34"/>
    <w:bookmarkEnd w:id="35"/>
    <w:bookmarkStart w:id="36" w:name="key-regulatory-fixes-applied"/>
    <w:p>
      <w:pPr>
        <w:pStyle w:val="Heading2"/>
      </w:pPr>
      <w:r>
        <w:t xml:space="preserve">11. Key Regulatory Fixes Applied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Fix</w:t>
            </w:r>
          </w:p>
        </w:tc>
        <w:tc>
          <w:tcPr/>
          <w:p>
            <w:pPr>
              <w:pStyle w:val="Compact"/>
            </w:pPr>
            <w:r>
              <w:t xml:space="preserve">Severity</w:t>
            </w:r>
          </w:p>
        </w:tc>
        <w:tc>
          <w:tcPr/>
          <w:p>
            <w:pPr>
              <w:pStyle w:val="Compact"/>
            </w:pPr>
            <w:r>
              <w:t xml:space="preserve">Regulation</w:t>
            </w:r>
          </w:p>
        </w:tc>
        <w:tc>
          <w:tcPr/>
          <w:p>
            <w:pPr>
              <w:pStyle w:val="Compact"/>
            </w:pPr>
            <w:r>
              <w:t xml:space="preserve">Description</w:t>
            </w:r>
          </w:p>
        </w:tc>
        <w:tc>
          <w:tcPr/>
          <w:p>
            <w:pPr>
              <w:pStyle w:val="Compact"/>
            </w:pPr>
            <w:r>
              <w:t xml:space="preserve">Capital Impact</w:t>
            </w:r>
          </w:p>
        </w:tc>
      </w:tr>
      <w:tr>
        <w:tc>
          <w:tcPr/>
          <w:p>
            <w:pPr>
              <w:pStyle w:val="Compact"/>
            </w:pPr>
            <w:r>
              <w:rPr>
                <w:b/>
                <w:bCs/>
              </w:rPr>
              <w:t xml:space="preserve">FIX-01</w:t>
            </w:r>
          </w:p>
        </w:tc>
        <w:tc>
          <w:tcPr/>
          <w:p>
            <w:pPr>
              <w:pStyle w:val="Compact"/>
            </w:pPr>
            <w:r>
              <w:t xml:space="preserve">HIGH</w:t>
            </w:r>
          </w:p>
        </w:tc>
        <w:tc>
          <w:tcPr/>
          <w:p>
            <w:pPr>
              <w:pStyle w:val="Compact"/>
            </w:pPr>
            <w:r>
              <w:t xml:space="preserve">MAR50.14</w:t>
            </w:r>
          </w:p>
        </w:tc>
        <w:tc>
          <w:tcPr/>
          <w:p>
            <w:pPr>
              <w:pStyle w:val="Compact"/>
            </w:pPr>
            <w:r>
              <w:t xml:space="preserve">DS=0.65 added to BA-CVA</w:t>
            </w:r>
          </w:p>
        </w:tc>
        <w:tc>
          <w:tcPr/>
          <w:p>
            <w:pPr>
              <w:pStyle w:val="Compact"/>
            </w:pPr>
            <w:r>
              <w:t xml:space="preserve">Was overstating by ~54%</w:t>
            </w:r>
          </w:p>
        </w:tc>
      </w:tr>
      <w:tr>
        <w:tc>
          <w:tcPr/>
          <w:p>
            <w:pPr>
              <w:pStyle w:val="Compact"/>
            </w:pPr>
            <w:r>
              <w:rPr>
                <w:b/>
                <w:bCs/>
              </w:rPr>
              <w:t xml:space="preserve">FIX-02</w:t>
            </w:r>
          </w:p>
        </w:tc>
        <w:tc>
          <w:tcPr/>
          <w:p>
            <w:pPr>
              <w:pStyle w:val="Compact"/>
            </w:pPr>
            <w:r>
              <w:t xml:space="preserve">HIGH</w:t>
            </w:r>
          </w:p>
        </w:tc>
        <w:tc>
          <w:tcPr/>
          <w:p>
            <w:pPr>
              <w:pStyle w:val="Compact"/>
            </w:pPr>
            <w:r>
              <w:t xml:space="preserve">MAR50.21</w:t>
            </w:r>
          </w:p>
        </w:tc>
        <w:tc>
          <w:tcPr/>
          <w:p>
            <w:pPr>
              <w:pStyle w:val="Compact"/>
            </w:pPr>
            <w:r>
              <w:t xml:space="preserve">BA-CVA hedge reduction rewritten (SNH/IH/HMA)</w:t>
            </w:r>
          </w:p>
        </w:tc>
        <w:tc>
          <w:tcPr/>
          <w:p>
            <w:pPr>
              <w:pStyle w:val="Compact"/>
            </w:pPr>
            <w:r>
              <w:t xml:space="preserve">Correct hedge recognition</w:t>
            </w:r>
          </w:p>
        </w:tc>
      </w:tr>
      <w:tr>
        <w:tc>
          <w:tcPr/>
          <w:p>
            <w:pPr>
              <w:pStyle w:val="Compact"/>
            </w:pPr>
            <w:r>
              <w:rPr>
                <w:b/>
                <w:bCs/>
              </w:rPr>
              <w:t xml:space="preserve">FIX-03</w:t>
            </w:r>
          </w:p>
        </w:tc>
        <w:tc>
          <w:tcPr/>
          <w:p>
            <w:pPr>
              <w:pStyle w:val="Compact"/>
            </w:pPr>
            <w:r>
              <w:t xml:space="preserve">HIGH</w:t>
            </w:r>
          </w:p>
        </w:tc>
        <w:tc>
          <w:tcPr/>
          <w:p>
            <w:pPr>
              <w:pStyle w:val="Compact"/>
            </w:pPr>
            <w:r>
              <w:t xml:space="preserve">MAR50.29</w:t>
            </w:r>
          </w:p>
        </w:tc>
        <w:tc>
          <w:tcPr/>
          <w:p>
            <w:pPr>
              <w:pStyle w:val="Compact"/>
            </w:pPr>
            <w:r>
              <w:t xml:space="preserve">supervisory_rho() = 0.50 (fixed, not VIX-scaled)</w:t>
            </w:r>
          </w:p>
        </w:tc>
        <w:tc>
          <w:tcPr/>
          <w:p>
            <w:pPr>
              <w:pStyle w:val="Compact"/>
            </w:pPr>
            <w:r>
              <w:t xml:space="preserve">Correct regulatory rho</w:t>
            </w:r>
          </w:p>
        </w:tc>
      </w:tr>
      <w:tr>
        <w:tc>
          <w:tcPr/>
          <w:p>
            <w:pPr>
              <w:pStyle w:val="Compact"/>
            </w:pPr>
            <w:r>
              <w:rPr>
                <w:b/>
                <w:bCs/>
              </w:rPr>
              <w:t xml:space="preserve">FIX-04</w:t>
            </w:r>
          </w:p>
        </w:tc>
        <w:tc>
          <w:tcPr/>
          <w:p>
            <w:pPr>
              <w:pStyle w:val="Compact"/>
            </w:pPr>
            <w:r>
              <w:t xml:space="preserve">MEDIUM</w:t>
            </w:r>
          </w:p>
        </w:tc>
        <w:tc>
          <w:tcPr/>
          <w:p>
            <w:pPr>
              <w:pStyle w:val="Compact"/>
            </w:pPr>
            <w:r>
              <w:t xml:space="preserve">MAR50.9</w:t>
            </w:r>
          </w:p>
        </w:tc>
        <w:tc>
          <w:tcPr/>
          <w:p>
            <w:pPr>
              <w:pStyle w:val="Compact"/>
            </w:pPr>
            <w:r>
              <w:t xml:space="preserve">Threshold: EUR 100bn notional (not USD 1M CCR RWA)</w:t>
            </w:r>
          </w:p>
        </w:tc>
        <w:tc>
          <w:tcPr/>
          <w:p>
            <w:pPr>
              <w:pStyle w:val="Compact"/>
            </w:pPr>
            <w:r>
              <w:t xml:space="preserve">~4 orders of magnitude correction</w:t>
            </w:r>
          </w:p>
        </w:tc>
      </w:tr>
      <w:tr>
        <w:tc>
          <w:tcPr/>
          <w:p>
            <w:pPr>
              <w:pStyle w:val="Compact"/>
            </w:pPr>
            <w:r>
              <w:rPr>
                <w:b/>
                <w:bCs/>
              </w:rPr>
              <w:t xml:space="preserve">FIX-05</w:t>
            </w:r>
          </w:p>
        </w:tc>
        <w:tc>
          <w:tcPr/>
          <w:p>
            <w:pPr>
              <w:pStyle w:val="Compact"/>
            </w:pPr>
            <w:r>
              <w:t xml:space="preserve">MEDIUM</w:t>
            </w:r>
          </w:p>
        </w:tc>
        <w:tc>
          <w:tcPr/>
          <w:p>
            <w:pPr>
              <w:pStyle w:val="Compact"/>
            </w:pPr>
            <w:r>
              <w:t xml:space="preserve">MAR50.65</w:t>
            </w:r>
          </w:p>
        </w:tc>
        <w:tc>
          <w:tcPr/>
          <w:p>
            <w:pPr>
              <w:pStyle w:val="Compact"/>
            </w:pPr>
            <w:r>
              <w:t xml:space="preserve">SA-CVA RW by sector bucket (8-bucket, not PD threshold)</w:t>
            </w:r>
          </w:p>
        </w:tc>
        <w:tc>
          <w:tcPr/>
          <w:p>
            <w:pPr>
              <w:pStyle w:val="Compact"/>
            </w:pPr>
            <w:r>
              <w:t xml:space="preserve">Correct RW selection</w:t>
            </w:r>
          </w:p>
        </w:tc>
      </w:tr>
      <w:tr>
        <w:tc>
          <w:tcPr/>
          <w:p>
            <w:pPr>
              <w:pStyle w:val="Compact"/>
            </w:pPr>
            <w:r>
              <w:rPr>
                <w:b/>
                <w:bCs/>
              </w:rPr>
              <w:t xml:space="preserve">FIX-06</w:t>
            </w:r>
          </w:p>
        </w:tc>
        <w:tc>
          <w:tcPr/>
          <w:p>
            <w:pPr>
              <w:pStyle w:val="Compact"/>
            </w:pPr>
            <w:r>
              <w:t xml:space="preserve">MEDIUM</w:t>
            </w:r>
          </w:p>
        </w:tc>
        <w:tc>
          <w:tcPr/>
          <w:p>
            <w:pPr>
              <w:pStyle w:val="Compact"/>
            </w:pPr>
            <w:r>
              <w:t xml:space="preserve">MAR50.48</w:t>
            </w:r>
          </w:p>
        </w:tc>
        <w:tc>
          <w:tcPr/>
          <w:p>
            <w:pPr>
              <w:pStyle w:val="Compact"/>
            </w:pPr>
            <w:r>
              <w:t xml:space="preserve">Vega always computed (not optional)</w:t>
            </w:r>
          </w:p>
        </w:tc>
        <w:tc>
          <w:tcPr/>
          <w:p>
            <w:pPr>
              <w:pStyle w:val="Compact"/>
            </w:pPr>
            <w:r>
              <w:t xml:space="preserve">Ensures completeness</w:t>
            </w:r>
          </w:p>
        </w:tc>
      </w:tr>
      <w:tr>
        <w:tc>
          <w:tcPr/>
          <w:p>
            <w:pPr>
              <w:pStyle w:val="Compact"/>
            </w:pPr>
            <w:r>
              <w:rPr>
                <w:b/>
                <w:bCs/>
              </w:rPr>
              <w:t xml:space="preserve">FIX-07</w:t>
            </w:r>
          </w:p>
        </w:tc>
        <w:tc>
          <w:tcPr/>
          <w:p>
            <w:pPr>
              <w:pStyle w:val="Compact"/>
            </w:pPr>
            <w:r>
              <w:t xml:space="preserve">MEDIUM</w:t>
            </w:r>
          </w:p>
        </w:tc>
        <w:tc>
          <w:tcPr/>
          <w:p>
            <w:pPr>
              <w:pStyle w:val="Compact"/>
            </w:pPr>
            <w:r>
              <w:t xml:space="preserve">MAR50.15</w:t>
            </w:r>
          </w:p>
        </w:tc>
        <w:tc>
          <w:tcPr/>
          <w:p>
            <w:pPr>
              <w:pStyle w:val="Compact"/>
            </w:pPr>
            <w:r>
              <w:t xml:space="preserve">Multi-netting-set support per counterparty</w:t>
            </w:r>
          </w:p>
        </w:tc>
        <w:tc>
          <w:tcPr/>
          <w:p>
            <w:pPr>
              <w:pStyle w:val="Compact"/>
            </w:pPr>
            <w:r>
              <w:t xml:space="preserve">Accuracy for complex counterparties</w:t>
            </w:r>
          </w:p>
        </w:tc>
      </w:tr>
      <w:tr>
        <w:tc>
          <w:tcPr/>
          <w:p>
            <w:pPr>
              <w:pStyle w:val="Compact"/>
            </w:pPr>
            <w:r>
              <w:rPr>
                <w:b/>
                <w:bCs/>
              </w:rPr>
              <w:t xml:space="preserve">FIX-08</w:t>
            </w:r>
          </w:p>
        </w:tc>
        <w:tc>
          <w:tcPr/>
          <w:p>
            <w:pPr>
              <w:pStyle w:val="Compact"/>
            </w:pPr>
            <w:r>
              <w:t xml:space="preserve">LOW</w:t>
            </w:r>
          </w:p>
        </w:tc>
        <w:tc>
          <w:tcPr/>
          <w:p>
            <w:pPr>
              <w:pStyle w:val="Compact"/>
            </w:pPr>
            <w:r>
              <w:t xml:space="preserve">MAR50.32</w:t>
            </w:r>
          </w:p>
        </w:tc>
        <w:tc>
          <w:tcPr/>
          <w:p>
            <w:pPr>
              <w:pStyle w:val="Compact"/>
            </w:pPr>
            <w:r>
              <w:t xml:space="preserve">WWR flag and EAD add-on added</w:t>
            </w:r>
          </w:p>
        </w:tc>
        <w:tc>
          <w:tcPr/>
          <w:p>
            <w:pPr>
              <w:pStyle w:val="Compact"/>
            </w:pPr>
            <w:r>
              <w:t xml:space="preserve">Explicit WWR treatment</w:t>
            </w:r>
          </w:p>
        </w:tc>
      </w:tr>
      <w:tr>
        <w:tc>
          <w:tcPr/>
          <w:p>
            <w:pPr>
              <w:pStyle w:val="Compact"/>
            </w:pPr>
            <w:r>
              <w:rPr>
                <w:b/>
                <w:bCs/>
              </w:rPr>
              <w:t xml:space="preserve">FIX-09</w:t>
            </w:r>
          </w:p>
        </w:tc>
        <w:tc>
          <w:tcPr/>
          <w:p>
            <w:pPr>
              <w:pStyle w:val="Compact"/>
            </w:pPr>
            <w:r>
              <w:t xml:space="preserve">LOW</w:t>
            </w:r>
          </w:p>
        </w:tc>
        <w:tc>
          <w:tcPr/>
          <w:p>
            <w:pPr>
              <w:pStyle w:val="Compact"/>
            </w:pPr>
            <w:r>
              <w:t xml:space="preserve">MAR50.32</w:t>
            </w:r>
          </w:p>
        </w:tc>
        <w:tc>
          <w:tcPr/>
          <w:p>
            <w:pPr>
              <w:pStyle w:val="Compact"/>
            </w:pPr>
            <w:r>
              <w:t xml:space="preserve">Proxy spread function with sector/rating/region</w:t>
            </w:r>
          </w:p>
        </w:tc>
        <w:tc>
          <w:tcPr/>
          <w:p>
            <w:pPr>
              <w:pStyle w:val="Compact"/>
            </w:pPr>
            <w:r>
              <w:t xml:space="preserve">MAR50.32(3) compliance</w:t>
            </w:r>
          </w:p>
        </w:tc>
      </w:tr>
    </w:tbl>
    <w:p>
      <w:r>
        <w:pict>
          <v:rect style="width:0;height:1.5pt" o:hralign="center" o:hrstd="t" o:hr="t"/>
        </w:pict>
      </w:r>
    </w:p>
    <w:bookmarkEnd w:id="36"/>
    <w:bookmarkStart w:id="39" w:name="data-structures-reference"/>
    <w:p>
      <w:pPr>
        <w:pStyle w:val="Heading2"/>
      </w:pPr>
      <w:r>
        <w:t xml:space="preserve">12. Data Structures Reference</w:t>
      </w:r>
    </w:p>
    <w:bookmarkStart w:id="37" w:name="cvainput"/>
    <w:p>
      <w:pPr>
        <w:pStyle w:val="Heading3"/>
      </w:pPr>
      <w:r>
        <w:t xml:space="preserve">CVAInput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rPr>
                <w:rStyle w:val="VerbatimChar"/>
              </w:rPr>
              <w:t xml:space="preserve">counterparty_id</w:t>
            </w:r>
          </w:p>
        </w:tc>
        <w:tc>
          <w:tcPr/>
          <w:p>
            <w:pPr>
              <w:pStyle w:val="Compact"/>
            </w:pPr>
            <w:r>
              <w:t xml:space="preserve">Unique counterparty identifier</w:t>
            </w:r>
          </w:p>
        </w:tc>
      </w:tr>
      <w:tr>
        <w:tc>
          <w:tcPr/>
          <w:p>
            <w:pPr>
              <w:pStyle w:val="Compact"/>
            </w:pPr>
            <w:r>
              <w:rPr>
                <w:rStyle w:val="VerbatimChar"/>
              </w:rPr>
              <w:t xml:space="preserve">ead</w:t>
            </w:r>
          </w:p>
        </w:tc>
        <w:tc>
          <w:tcPr/>
          <w:p>
            <w:pPr>
              <w:pStyle w:val="Compact"/>
            </w:pPr>
            <w:r>
              <w:t xml:space="preserve">Exposure At Default from SA-CCR or IMM</w:t>
            </w:r>
          </w:p>
        </w:tc>
      </w:tr>
      <w:tr>
        <w:tc>
          <w:tcPr/>
          <w:p>
            <w:pPr>
              <w:pStyle w:val="Compact"/>
            </w:pPr>
            <w:r>
              <w:rPr>
                <w:rStyle w:val="VerbatimChar"/>
              </w:rPr>
              <w:t xml:space="preserve">pd_1yr</w:t>
            </w:r>
          </w:p>
        </w:tc>
        <w:tc>
          <w:tcPr/>
          <w:p>
            <w:pPr>
              <w:pStyle w:val="Compact"/>
            </w:pPr>
            <w:r>
              <w:t xml:space="preserve">1-year probability of default</w:t>
            </w:r>
          </w:p>
        </w:tc>
      </w:tr>
      <w:tr>
        <w:tc>
          <w:tcPr/>
          <w:p>
            <w:pPr>
              <w:pStyle w:val="Compact"/>
            </w:pPr>
            <w:r>
              <w:rPr>
                <w:rStyle w:val="VerbatimChar"/>
              </w:rPr>
              <w:t xml:space="preserve">lgd_mkt</w:t>
            </w:r>
          </w:p>
        </w:tc>
        <w:tc>
          <w:tcPr/>
          <w:p>
            <w:pPr>
              <w:pStyle w:val="Compact"/>
            </w:pPr>
            <w:r>
              <w:t xml:space="preserve">Market-implied LGD (overridden by sector recovery if market provided)</w:t>
            </w:r>
          </w:p>
        </w:tc>
      </w:tr>
      <w:tr>
        <w:tc>
          <w:tcPr/>
          <w:p>
            <w:pPr>
              <w:pStyle w:val="Compact"/>
            </w:pPr>
            <w:r>
              <w:rPr>
                <w:rStyle w:val="VerbatimChar"/>
              </w:rPr>
              <w:t xml:space="preserve">maturity_years</w:t>
            </w:r>
          </w:p>
        </w:tc>
        <w:tc>
          <w:tcPr/>
          <w:p>
            <w:pPr>
              <w:pStyle w:val="Compact"/>
            </w:pPr>
            <w:r>
              <w:t xml:space="preserve">Effective maturity of netting set</w:t>
            </w:r>
          </w:p>
        </w:tc>
      </w:tr>
      <w:tr>
        <w:tc>
          <w:tcPr/>
          <w:p>
            <w:pPr>
              <w:pStyle w:val="Compact"/>
            </w:pPr>
            <w:r>
              <w:rPr>
                <w:rStyle w:val="VerbatimChar"/>
              </w:rPr>
              <w:t xml:space="preserve">credit_spread_bps</w:t>
            </w:r>
          </w:p>
        </w:tc>
        <w:tc>
          <w:tcPr/>
          <w:p>
            <w:pPr>
              <w:pStyle w:val="Compact"/>
            </w:pPr>
            <w:r>
              <w:t xml:space="preserve">Live CDS spread (bps); None = proxy required</w:t>
            </w:r>
          </w:p>
        </w:tc>
      </w:tr>
      <w:tr>
        <w:tc>
          <w:tcPr/>
          <w:p>
            <w:pPr>
              <w:pStyle w:val="Compact"/>
            </w:pPr>
            <w:r>
              <w:rPr>
                <w:rStyle w:val="VerbatimChar"/>
              </w:rPr>
              <w:t xml:space="preserve">sector</w:t>
            </w:r>
          </w:p>
        </w:tc>
        <w:tc>
          <w:tcPr/>
          <w:p>
            <w:pPr>
              <w:pStyle w:val="Compact"/>
            </w:pPr>
            <w:r>
              <w:t xml:space="preserve">Sector for SA-CVA bucket routing (Table 5)</w:t>
            </w:r>
          </w:p>
        </w:tc>
      </w:tr>
      <w:tr>
        <w:tc>
          <w:tcPr/>
          <w:p>
            <w:pPr>
              <w:pStyle w:val="Compact"/>
            </w:pPr>
            <w:r>
              <w:rPr>
                <w:rStyle w:val="VerbatimChar"/>
              </w:rPr>
              <w:t xml:space="preserve">credit_quality</w:t>
            </w:r>
          </w:p>
        </w:tc>
        <w:tc>
          <w:tcPr/>
          <w:p>
            <w:pPr>
              <w:pStyle w:val="Compact"/>
            </w:pPr>
            <w:r>
              <w:t xml:space="preserve">‘IG’</w:t>
            </w:r>
            <w:r>
              <w:t xml:space="preserve"> </w:t>
            </w:r>
            <w:r>
              <w:t xml:space="preserve">/</w:t>
            </w:r>
            <w:r>
              <w:t xml:space="preserve"> </w:t>
            </w:r>
            <w:r>
              <w:t xml:space="preserve">‘HY’</w:t>
            </w:r>
            <w:r>
              <w:t xml:space="preserve"> </w:t>
            </w:r>
            <w:r>
              <w:t xml:space="preserve">/</w:t>
            </w:r>
            <w:r>
              <w:t xml:space="preserve"> </w:t>
            </w:r>
            <w:r>
              <w:t xml:space="preserve">‘NR’</w:t>
            </w:r>
            <w:r>
              <w:t xml:space="preserve"> </w:t>
            </w:r>
            <w:r>
              <w:t xml:space="preserve">— for SA-CVA RW selection (Table 7)</w:t>
            </w:r>
          </w:p>
        </w:tc>
      </w:tr>
      <w:tr>
        <w:tc>
          <w:tcPr/>
          <w:p>
            <w:pPr>
              <w:pStyle w:val="Compact"/>
            </w:pPr>
            <w:r>
              <w:rPr>
                <w:rStyle w:val="VerbatimChar"/>
              </w:rPr>
              <w:t xml:space="preserve">has_cva_hedge</w:t>
            </w:r>
          </w:p>
        </w:tc>
        <w:tc>
          <w:tcPr/>
          <w:p>
            <w:pPr>
              <w:pStyle w:val="Compact"/>
            </w:pPr>
            <w:r>
              <w:t xml:space="preserve">True if a CVA hedge is in place</w:t>
            </w:r>
          </w:p>
        </w:tc>
      </w:tr>
      <w:tr>
        <w:tc>
          <w:tcPr/>
          <w:p>
            <w:pPr>
              <w:pStyle w:val="Compact"/>
            </w:pPr>
            <w:r>
              <w:rPr>
                <w:rStyle w:val="VerbatimChar"/>
              </w:rPr>
              <w:t xml:space="preserve">hedge_type</w:t>
            </w:r>
          </w:p>
        </w:tc>
        <w:tc>
          <w:tcPr/>
          <w:p>
            <w:pPr>
              <w:pStyle w:val="Compact"/>
            </w:pPr>
            <w:r>
              <w:t xml:space="preserve">‘DIRECT’</w:t>
            </w:r>
            <w:r>
              <w:t xml:space="preserve"> </w:t>
            </w:r>
            <w:r>
              <w:t xml:space="preserve">/</w:t>
            </w:r>
            <w:r>
              <w:t xml:space="preserve"> </w:t>
            </w:r>
            <w:r>
              <w:t xml:space="preserve">‘LEGALLY_RELATED’</w:t>
            </w:r>
            <w:r>
              <w:t xml:space="preserve"> </w:t>
            </w:r>
            <w:r>
              <w:t xml:space="preserve">/</w:t>
            </w:r>
            <w:r>
              <w:t xml:space="preserve"> </w:t>
            </w:r>
            <w:r>
              <w:t xml:space="preserve">‘SAME_SECTOR’</w:t>
            </w:r>
          </w:p>
        </w:tc>
      </w:tr>
      <w:tr>
        <w:tc>
          <w:tcPr/>
          <w:p>
            <w:pPr>
              <w:pStyle w:val="Compact"/>
            </w:pPr>
            <w:r>
              <w:rPr>
                <w:rStyle w:val="VerbatimChar"/>
              </w:rPr>
              <w:t xml:space="preserve">is_wrong_way</w:t>
            </w:r>
          </w:p>
        </w:tc>
        <w:tc>
          <w:tcPr/>
          <w:p>
            <w:pPr>
              <w:pStyle w:val="Compact"/>
            </w:pPr>
            <w:r>
              <w:t xml:space="preserve">True if exposure correlates positively with PD</w:t>
            </w:r>
          </w:p>
        </w:tc>
      </w:tr>
      <w:tr>
        <w:tc>
          <w:tcPr/>
          <w:p>
            <w:pPr>
              <w:pStyle w:val="Compact"/>
            </w:pPr>
            <w:r>
              <w:rPr>
                <w:rStyle w:val="VerbatimChar"/>
              </w:rPr>
              <w:t xml:space="preserve">wwr_add_on</w:t>
            </w:r>
          </w:p>
        </w:tc>
        <w:tc>
          <w:tcPr/>
          <w:p>
            <w:pPr>
              <w:pStyle w:val="Compact"/>
            </w:pPr>
            <w:r>
              <w:t xml:space="preserve">Conservative EAD uplift for WWR (fraction of EAD)</w:t>
            </w:r>
          </w:p>
        </w:tc>
      </w:tr>
      <w:tr>
        <w:tc>
          <w:tcPr/>
          <w:p>
            <w:pPr>
              <w:pStyle w:val="Compact"/>
            </w:pPr>
            <w:r>
              <w:rPr>
                <w:rStyle w:val="VerbatimChar"/>
              </w:rPr>
              <w:t xml:space="preserve">netting_sets</w:t>
            </w:r>
          </w:p>
        </w:tc>
        <w:tc>
          <w:tcPr/>
          <w:p>
            <w:pPr>
              <w:pStyle w:val="Compact"/>
            </w:pPr>
            <w:r>
              <w:t xml:space="preserve">List of</w:t>
            </w:r>
            <w:r>
              <w:t xml:space="preserve"> </w:t>
            </w:r>
            <w:r>
              <w:rPr>
                <w:rStyle w:val="VerbatimChar"/>
              </w:rPr>
              <w:t xml:space="preserve">NettingSetEAD</w:t>
            </w:r>
            <w:r>
              <w:t xml:space="preserve"> </w:t>
            </w:r>
            <w:r>
              <w:t xml:space="preserve">for multi-netting-set counterparties</w:t>
            </w:r>
          </w:p>
        </w:tc>
      </w:tr>
      <w:tr>
        <w:tc>
          <w:tcPr/>
          <w:p>
            <w:pPr>
              <w:pStyle w:val="Compact"/>
            </w:pPr>
            <w:r>
              <w:rPr>
                <w:rStyle w:val="VerbatimChar"/>
              </w:rPr>
              <w:t xml:space="preserve">spread_source</w:t>
            </w:r>
          </w:p>
        </w:tc>
        <w:tc>
          <w:tcPr/>
          <w:p>
            <w:pPr>
              <w:pStyle w:val="Compact"/>
            </w:pPr>
            <w:r>
              <w:t xml:space="preserve">‘LIVE’</w:t>
            </w:r>
            <w:r>
              <w:t xml:space="preserve"> </w:t>
            </w:r>
            <w:r>
              <w:t xml:space="preserve">/</w:t>
            </w:r>
            <w:r>
              <w:t xml:space="preserve"> </w:t>
            </w:r>
            <w:r>
              <w:t xml:space="preserve">‘PROXY_SECTOR’</w:t>
            </w:r>
            <w:r>
              <w:t xml:space="preserve"> </w:t>
            </w:r>
            <w:r>
              <w:t xml:space="preserve">/</w:t>
            </w:r>
            <w:r>
              <w:t xml:space="preserve"> </w:t>
            </w:r>
            <w:r>
              <w:t xml:space="preserve">‘PROXY_INDEX_IG’</w:t>
            </w:r>
            <w:r>
              <w:t xml:space="preserve"> </w:t>
            </w:r>
            <w:r>
              <w:t xml:space="preserve">/</w:t>
            </w:r>
            <w:r>
              <w:t xml:space="preserve"> </w:t>
            </w:r>
            <w:r>
              <w:t xml:space="preserve">‘PROXY_INDEX_HY’</w:t>
            </w:r>
          </w:p>
        </w:tc>
      </w:tr>
    </w:tbl>
    <w:bookmarkEnd w:id="37"/>
    <w:bookmarkStart w:id="38" w:name="cvaresult"/>
    <w:p>
      <w:pPr>
        <w:pStyle w:val="Heading3"/>
      </w:pPr>
      <w:r>
        <w:t xml:space="preserve">CVAResult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rPr>
                <w:rStyle w:val="VerbatimChar"/>
              </w:rPr>
              <w:t xml:space="preserve">method</w:t>
            </w:r>
          </w:p>
        </w:tc>
        <w:tc>
          <w:tcPr/>
          <w:p>
            <w:pPr>
              <w:pStyle w:val="Compact"/>
            </w:pPr>
            <w:r>
              <w:t xml:space="preserve">‘SA_CVA’</w:t>
            </w:r>
            <w:r>
              <w:t xml:space="preserve"> </w:t>
            </w:r>
            <w:r>
              <w:t xml:space="preserve">/</w:t>
            </w:r>
            <w:r>
              <w:t xml:space="preserve"> </w:t>
            </w:r>
            <w:r>
              <w:t xml:space="preserve">‘BA_CVA’</w:t>
            </w:r>
            <w:r>
              <w:t xml:space="preserve"> </w:t>
            </w:r>
            <w:r>
              <w:t xml:space="preserve">/</w:t>
            </w:r>
            <w:r>
              <w:t xml:space="preserve"> </w:t>
            </w:r>
            <w:r>
              <w:t xml:space="preserve">‘CCR_PROXY’</w:t>
            </w:r>
          </w:p>
        </w:tc>
      </w:tr>
      <w:tr>
        <w:tc>
          <w:tcPr/>
          <w:p>
            <w:pPr>
              <w:pStyle w:val="Compact"/>
            </w:pPr>
            <w:r>
              <w:rPr>
                <w:rStyle w:val="VerbatimChar"/>
              </w:rPr>
              <w:t xml:space="preserve">fallback_trace</w:t>
            </w:r>
          </w:p>
        </w:tc>
        <w:tc>
          <w:tcPr/>
          <w:p>
            <w:pPr>
              <w:pStyle w:val="Compact"/>
            </w:pPr>
            <w:r>
              <w:t xml:space="preserve">Trace code explaining why BA-CVA was applied</w:t>
            </w:r>
          </w:p>
        </w:tc>
      </w:tr>
      <w:tr>
        <w:tc>
          <w:tcPr/>
          <w:p>
            <w:pPr>
              <w:pStyle w:val="Compact"/>
            </w:pPr>
            <w:r>
              <w:rPr>
                <w:rStyle w:val="VerbatimChar"/>
              </w:rPr>
              <w:t xml:space="preserve">rwa_cva</w:t>
            </w:r>
          </w:p>
        </w:tc>
        <w:tc>
          <w:tcPr/>
          <w:p>
            <w:pPr>
              <w:pStyle w:val="Compact"/>
            </w:pPr>
            <w:r>
              <w:t xml:space="preserve">Total CVA RWA for this counterparty</w:t>
            </w:r>
          </w:p>
        </w:tc>
      </w:tr>
      <w:tr>
        <w:tc>
          <w:tcPr/>
          <w:p>
            <w:pPr>
              <w:pStyle w:val="Compact"/>
            </w:pPr>
            <w:r>
              <w:rPr>
                <w:rStyle w:val="VerbatimChar"/>
              </w:rPr>
              <w:t xml:space="preserve">ba_sc_charge</w:t>
            </w:r>
          </w:p>
        </w:tc>
        <w:tc>
          <w:tcPr/>
          <w:p>
            <w:pPr>
              <w:pStyle w:val="Compact"/>
            </w:pPr>
            <w:r>
              <w:t xml:space="preserve">BA-CVA stand-alone charge SC_c</w:t>
            </w:r>
          </w:p>
        </w:tc>
      </w:tr>
      <w:tr>
        <w:tc>
          <w:tcPr/>
          <w:p>
            <w:pPr>
              <w:pStyle w:val="Compact"/>
            </w:pPr>
            <w:r>
              <w:rPr>
                <w:rStyle w:val="VerbatimChar"/>
              </w:rPr>
              <w:t xml:space="preserve">sa_delta_charge</w:t>
            </w:r>
          </w:p>
        </w:tc>
        <w:tc>
          <w:tcPr/>
          <w:p>
            <w:pPr>
              <w:pStyle w:val="Compact"/>
            </w:pPr>
            <w:r>
              <w:t xml:space="preserve">SA-CVA delta charge (counterparty credit spread)</w:t>
            </w:r>
          </w:p>
        </w:tc>
      </w:tr>
      <w:tr>
        <w:tc>
          <w:tcPr/>
          <w:p>
            <w:pPr>
              <w:pStyle w:val="Compact"/>
            </w:pPr>
            <w:r>
              <w:rPr>
                <w:rStyle w:val="VerbatimChar"/>
              </w:rPr>
              <w:t xml:space="preserve">sa_vega_charge</w:t>
            </w:r>
          </w:p>
        </w:tc>
        <w:tc>
          <w:tcPr/>
          <w:p>
            <w:pPr>
              <w:pStyle w:val="Compact"/>
            </w:pPr>
            <w:r>
              <w:t xml:space="preserve">SA-CVA vega charge</w:t>
            </w:r>
          </w:p>
        </w:tc>
      </w:tr>
      <w:tr>
        <w:tc>
          <w:tcPr/>
          <w:p>
            <w:pPr>
              <w:pStyle w:val="Compact"/>
            </w:pPr>
            <w:r>
              <w:rPr>
                <w:rStyle w:val="VerbatimChar"/>
              </w:rPr>
              <w:t xml:space="preserve">cva_estimate</w:t>
            </w:r>
          </w:p>
        </w:tc>
        <w:tc>
          <w:tcPr/>
          <w:p>
            <w:pPr>
              <w:pStyle w:val="Compact"/>
            </w:pPr>
            <w:r>
              <w:t xml:space="preserve">CVA value estimate (PD × LGD × EAD × M_eff)</w:t>
            </w:r>
          </w:p>
        </w:tc>
      </w:tr>
      <w:tr>
        <w:tc>
          <w:tcPr/>
          <w:p>
            <w:pPr>
              <w:pStyle w:val="Compact"/>
            </w:pPr>
            <w:r>
              <w:rPr>
                <w:rStyle w:val="VerbatimChar"/>
              </w:rPr>
              <w:t xml:space="preserve">spread_source</w:t>
            </w:r>
          </w:p>
        </w:tc>
        <w:tc>
          <w:tcPr/>
          <w:p>
            <w:pPr>
              <w:pStyle w:val="Compact"/>
            </w:pPr>
            <w:r>
              <w:t xml:space="preserve">Provenance of credit spread used</w:t>
            </w:r>
          </w:p>
        </w:tc>
      </w:tr>
    </w:tbl>
    <w:p>
      <w:r>
        <w:pict>
          <v:rect style="width:0;height:1.5pt" o:hralign="center" o:hrstd="t" o:hr="t"/>
        </w:pict>
      </w:r>
    </w:p>
    <w:bookmarkEnd w:id="38"/>
    <w:bookmarkEnd w:id="39"/>
    <w:bookmarkStart w:id="40" w:name="glossary"/>
    <w:p>
      <w:pPr>
        <w:pStyle w:val="Heading2"/>
      </w:pPr>
      <w:r>
        <w:t xml:space="preserve">13.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CVA</w:t>
            </w:r>
          </w:p>
        </w:tc>
        <w:tc>
          <w:tcPr/>
          <w:p>
            <w:pPr>
              <w:pStyle w:val="Compact"/>
            </w:pPr>
            <w:r>
              <w:t xml:space="preserve">Credit Valuation Adjustment — market value of counterparty default risk</w:t>
            </w:r>
          </w:p>
        </w:tc>
      </w:tr>
      <w:tr>
        <w:tc>
          <w:tcPr/>
          <w:p>
            <w:pPr>
              <w:pStyle w:val="Compact"/>
            </w:pPr>
            <w:r>
              <w:rPr>
                <w:b/>
                <w:bCs/>
              </w:rPr>
              <w:t xml:space="preserve">BA-CVA</w:t>
            </w:r>
          </w:p>
        </w:tc>
        <w:tc>
          <w:tcPr/>
          <w:p>
            <w:pPr>
              <w:pStyle w:val="Compact"/>
            </w:pPr>
            <w:r>
              <w:t xml:space="preserve">Basic Approach — EAD-based, always available</w:t>
            </w:r>
          </w:p>
        </w:tc>
      </w:tr>
      <w:tr>
        <w:tc>
          <w:tcPr/>
          <w:p>
            <w:pPr>
              <w:pStyle w:val="Compact"/>
            </w:pPr>
            <w:r>
              <w:rPr>
                <w:b/>
                <w:bCs/>
              </w:rPr>
              <w:t xml:space="preserve">SA-CVA</w:t>
            </w:r>
          </w:p>
        </w:tc>
        <w:tc>
          <w:tcPr/>
          <w:p>
            <w:pPr>
              <w:pStyle w:val="Compact"/>
            </w:pPr>
            <w:r>
              <w:t xml:space="preserve">Standardised Approach — sensitivity-based, requires approval</w:t>
            </w:r>
          </w:p>
        </w:tc>
      </w:tr>
      <w:tr>
        <w:tc>
          <w:tcPr/>
          <w:p>
            <w:pPr>
              <w:pStyle w:val="Compact"/>
            </w:pPr>
            <w:r>
              <w:rPr>
                <w:b/>
                <w:bCs/>
              </w:rPr>
              <w:t xml:space="preserve">DS</w:t>
            </w:r>
          </w:p>
        </w:tc>
        <w:tc>
          <w:tcPr/>
          <w:p>
            <w:pPr>
              <w:pStyle w:val="Compact"/>
            </w:pPr>
            <w:r>
              <w:t xml:space="preserve">Discount Scalar = 0.65 (MAR50.20) — calibration factor for BA-CVA</w:t>
            </w:r>
          </w:p>
        </w:tc>
      </w:tr>
      <w:tr>
        <w:tc>
          <w:tcPr/>
          <w:p>
            <w:pPr>
              <w:pStyle w:val="Compact"/>
            </w:pPr>
            <w:r>
              <w:rPr>
                <w:b/>
                <w:bCs/>
              </w:rPr>
              <w:t xml:space="preserve">β</w:t>
            </w:r>
          </w:p>
        </w:tc>
        <w:tc>
          <w:tcPr/>
          <w:p>
            <w:pPr>
              <w:pStyle w:val="Compact"/>
            </w:pPr>
            <w:r>
              <w:t xml:space="preserve">Beta = 0.25 (MAR50.20) — floor on hedged BA-CVA vs. unhedged</w:t>
            </w:r>
          </w:p>
        </w:tc>
      </w:tr>
      <w:tr>
        <w:tc>
          <w:tcPr/>
          <w:p>
            <w:pPr>
              <w:pStyle w:val="Compact"/>
            </w:pPr>
            <w:r>
              <w:rPr>
                <w:b/>
                <w:bCs/>
              </w:rPr>
              <w:t xml:space="preserve">ρ</w:t>
            </w:r>
          </w:p>
        </w:tc>
        <w:tc>
          <w:tcPr/>
          <w:p>
            <w:pPr>
              <w:pStyle w:val="Compact"/>
            </w:pPr>
            <w:r>
              <w:t xml:space="preserve">Supervisory correlation parameter = 0.50 (MAR50.29)</w:t>
            </w:r>
          </w:p>
        </w:tc>
      </w:tr>
      <w:tr>
        <w:tc>
          <w:tcPr/>
          <w:p>
            <w:pPr>
              <w:pStyle w:val="Compact"/>
            </w:pPr>
            <w:r>
              <w:rPr>
                <w:b/>
                <w:bCs/>
              </w:rPr>
              <w:t xml:space="preserve">SC_c</w:t>
            </w:r>
          </w:p>
        </w:tc>
        <w:tc>
          <w:tcPr/>
          <w:p>
            <w:pPr>
              <w:pStyle w:val="Compact"/>
            </w:pPr>
            <w:r>
              <w:t xml:space="preserve">Stand-alone CVA capital for counterparty c</w:t>
            </w:r>
          </w:p>
        </w:tc>
      </w:tr>
      <w:tr>
        <w:tc>
          <w:tcPr/>
          <w:p>
            <w:pPr>
              <w:pStyle w:val="Compact"/>
            </w:pPr>
            <w:r>
              <w:rPr>
                <w:b/>
                <w:bCs/>
              </w:rPr>
              <w:t xml:space="preserve">SNH_c</w:t>
            </w:r>
          </w:p>
        </w:tc>
        <w:tc>
          <w:tcPr/>
          <w:p>
            <w:pPr>
              <w:pStyle w:val="Compact"/>
            </w:pPr>
            <w:r>
              <w:t xml:space="preserve">Single-name hedge benefit for counterparty c</w:t>
            </w:r>
          </w:p>
        </w:tc>
      </w:tr>
      <w:tr>
        <w:tc>
          <w:tcPr/>
          <w:p>
            <w:pPr>
              <w:pStyle w:val="Compact"/>
            </w:pPr>
            <w:r>
              <w:rPr>
                <w:b/>
                <w:bCs/>
              </w:rPr>
              <w:t xml:space="preserve">IH</w:t>
            </w:r>
          </w:p>
        </w:tc>
        <w:tc>
          <w:tcPr/>
          <w:p>
            <w:pPr>
              <w:pStyle w:val="Compact"/>
            </w:pPr>
            <w:r>
              <w:t xml:space="preserve">Index hedge aggregate benefit</w:t>
            </w:r>
          </w:p>
        </w:tc>
      </w:tr>
      <w:tr>
        <w:tc>
          <w:tcPr/>
          <w:p>
            <w:pPr>
              <w:pStyle w:val="Compact"/>
            </w:pPr>
            <w:r>
              <w:rPr>
                <w:b/>
                <w:bCs/>
              </w:rPr>
              <w:t xml:space="preserve">HMA_c</w:t>
            </w:r>
          </w:p>
        </w:tc>
        <w:tc>
          <w:tcPr/>
          <w:p>
            <w:pPr>
              <w:pStyle w:val="Compact"/>
            </w:pPr>
            <w:r>
              <w:t xml:space="preserve">Hedge misalignment adjustment for indirect hedges</w:t>
            </w:r>
          </w:p>
        </w:tc>
      </w:tr>
      <w:tr>
        <w:tc>
          <w:tcPr/>
          <w:p>
            <w:pPr>
              <w:pStyle w:val="Compact"/>
            </w:pPr>
            <w:r>
              <w:rPr>
                <w:b/>
                <w:bCs/>
              </w:rPr>
              <w:t xml:space="preserve">EE(t)</w:t>
            </w:r>
          </w:p>
        </w:tc>
        <w:tc>
          <w:tcPr/>
          <w:p>
            <w:pPr>
              <w:pStyle w:val="Compact"/>
            </w:pPr>
            <w:r>
              <w:t xml:space="preserve">Expected Exposure at time t</w:t>
            </w:r>
          </w:p>
        </w:tc>
      </w:tr>
      <w:tr>
        <w:tc>
          <w:tcPr/>
          <w:p>
            <w:pPr>
              <w:pStyle w:val="Compact"/>
            </w:pPr>
            <w:r>
              <w:rPr>
                <w:b/>
                <w:bCs/>
              </w:rPr>
              <w:t xml:space="preserve">EAD</w:t>
            </w:r>
          </w:p>
        </w:tc>
        <w:tc>
          <w:tcPr/>
          <w:p>
            <w:pPr>
              <w:pStyle w:val="Compact"/>
            </w:pPr>
            <w:r>
              <w:t xml:space="preserve">Exposure at Default (point-in-time measure)</w:t>
            </w:r>
          </w:p>
        </w:tc>
      </w:tr>
      <w:tr>
        <w:tc>
          <w:tcPr/>
          <w:p>
            <w:pPr>
              <w:pStyle w:val="Compact"/>
            </w:pPr>
            <w:r>
              <w:rPr>
                <w:b/>
                <w:bCs/>
              </w:rPr>
              <w:t xml:space="preserve">LGD</w:t>
            </w:r>
          </w:p>
        </w:tc>
        <w:tc>
          <w:tcPr/>
          <w:p>
            <w:pPr>
              <w:pStyle w:val="Compact"/>
            </w:pPr>
            <w:r>
              <w:t xml:space="preserve">Loss Given Default (market-implied from CDS recovery)</w:t>
            </w:r>
          </w:p>
        </w:tc>
      </w:tr>
      <w:tr>
        <w:tc>
          <w:tcPr/>
          <w:p>
            <w:pPr>
              <w:pStyle w:val="Compact"/>
            </w:pPr>
            <w:r>
              <w:rPr>
                <w:b/>
                <w:bCs/>
              </w:rPr>
              <w:t xml:space="preserve">WWR</w:t>
            </w:r>
          </w:p>
        </w:tc>
        <w:tc>
          <w:tcPr/>
          <w:p>
            <w:pPr>
              <w:pStyle w:val="Compact"/>
            </w:pPr>
            <w:r>
              <w:t xml:space="preserve">Wrong-Way Risk — positive correlation between PD and exposure</w:t>
            </w:r>
          </w:p>
        </w:tc>
      </w:tr>
      <w:tr>
        <w:tc>
          <w:tcPr/>
          <w:p>
            <w:pPr>
              <w:pStyle w:val="Compact"/>
            </w:pPr>
            <w:r>
              <w:rPr>
                <w:b/>
                <w:bCs/>
              </w:rPr>
              <w:t xml:space="preserve">GIRR</w:t>
            </w:r>
          </w:p>
        </w:tc>
        <w:tc>
          <w:tcPr/>
          <w:p>
            <w:pPr>
              <w:pStyle w:val="Compact"/>
            </w:pPr>
            <w:r>
              <w:t xml:space="preserve">General Interest Rate Risk</w:t>
            </w:r>
          </w:p>
        </w:tc>
      </w:tr>
      <w:tr>
        <w:tc>
          <w:tcPr/>
          <w:p>
            <w:pPr>
              <w:pStyle w:val="Compact"/>
            </w:pPr>
            <w:r>
              <w:rPr>
                <w:b/>
                <w:bCs/>
              </w:rPr>
              <w:t xml:space="preserve">CCSR</w:t>
            </w:r>
          </w:p>
        </w:tc>
        <w:tc>
          <w:tcPr/>
          <w:p>
            <w:pPr>
              <w:pStyle w:val="Compact"/>
            </w:pPr>
            <w:r>
              <w:t xml:space="preserve">Counterparty Credit Spread Risk</w:t>
            </w:r>
          </w:p>
        </w:tc>
      </w:tr>
      <w:tr>
        <w:tc>
          <w:tcPr/>
          <w:p>
            <w:pPr>
              <w:pStyle w:val="Compact"/>
            </w:pPr>
            <w:r>
              <w:rPr>
                <w:b/>
                <w:bCs/>
              </w:rPr>
              <w:t xml:space="preserve">RCSR</w:t>
            </w:r>
          </w:p>
        </w:tc>
        <w:tc>
          <w:tcPr/>
          <w:p>
            <w:pPr>
              <w:pStyle w:val="Compact"/>
            </w:pPr>
            <w:r>
              <w:t xml:space="preserve">Reference Credit Spread Risk</w:t>
            </w:r>
          </w:p>
        </w:tc>
      </w:tr>
    </w:tbl>
    <w:p>
      <w:r>
        <w:pict>
          <v:rect style="width:0;height:1.5pt" o:hralign="center" o:hrstd="t" o:hr="t"/>
        </w:pict>
      </w:r>
    </w:p>
    <w:bookmarkEnd w:id="40"/>
    <w:bookmarkStart w:id="48" w:name="Xbc58bfa8719bba43b4799c41f79708f8c3d6077"/>
    <w:p>
      <w:pPr>
        <w:pStyle w:val="Heading2"/>
      </w:pPr>
      <w:r>
        <w:t xml:space="preserve">Appendix A — Numeric Walk-Through: BA-CVA Reduced (No Hedges)</w:t>
      </w:r>
    </w:p>
    <w:bookmarkStart w:id="41" w:name="portfolio-setup"/>
    <w:p>
      <w:pPr>
        <w:pStyle w:val="Heading3"/>
      </w:pPr>
      <w:r>
        <w:t xml:space="preserve">Portfolio Setup</w:t>
      </w:r>
    </w:p>
    <w:p>
      <w:pPr>
        <w:pStyle w:val="FirstParagraph"/>
      </w:pPr>
      <w:r>
        <w:t xml:space="preserve">A bank has three OTC derivative counterparties (all above EUR 100bn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Counterparty</w:t>
            </w:r>
          </w:p>
        </w:tc>
        <w:tc>
          <w:tcPr/>
          <w:p>
            <w:pPr>
              <w:pStyle w:val="Compact"/>
            </w:pPr>
            <w:r>
              <w:t xml:space="preserve">Rating</w:t>
            </w:r>
          </w:p>
        </w:tc>
        <w:tc>
          <w:tcPr/>
          <w:p>
            <w:pPr>
              <w:pStyle w:val="Compact"/>
            </w:pPr>
            <w:r>
              <w:t xml:space="preserve">EAD</w:t>
            </w:r>
          </w:p>
        </w:tc>
        <w:tc>
          <w:tcPr/>
          <w:p>
            <w:pPr>
              <w:pStyle w:val="Compact"/>
            </w:pPr>
            <w:r>
              <w:t xml:space="preserve">Maturity</w:t>
            </w:r>
          </w:p>
        </w:tc>
        <w:tc>
          <w:tcPr/>
          <w:p>
            <w:pPr>
              <w:pStyle w:val="Compact"/>
            </w:pPr>
            <w:r>
              <w:t xml:space="preserve">Sector</w:t>
            </w:r>
          </w:p>
        </w:tc>
      </w:tr>
      <w:tr>
        <w:tc>
          <w:tcPr/>
          <w:p>
            <w:pPr>
              <w:pStyle w:val="Compact"/>
            </w:pPr>
            <w:r>
              <w:t xml:space="preserve">Bank A (Financial)</w:t>
            </w:r>
          </w:p>
        </w:tc>
        <w:tc>
          <w:tcPr/>
          <w:p>
            <w:pPr>
              <w:pStyle w:val="Compact"/>
            </w:pPr>
            <w:r>
              <w:t xml:space="preserve">A</w:t>
            </w:r>
          </w:p>
        </w:tc>
        <w:tc>
          <w:tcPr/>
          <w:p>
            <w:pPr>
              <w:pStyle w:val="Compact"/>
            </w:pPr>
            <w:r>
              <w:t xml:space="preserve">$50,000,000</w:t>
            </w:r>
          </w:p>
        </w:tc>
        <w:tc>
          <w:tcPr/>
          <w:p>
            <w:pPr>
              <w:pStyle w:val="Compact"/>
            </w:pPr>
            <w:r>
              <w:t xml:space="preserve">3.0 years</w:t>
            </w:r>
          </w:p>
        </w:tc>
        <w:tc>
          <w:tcPr/>
          <w:p>
            <w:pPr>
              <w:pStyle w:val="Compact"/>
            </w:pPr>
            <w:r>
              <w:t xml:space="preserve">Financials</w:t>
            </w:r>
          </w:p>
        </w:tc>
      </w:tr>
      <w:tr>
        <w:tc>
          <w:tcPr/>
          <w:p>
            <w:pPr>
              <w:pStyle w:val="Compact"/>
            </w:pPr>
            <w:r>
              <w:t xml:space="preserve">Corp B (Industrial)</w:t>
            </w:r>
          </w:p>
        </w:tc>
        <w:tc>
          <w:tcPr/>
          <w:p>
            <w:pPr>
              <w:pStyle w:val="Compact"/>
            </w:pPr>
            <w:r>
              <w:t xml:space="preserve">BBB</w:t>
            </w:r>
          </w:p>
        </w:tc>
        <w:tc>
          <w:tcPr/>
          <w:p>
            <w:pPr>
              <w:pStyle w:val="Compact"/>
            </w:pPr>
            <w:r>
              <w:t xml:space="preserve">$30,000,000</w:t>
            </w:r>
          </w:p>
        </w:tc>
        <w:tc>
          <w:tcPr/>
          <w:p>
            <w:pPr>
              <w:pStyle w:val="Compact"/>
            </w:pPr>
            <w:r>
              <w:t xml:space="preserve">5.0 years</w:t>
            </w:r>
          </w:p>
        </w:tc>
        <w:tc>
          <w:tcPr/>
          <w:p>
            <w:pPr>
              <w:pStyle w:val="Compact"/>
            </w:pPr>
            <w:r>
              <w:t xml:space="preserve">Industrials</w:t>
            </w:r>
          </w:p>
        </w:tc>
      </w:tr>
      <w:tr>
        <w:tc>
          <w:tcPr/>
          <w:p>
            <w:pPr>
              <w:pStyle w:val="Compact"/>
            </w:pPr>
            <w:r>
              <w:t xml:space="preserve">Corp C (Energy)</w:t>
            </w:r>
          </w:p>
        </w:tc>
        <w:tc>
          <w:tcPr/>
          <w:p>
            <w:pPr>
              <w:pStyle w:val="Compact"/>
            </w:pPr>
            <w:r>
              <w:t xml:space="preserve">BB</w:t>
            </w:r>
          </w:p>
        </w:tc>
        <w:tc>
          <w:tcPr/>
          <w:p>
            <w:pPr>
              <w:pStyle w:val="Compact"/>
            </w:pPr>
            <w:r>
              <w:t xml:space="preserve">$20,000,000</w:t>
            </w:r>
          </w:p>
        </w:tc>
        <w:tc>
          <w:tcPr/>
          <w:p>
            <w:pPr>
              <w:pStyle w:val="Compact"/>
            </w:pPr>
            <w:r>
              <w:t xml:space="preserve">2.0 years</w:t>
            </w:r>
          </w:p>
        </w:tc>
        <w:tc>
          <w:tcPr/>
          <w:p>
            <w:pPr>
              <w:pStyle w:val="Compact"/>
            </w:pPr>
            <w:r>
              <w:t xml:space="preserve">Energy</w:t>
            </w:r>
          </w:p>
        </w:tc>
      </w:tr>
    </w:tbl>
    <w:p>
      <w:pPr>
        <w:pStyle w:val="BodyText"/>
      </w:pPr>
      <w:r>
        <w:rPr>
          <w:b/>
          <w:bCs/>
        </w:rPr>
        <w:t xml:space="preserve">Market Conditions:</w:t>
      </w:r>
      <w:r>
        <w:t xml:space="preserve"> </w:t>
      </w:r>
      <w:r>
        <w:t xml:space="preserve">SOFR = 4.3%, ρ = 0.50 (supervisory), DS = 0.65</w:t>
      </w:r>
    </w:p>
    <w:p>
      <w:r>
        <w:pict>
          <v:rect style="width:0;height:1.5pt" o:hralign="center" o:hrstd="t" o:hr="t"/>
        </w:pict>
      </w:r>
    </w:p>
    <w:bookmarkEnd w:id="41"/>
    <w:bookmarkStart w:id="42" w:name="step-1-supervisory-spreads-from-rating"/>
    <w:p>
      <w:pPr>
        <w:pStyle w:val="Heading3"/>
      </w:pPr>
      <w:r>
        <w:t xml:space="preserve">Step 1: Supervisory Spreads from Rating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Counterparty</w:t>
            </w:r>
          </w:p>
        </w:tc>
        <w:tc>
          <w:tcPr/>
          <w:p>
            <w:pPr>
              <w:pStyle w:val="Compact"/>
            </w:pPr>
            <w:r>
              <w:t xml:space="preserve">Rating</w:t>
            </w:r>
          </w:p>
        </w:tc>
        <w:tc>
          <w:tcPr/>
          <w:p>
            <w:pPr>
              <w:pStyle w:val="Compact"/>
            </w:pPr>
            <w:r>
              <w:t xml:space="preserve">RW_c</w:t>
            </w:r>
          </w:p>
        </w:tc>
      </w:tr>
      <w:tr>
        <w:tc>
          <w:tcPr/>
          <w:p>
            <w:pPr>
              <w:pStyle w:val="Compact"/>
            </w:pPr>
            <w:r>
              <w:t xml:space="preserve">Bank A</w:t>
            </w:r>
          </w:p>
        </w:tc>
        <w:tc>
          <w:tcPr/>
          <w:p>
            <w:pPr>
              <w:pStyle w:val="Compact"/>
            </w:pPr>
            <w:r>
              <w:t xml:space="preserve">A</w:t>
            </w:r>
          </w:p>
        </w:tc>
        <w:tc>
          <w:tcPr/>
          <w:p>
            <w:pPr>
              <w:pStyle w:val="Compact"/>
            </w:pPr>
            <w:r>
              <w:t xml:space="preserve">0.42% = 0.0042</w:t>
            </w:r>
          </w:p>
        </w:tc>
      </w:tr>
      <w:tr>
        <w:tc>
          <w:tcPr/>
          <w:p>
            <w:pPr>
              <w:pStyle w:val="Compact"/>
            </w:pPr>
            <w:r>
              <w:t xml:space="preserve">Corp B</w:t>
            </w:r>
          </w:p>
        </w:tc>
        <w:tc>
          <w:tcPr/>
          <w:p>
            <w:pPr>
              <w:pStyle w:val="Compact"/>
            </w:pPr>
            <w:r>
              <w:t xml:space="preserve">BBB</w:t>
            </w:r>
          </w:p>
        </w:tc>
        <w:tc>
          <w:tcPr/>
          <w:p>
            <w:pPr>
              <w:pStyle w:val="Compact"/>
            </w:pPr>
            <w:r>
              <w:t xml:space="preserve">0.54% = 0.0054</w:t>
            </w:r>
          </w:p>
        </w:tc>
      </w:tr>
      <w:tr>
        <w:tc>
          <w:tcPr/>
          <w:p>
            <w:pPr>
              <w:pStyle w:val="Compact"/>
            </w:pPr>
            <w:r>
              <w:t xml:space="preserve">Corp C</w:t>
            </w:r>
          </w:p>
        </w:tc>
        <w:tc>
          <w:tcPr/>
          <w:p>
            <w:pPr>
              <w:pStyle w:val="Compact"/>
            </w:pPr>
            <w:r>
              <w:t xml:space="preserve">BB</w:t>
            </w:r>
          </w:p>
        </w:tc>
        <w:tc>
          <w:tcPr/>
          <w:p>
            <w:pPr>
              <w:pStyle w:val="Compact"/>
            </w:pPr>
            <w:r>
              <w:t xml:space="preserve">1.06% = 0.0106</w:t>
            </w:r>
          </w:p>
        </w:tc>
      </w:tr>
    </w:tbl>
    <w:p>
      <w:r>
        <w:pict>
          <v:rect style="width:0;height:1.5pt" o:hralign="center" o:hrstd="t" o:hr="t"/>
        </w:pict>
      </w:r>
    </w:p>
    <w:bookmarkEnd w:id="42"/>
    <w:bookmarkStart w:id="43" w:name="step-2-effective-maturity-discount-m_eff"/>
    <w:p>
      <w:pPr>
        <w:pStyle w:val="Heading3"/>
      </w:pPr>
      <w:r>
        <w:t xml:space="preserve">Step 2: Effective Maturity Discount M_eff</w:t>
      </w:r>
    </w:p>
    <w:p>
      <w:pPr>
        <w:pStyle w:val="FirstParagraph"/>
      </w:pPr>
      <w:r>
        <w:t xml:space="preserve">Formula:</w:t>
      </w:r>
      <w:r>
        <w:t xml:space="preserve"> </w:t>
      </w:r>
      <w:r>
        <w:rPr>
          <w:rStyle w:val="VerbatimChar"/>
        </w:rPr>
        <w:t xml:space="preserve">M_eff = (1 − exp(−r × M)) / (r × M)</w:t>
      </w:r>
      <w:r>
        <w:t xml:space="preserve"> </w:t>
      </w:r>
      <w:r>
        <w:t xml:space="preserve">where r = 4.3% = 0.043</w:t>
      </w:r>
    </w:p>
    <w:p>
      <w:pPr>
        <w:pStyle w:val="BodyText"/>
      </w:pPr>
      <w:r>
        <w:rPr>
          <w:b/>
          <w:bCs/>
        </w:rPr>
        <w:t xml:space="preserve">Bank A (M = 3.0 years):</w:t>
      </w:r>
    </w:p>
    <w:p>
      <w:pPr>
        <w:pStyle w:val="SourceCode"/>
      </w:pPr>
      <w:r>
        <w:rPr>
          <w:rStyle w:val="VerbatimChar"/>
        </w:rPr>
        <w:t xml:space="preserve">M_eff_A = (1 − exp(−0.043 × 3.0)) / (0.043 × 3.0)</w:t>
      </w:r>
      <w:r>
        <w:br/>
      </w:r>
      <w:r>
        <w:rPr>
          <w:rStyle w:val="VerbatimChar"/>
        </w:rPr>
        <w:t xml:space="preserve">        = (1 − exp(−0.129)) / 0.129</w:t>
      </w:r>
      <w:r>
        <w:br/>
      </w:r>
      <w:r>
        <w:rPr>
          <w:rStyle w:val="VerbatimChar"/>
        </w:rPr>
        <w:t xml:space="preserve">        = (1 − 0.8790) / 0.129</w:t>
      </w:r>
      <w:r>
        <w:br/>
      </w:r>
      <w:r>
        <w:rPr>
          <w:rStyle w:val="VerbatimChar"/>
        </w:rPr>
        <w:t xml:space="preserve">        = 0.1210 / 0.129</w:t>
      </w:r>
      <w:r>
        <w:br/>
      </w:r>
      <w:r>
        <w:rPr>
          <w:rStyle w:val="VerbatimChar"/>
        </w:rPr>
        <w:t xml:space="preserve">        = 0.9380</w:t>
      </w:r>
    </w:p>
    <w:p>
      <w:pPr>
        <w:pStyle w:val="FirstParagraph"/>
      </w:pPr>
      <w:r>
        <w:rPr>
          <w:b/>
          <w:bCs/>
        </w:rPr>
        <w:t xml:space="preserve">Corp B (M = 5.0 years):</w:t>
      </w:r>
    </w:p>
    <w:p>
      <w:pPr>
        <w:pStyle w:val="SourceCode"/>
      </w:pPr>
      <w:r>
        <w:rPr>
          <w:rStyle w:val="VerbatimChar"/>
        </w:rPr>
        <w:t xml:space="preserve">M_eff_B = (1 − exp(−0.043 × 5.0)) / (0.043 × 5.0)</w:t>
      </w:r>
      <w:r>
        <w:br/>
      </w:r>
      <w:r>
        <w:rPr>
          <w:rStyle w:val="VerbatimChar"/>
        </w:rPr>
        <w:t xml:space="preserve">        = (1 − exp(−0.215)) / 0.215</w:t>
      </w:r>
      <w:r>
        <w:br/>
      </w:r>
      <w:r>
        <w:rPr>
          <w:rStyle w:val="VerbatimChar"/>
        </w:rPr>
        <w:t xml:space="preserve">        = (1 − 0.8066) / 0.215</w:t>
      </w:r>
      <w:r>
        <w:br/>
      </w:r>
      <w:r>
        <w:rPr>
          <w:rStyle w:val="VerbatimChar"/>
        </w:rPr>
        <w:t xml:space="preserve">        = 0.1934 / 0.215</w:t>
      </w:r>
      <w:r>
        <w:br/>
      </w:r>
      <w:r>
        <w:rPr>
          <w:rStyle w:val="VerbatimChar"/>
        </w:rPr>
        <w:t xml:space="preserve">        = 0.8995</w:t>
      </w:r>
    </w:p>
    <w:p>
      <w:pPr>
        <w:pStyle w:val="FirstParagraph"/>
      </w:pPr>
      <w:r>
        <w:rPr>
          <w:b/>
          <w:bCs/>
        </w:rPr>
        <w:t xml:space="preserve">Corp C (M = 2.0 years):</w:t>
      </w:r>
    </w:p>
    <w:p>
      <w:pPr>
        <w:pStyle w:val="SourceCode"/>
      </w:pPr>
      <w:r>
        <w:rPr>
          <w:rStyle w:val="VerbatimChar"/>
        </w:rPr>
        <w:t xml:space="preserve">M_eff_C = (1 − exp(−0.043 × 2.0)) / (0.043 × 2.0)</w:t>
      </w:r>
      <w:r>
        <w:br/>
      </w:r>
      <w:r>
        <w:rPr>
          <w:rStyle w:val="VerbatimChar"/>
        </w:rPr>
        <w:t xml:space="preserve">        = (1 − exp(−0.086)) / 0.086</w:t>
      </w:r>
      <w:r>
        <w:br/>
      </w:r>
      <w:r>
        <w:rPr>
          <w:rStyle w:val="VerbatimChar"/>
        </w:rPr>
        <w:t xml:space="preserve">        = (1 − 0.9176) / 0.086</w:t>
      </w:r>
      <w:r>
        <w:br/>
      </w:r>
      <w:r>
        <w:rPr>
          <w:rStyle w:val="VerbatimChar"/>
        </w:rPr>
        <w:t xml:space="preserve">        = 0.0824 / 0.086</w:t>
      </w:r>
      <w:r>
        <w:br/>
      </w:r>
      <w:r>
        <w:rPr>
          <w:rStyle w:val="VerbatimChar"/>
        </w:rPr>
        <w:t xml:space="preserve">        = 0.9581</w:t>
      </w:r>
    </w:p>
    <w:p>
      <w:r>
        <w:pict>
          <v:rect style="width:0;height:1.5pt" o:hralign="center" o:hrstd="t" o:hr="t"/>
        </w:pict>
      </w:r>
    </w:p>
    <w:bookmarkEnd w:id="43"/>
    <w:bookmarkStart w:id="44" w:name="step-3-stand-alone-cva-capital-sc_c"/>
    <w:p>
      <w:pPr>
        <w:pStyle w:val="Heading3"/>
      </w:pPr>
      <w:r>
        <w:t xml:space="preserve">Step 3: Stand-Alone CVA Capital SC_c</w:t>
      </w:r>
    </w:p>
    <w:p>
      <w:pPr>
        <w:pStyle w:val="SourceCode"/>
      </w:pPr>
      <w:r>
        <w:rPr>
          <w:rStyle w:val="VerbatimChar"/>
        </w:rPr>
        <w:t xml:space="preserve">SC_A = RW_A × M_eff_A × EAD_A</w:t>
      </w:r>
      <w:r>
        <w:br/>
      </w:r>
      <w:r>
        <w:rPr>
          <w:rStyle w:val="VerbatimChar"/>
        </w:rPr>
        <w:t xml:space="preserve">     = 0.0042 × 0.9380 × 50,000,000</w:t>
      </w:r>
      <w:r>
        <w:br/>
      </w:r>
      <w:r>
        <w:rPr>
          <w:rStyle w:val="VerbatimChar"/>
        </w:rPr>
        <w:t xml:space="preserve">     = $197,000 (approx.)</w:t>
      </w:r>
      <w:r>
        <w:br/>
      </w:r>
      <w:r>
        <w:br/>
      </w:r>
      <w:r>
        <w:rPr>
          <w:rStyle w:val="VerbatimChar"/>
        </w:rPr>
        <w:t xml:space="preserve">SC_B = 0.0054 × 0.8995 × 30,000,000</w:t>
      </w:r>
      <w:r>
        <w:br/>
      </w:r>
      <w:r>
        <w:rPr>
          <w:rStyle w:val="VerbatimChar"/>
        </w:rPr>
        <w:t xml:space="preserve">     = $145,700 (approx.)</w:t>
      </w:r>
      <w:r>
        <w:br/>
      </w:r>
      <w:r>
        <w:br/>
      </w:r>
      <w:r>
        <w:rPr>
          <w:rStyle w:val="VerbatimChar"/>
        </w:rPr>
        <w:t xml:space="preserve">SC_C = 0.0106 × 0.9581 × 20,000,000</w:t>
      </w:r>
      <w:r>
        <w:br/>
      </w:r>
      <w:r>
        <w:rPr>
          <w:rStyle w:val="VerbatimChar"/>
        </w:rPr>
        <w:t xml:space="preserve">     = $203,100 (approx.)</w:t>
      </w:r>
    </w:p>
    <w:p>
      <w:r>
        <w:pict>
          <v:rect style="width:0;height:1.5pt" o:hralign="center" o:hrstd="t" o:hr="t"/>
        </w:pict>
      </w:r>
    </w:p>
    <w:bookmarkEnd w:id="44"/>
    <w:bookmarkStart w:id="45" w:name="step-4-k_reduced-aggregation"/>
    <w:p>
      <w:pPr>
        <w:pStyle w:val="Heading3"/>
      </w:pPr>
      <w:r>
        <w:t xml:space="preserve">Step 4: K_reduced Aggregation</w:t>
      </w:r>
    </w:p>
    <w:p>
      <w:pPr>
        <w:pStyle w:val="SourceCode"/>
      </w:pPr>
      <w:r>
        <w:rPr>
          <w:rStyle w:val="VerbatimChar"/>
        </w:rPr>
        <w:t xml:space="preserve">Σ SC_c   = 197,000 + 145,700 + 203,100 = $545,800</w:t>
      </w:r>
      <w:r>
        <w:br/>
      </w:r>
      <w:r>
        <w:rPr>
          <w:rStyle w:val="VerbatimChar"/>
        </w:rPr>
        <w:t xml:space="preserve">Σ SC_c²  = 197,000² + 145,700² + 203,100²</w:t>
      </w:r>
      <w:r>
        <w:br/>
      </w:r>
      <w:r>
        <w:rPr>
          <w:rStyle w:val="VerbatimChar"/>
        </w:rPr>
        <w:t xml:space="preserve">         = 38,809,000,000 + 21,228,490,000 + 41,249,610,000</w:t>
      </w:r>
      <w:r>
        <w:br/>
      </w:r>
      <w:r>
        <w:rPr>
          <w:rStyle w:val="VerbatimChar"/>
        </w:rPr>
        <w:t xml:space="preserve">         = 101,287,100,000</w:t>
      </w:r>
      <w:r>
        <w:br/>
      </w:r>
      <w:r>
        <w:br/>
      </w:r>
      <w:r>
        <w:rPr>
          <w:rStyle w:val="VerbatimChar"/>
        </w:rPr>
        <w:t xml:space="preserve">K_reduced = sqrt(ρ² × (Σ SC)² + (1−ρ²) × Σ SC²)</w:t>
      </w:r>
      <w:r>
        <w:br/>
      </w:r>
      <w:r>
        <w:rPr>
          <w:rStyle w:val="VerbatimChar"/>
        </w:rPr>
        <w:t xml:space="preserve">          = sqrt(0.50² × 545,800² + (1−0.25) × 101,287,100,000)</w:t>
      </w:r>
      <w:r>
        <w:br/>
      </w:r>
      <w:r>
        <w:rPr>
          <w:rStyle w:val="VerbatimChar"/>
        </w:rPr>
        <w:t xml:space="preserve">          = sqrt(0.25 × 297,898,240,000 + 0.75 × 101,287,100,000)</w:t>
      </w:r>
      <w:r>
        <w:br/>
      </w:r>
      <w:r>
        <w:rPr>
          <w:rStyle w:val="VerbatimChar"/>
        </w:rPr>
        <w:t xml:space="preserve">          = sqrt(74,474,560,000 + 75,965,325,000)</w:t>
      </w:r>
      <w:r>
        <w:br/>
      </w:r>
      <w:r>
        <w:rPr>
          <w:rStyle w:val="VerbatimChar"/>
        </w:rPr>
        <w:t xml:space="preserve">          = sqrt(150,439,885,000)</w:t>
      </w:r>
      <w:r>
        <w:br/>
      </w:r>
      <w:r>
        <w:rPr>
          <w:rStyle w:val="VerbatimChar"/>
        </w:rPr>
        <w:t xml:space="preserve">          = $387,860</w:t>
      </w:r>
    </w:p>
    <w:p>
      <w:r>
        <w:pict>
          <v:rect style="width:0;height:1.5pt" o:hralign="center" o:hrstd="t" o:hr="t"/>
        </w:pict>
      </w:r>
    </w:p>
    <w:bookmarkEnd w:id="45"/>
    <w:bookmarkStart w:id="46" w:name="step-5-final-capital-and-rwa"/>
    <w:p>
      <w:pPr>
        <w:pStyle w:val="Heading3"/>
      </w:pPr>
      <w:r>
        <w:t xml:space="preserve">Step 5: Final Capital and RWA</w:t>
      </w:r>
    </w:p>
    <w:p>
      <w:pPr>
        <w:pStyle w:val="SourceCode"/>
      </w:pPr>
      <w:r>
        <w:rPr>
          <w:rStyle w:val="VerbatimChar"/>
        </w:rPr>
        <w:t xml:space="preserve">Capital  = DS × K_reduced × 12.5</w:t>
      </w:r>
      <w:r>
        <w:br/>
      </w:r>
      <w:r>
        <w:rPr>
          <w:rStyle w:val="VerbatimChar"/>
        </w:rPr>
        <w:t xml:space="preserve">         = 0.65 × 387,860 × 12.5</w:t>
      </w:r>
      <w:r>
        <w:br/>
      </w:r>
      <w:r>
        <w:rPr>
          <w:rStyle w:val="VerbatimChar"/>
        </w:rPr>
        <w:t xml:space="preserve">         = $3,151,113</w:t>
      </w:r>
      <w:r>
        <w:br/>
      </w:r>
      <w:r>
        <w:br/>
      </w:r>
      <w:r>
        <w:rPr>
          <w:rStyle w:val="VerbatimChar"/>
        </w:rPr>
        <w:t xml:space="preserve">RWA_CVA  = DS × K_reduced × 12.5 = $3,151,113</w:t>
      </w:r>
      <w:r>
        <w:br/>
      </w:r>
      <w:r>
        <w:rPr>
          <w:rStyle w:val="VerbatimChar"/>
        </w:rPr>
        <w:t xml:space="preserve">  (note: CVA capital = CVA RWA since the 12.5 factor IS already the RWA conversion)</w:t>
      </w:r>
    </w:p>
    <w:p>
      <w:pPr>
        <w:pStyle w:val="FirstParagraph"/>
      </w:pPr>
      <w:r>
        <w:rPr>
          <w:b/>
          <w:bCs/>
        </w:rPr>
        <w:t xml:space="preserve">Attribution: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Counterparty</w:t>
            </w:r>
          </w:p>
        </w:tc>
        <w:tc>
          <w:tcPr/>
          <w:p>
            <w:pPr>
              <w:pStyle w:val="Compact"/>
            </w:pPr>
            <w:r>
              <w:t xml:space="preserve">SC_c</w:t>
            </w:r>
          </w:p>
        </w:tc>
        <w:tc>
          <w:tcPr/>
          <w:p>
            <w:pPr>
              <w:pStyle w:val="Compact"/>
            </w:pPr>
            <w:r>
              <w:t xml:space="preserve">Share</w:t>
            </w:r>
          </w:p>
        </w:tc>
        <w:tc>
          <w:tcPr/>
          <w:p>
            <w:pPr>
              <w:pStyle w:val="Compact"/>
            </w:pPr>
            <w:r>
              <w:t xml:space="preserve">RWA</w:t>
            </w:r>
          </w:p>
        </w:tc>
      </w:tr>
      <w:tr>
        <w:tc>
          <w:tcPr/>
          <w:p>
            <w:pPr>
              <w:pStyle w:val="Compact"/>
            </w:pPr>
            <w:r>
              <w:t xml:space="preserve">Bank A</w:t>
            </w:r>
          </w:p>
        </w:tc>
        <w:tc>
          <w:tcPr/>
          <w:p>
            <w:pPr>
              <w:pStyle w:val="Compact"/>
            </w:pPr>
            <w:r>
              <w:t xml:space="preserve">$197,000</w:t>
            </w:r>
          </w:p>
        </w:tc>
        <w:tc>
          <w:tcPr/>
          <w:p>
            <w:pPr>
              <w:pStyle w:val="Compact"/>
            </w:pPr>
            <w:r>
              <w:t xml:space="preserve">36.1%</w:t>
            </w:r>
          </w:p>
        </w:tc>
        <w:tc>
          <w:tcPr/>
          <w:p>
            <w:pPr>
              <w:pStyle w:val="Compact"/>
            </w:pPr>
            <w:r>
              <w:t xml:space="preserve">$1,137,555</w:t>
            </w:r>
          </w:p>
        </w:tc>
      </w:tr>
      <w:tr>
        <w:tc>
          <w:tcPr/>
          <w:p>
            <w:pPr>
              <w:pStyle w:val="Compact"/>
            </w:pPr>
            <w:r>
              <w:t xml:space="preserve">Corp B</w:t>
            </w:r>
          </w:p>
        </w:tc>
        <w:tc>
          <w:tcPr/>
          <w:p>
            <w:pPr>
              <w:pStyle w:val="Compact"/>
            </w:pPr>
            <w:r>
              <w:t xml:space="preserve">$145,700</w:t>
            </w:r>
          </w:p>
        </w:tc>
        <w:tc>
          <w:tcPr/>
          <w:p>
            <w:pPr>
              <w:pStyle w:val="Compact"/>
            </w:pPr>
            <w:r>
              <w:t xml:space="preserve">26.7%</w:t>
            </w:r>
          </w:p>
        </w:tc>
        <w:tc>
          <w:tcPr/>
          <w:p>
            <w:pPr>
              <w:pStyle w:val="Compact"/>
            </w:pPr>
            <w:r>
              <w:t xml:space="preserve">$841,148</w:t>
            </w:r>
          </w:p>
        </w:tc>
      </w:tr>
      <w:tr>
        <w:tc>
          <w:tcPr/>
          <w:p>
            <w:pPr>
              <w:pStyle w:val="Compact"/>
            </w:pPr>
            <w:r>
              <w:t xml:space="preserve">Corp C</w:t>
            </w:r>
          </w:p>
        </w:tc>
        <w:tc>
          <w:tcPr/>
          <w:p>
            <w:pPr>
              <w:pStyle w:val="Compact"/>
            </w:pPr>
            <w:r>
              <w:t xml:space="preserve">$203,100</w:t>
            </w:r>
          </w:p>
        </w:tc>
        <w:tc>
          <w:tcPr/>
          <w:p>
            <w:pPr>
              <w:pStyle w:val="Compact"/>
            </w:pPr>
            <w:r>
              <w:t xml:space="preserve">37.2%</w:t>
            </w:r>
          </w:p>
        </w:tc>
        <w:tc>
          <w:tcPr/>
          <w:p>
            <w:pPr>
              <w:pStyle w:val="Compact"/>
            </w:pPr>
            <w:r>
              <w:t xml:space="preserve">$1,172,410</w:t>
            </w:r>
          </w:p>
        </w:tc>
      </w:tr>
      <w:tr>
        <w:tc>
          <w:tcPr/>
          <w:p>
            <w:pPr>
              <w:pStyle w:val="Compact"/>
            </w:pPr>
            <w:r>
              <w:rPr>
                <w:b/>
                <w:bCs/>
              </w:rPr>
              <w:t xml:space="preserve">Total</w:t>
            </w:r>
          </w:p>
        </w:tc>
        <w:tc>
          <w:tcPr/>
          <w:p>
            <w:pPr>
              <w:pStyle w:val="Compact"/>
            </w:pPr>
            <w:r>
              <w:rPr>
                <w:b/>
                <w:bCs/>
              </w:rPr>
              <w:t xml:space="preserve">$545,800</w:t>
            </w:r>
          </w:p>
        </w:tc>
        <w:tc>
          <w:tcPr/>
          <w:p>
            <w:pPr>
              <w:pStyle w:val="Compact"/>
            </w:pPr>
            <w:r>
              <w:rPr>
                <w:b/>
                <w:bCs/>
              </w:rPr>
              <w:t xml:space="preserve">100%</w:t>
            </w:r>
          </w:p>
        </w:tc>
        <w:tc>
          <w:tcPr/>
          <w:p>
            <w:pPr>
              <w:pStyle w:val="Compact"/>
            </w:pPr>
            <w:r>
              <w:rPr>
                <w:b/>
                <w:bCs/>
              </w:rPr>
              <w:t xml:space="preserve">$3,151,113</w:t>
            </w:r>
          </w:p>
        </w:tc>
      </w:tr>
    </w:tbl>
    <w:p>
      <w:r>
        <w:pict>
          <v:rect style="width:0;height:1.5pt" o:hralign="center" o:hrstd="t" o:hr="t"/>
        </w:pict>
      </w:r>
    </w:p>
    <w:bookmarkEnd w:id="46"/>
    <w:bookmarkStart w:id="47" w:name="what-the-numbers-mean"/>
    <w:p>
      <w:pPr>
        <w:pStyle w:val="Heading3"/>
      </w:pPr>
      <w:r>
        <w:t xml:space="preserve">What the Numbers Mean</w:t>
      </w:r>
    </w:p>
    <w:p>
      <w:pPr>
        <w:pStyle w:val="Compact"/>
        <w:numPr>
          <w:ilvl w:val="0"/>
          <w:numId w:val="1002"/>
        </w:numPr>
      </w:pPr>
      <w:r>
        <w:t xml:space="preserve">Corp C (BB-rated Energy) drives 37% of CVA capital despite only 20% of EAD — because its spread (1.06%) is 2.5× higher than Bank A’s (0.42%).</w:t>
      </w:r>
    </w:p>
    <w:p>
      <w:pPr>
        <w:pStyle w:val="Compact"/>
        <w:numPr>
          <w:ilvl w:val="0"/>
          <w:numId w:val="1002"/>
        </w:numPr>
      </w:pPr>
      <w:r>
        <w:t xml:space="preserve">Without DS=0.65, capital would be $4,847,866 —</w:t>
      </w:r>
      <w:r>
        <w:t xml:space="preserve"> </w:t>
      </w:r>
      <w:r>
        <w:rPr>
          <w:b/>
          <w:bCs/>
        </w:rPr>
        <w:t xml:space="preserve">54% higher</w:t>
      </w:r>
      <w:r>
        <w:t xml:space="preserve">. This is why FIX-01 was critical.</w:t>
      </w:r>
    </w:p>
    <w:p>
      <w:r>
        <w:pict>
          <v:rect style="width:0;height:1.5pt" o:hralign="center" o:hrstd="t" o:hr="t"/>
        </w:pict>
      </w:r>
    </w:p>
    <w:bookmarkEnd w:id="47"/>
    <w:bookmarkEnd w:id="48"/>
    <w:bookmarkStart w:id="54" w:name="X71b1363052b6ad7419925a9006f630aa12d09c9"/>
    <w:p>
      <w:pPr>
        <w:pStyle w:val="Heading2"/>
      </w:pPr>
      <w:r>
        <w:t xml:space="preserve">Appendix B — Numeric Walk-Through: BA-CVA Full (With CDS Hedge)</w:t>
      </w:r>
    </w:p>
    <w:bookmarkStart w:id="49" w:name="extending-the-appendix-a-portfolio"/>
    <w:p>
      <w:pPr>
        <w:pStyle w:val="Heading3"/>
      </w:pPr>
      <w:r>
        <w:t xml:space="preserve">Extending the Appendix A Portfolio</w:t>
      </w:r>
    </w:p>
    <w:p>
      <w:pPr>
        <w:pStyle w:val="FirstParagraph"/>
      </w:pPr>
      <w:r>
        <w:t xml:space="preserve">The bank buys a 3-year CDS on Corp C (BB-rated Energy) with:</w:t>
      </w:r>
      <w:r>
        <w:t xml:space="preserve"> </w:t>
      </w:r>
      <w:r>
        <w:t xml:space="preserve">- Notional: $20,000,000</w:t>
      </w:r>
      <w:r>
        <w:t xml:space="preserve"> </w:t>
      </w:r>
      <w:r>
        <w:t xml:space="preserve">- Hedge type: DIRECT (references Corp C exactly)</w:t>
      </w:r>
      <w:r>
        <w:t xml:space="preserve"> </w:t>
      </w:r>
      <w:r>
        <w:t xml:space="preserve">- CDS spread: 110 bps</w:t>
      </w:r>
      <w:r>
        <w:t xml:space="preserve"> </w:t>
      </w:r>
      <w:r>
        <w:t xml:space="preserve">- Maturity: 3.0 years (maturity mismatch vs 2.0-year exposure)</w:t>
      </w:r>
    </w:p>
    <w:bookmarkEnd w:id="49"/>
    <w:bookmarkStart w:id="50" w:name="snh_c-calculation-mar50.23"/>
    <w:p>
      <w:pPr>
        <w:pStyle w:val="Heading3"/>
      </w:pPr>
      <w:r>
        <w:t xml:space="preserve">SNH_C Calculation (MAR50.23)</w:t>
      </w:r>
    </w:p>
    <w:p>
      <w:pPr>
        <w:pStyle w:val="SourceCode"/>
      </w:pPr>
      <w:r>
        <w:rPr>
          <w:rStyle w:val="VerbatimChar"/>
        </w:rPr>
        <w:t xml:space="preserve">ρ_hc      = 1.00 (DIRECT hedge)</w:t>
      </w:r>
      <w:r>
        <w:br/>
      </w:r>
      <w:r>
        <w:rPr>
          <w:rStyle w:val="VerbatimChar"/>
        </w:rPr>
        <w:t xml:space="preserve">RW_h      = 0.0106 (BB rating, same as Corp C)</w:t>
      </w:r>
      <w:r>
        <w:br/>
      </w:r>
      <w:r>
        <w:rPr>
          <w:rStyle w:val="VerbatimChar"/>
        </w:rPr>
        <w:t xml:space="preserve">M_h_eff   = (1 − exp(−0.043 × 3.0)) / (0.043 × 3.0) = 0.9380</w:t>
      </w:r>
      <w:r>
        <w:br/>
      </w:r>
      <w:r>
        <w:br/>
      </w:r>
      <w:r>
        <w:rPr>
          <w:rStyle w:val="VerbatimChar"/>
        </w:rPr>
        <w:t xml:space="preserve">SNH_C = ρ_hc × RW_h × M_h_eff × N_hedge</w:t>
      </w:r>
      <w:r>
        <w:br/>
      </w:r>
      <w:r>
        <w:rPr>
          <w:rStyle w:val="VerbatimChar"/>
        </w:rPr>
        <w:t xml:space="preserve">      = 1.00 × 0.0106 × 0.9380 × 20,000,000</w:t>
      </w:r>
      <w:r>
        <w:br/>
      </w:r>
      <w:r>
        <w:rPr>
          <w:rStyle w:val="VerbatimChar"/>
        </w:rPr>
        <w:t xml:space="preserve">      = $198,748</w:t>
      </w:r>
    </w:p>
    <w:bookmarkEnd w:id="50"/>
    <w:bookmarkStart w:id="51" w:name="X9b98e07c2c8cb7c17a9053c03e4f1f921ba2ead"/>
    <w:p>
      <w:pPr>
        <w:pStyle w:val="Heading3"/>
      </w:pPr>
      <w:r>
        <w:t xml:space="preserve">HMA_C (Hedge Misalignment Adjustment, MAR50.25)</w:t>
      </w:r>
    </w:p>
    <w:p>
      <w:pPr>
        <w:pStyle w:val="FirstParagraph"/>
      </w:pPr>
      <w:r>
        <w:t xml:space="preserve">Since hedge is DIRECT (ρ_hc = 1.00):</w:t>
      </w:r>
    </w:p>
    <w:p>
      <w:pPr>
        <w:pStyle w:val="SourceCode"/>
      </w:pPr>
      <w:r>
        <w:rPr>
          <w:rStyle w:val="VerbatimChar"/>
        </w:rPr>
        <w:t xml:space="preserve">HMA_C = (1 − ρ_hc²) × (RW_h × M_h_eff × N_h)²</w:t>
      </w:r>
      <w:r>
        <w:br/>
      </w:r>
      <w:r>
        <w:rPr>
          <w:rStyle w:val="VerbatimChar"/>
        </w:rPr>
        <w:t xml:space="preserve">      = (1 − 1.0²) × ...</w:t>
      </w:r>
      <w:r>
        <w:br/>
      </w:r>
      <w:r>
        <w:rPr>
          <w:rStyle w:val="VerbatimChar"/>
        </w:rPr>
        <w:t xml:space="preserve">      = 0   (perfect correlation → no misalignment)</w:t>
      </w:r>
    </w:p>
    <w:bookmarkEnd w:id="51"/>
    <w:bookmarkStart w:id="52" w:name="k_full-mar50.21"/>
    <w:p>
      <w:pPr>
        <w:pStyle w:val="Heading3"/>
      </w:pPr>
      <w:r>
        <w:t xml:space="preserve">K_full (MAR50.21)</w:t>
      </w:r>
    </w:p>
    <w:p>
      <w:pPr>
        <w:pStyle w:val="SourceCode"/>
      </w:pPr>
      <w:r>
        <w:rPr>
          <w:rStyle w:val="VerbatimChar"/>
        </w:rPr>
        <w:t xml:space="preserve">Systematic  = Σ SC_c − Σ SNH_c − IH</w:t>
      </w:r>
      <w:r>
        <w:br/>
      </w:r>
      <w:r>
        <w:rPr>
          <w:rStyle w:val="VerbatimChar"/>
        </w:rPr>
        <w:t xml:space="preserve">            = 545,800 − 198,748 − 0</w:t>
      </w:r>
      <w:r>
        <w:br/>
      </w:r>
      <w:r>
        <w:rPr>
          <w:rStyle w:val="VerbatimChar"/>
        </w:rPr>
        <w:t xml:space="preserve">            = $347,052</w:t>
      </w:r>
      <w:r>
        <w:br/>
      </w:r>
      <w:r>
        <w:br/>
      </w:r>
      <w:r>
        <w:rPr>
          <w:rStyle w:val="VerbatimChar"/>
        </w:rPr>
        <w:t xml:space="preserve">Idiosyncratic = Σ (SC_c − SNH_c)²</w:t>
      </w:r>
      <w:r>
        <w:br/>
      </w:r>
      <w:r>
        <w:rPr>
          <w:rStyle w:val="VerbatimChar"/>
        </w:rPr>
        <w:t xml:space="preserve">              = (197,000 − 0)² + (145,700 − 0)² + (203,100 − 198,748)²</w:t>
      </w:r>
      <w:r>
        <w:br/>
      </w:r>
      <w:r>
        <w:rPr>
          <w:rStyle w:val="VerbatimChar"/>
        </w:rPr>
        <w:t xml:space="preserve">              = 38,809,000,000 + 21,228,490,000 + 18,932,336</w:t>
      </w:r>
      <w:r>
        <w:br/>
      </w:r>
      <w:r>
        <w:rPr>
          <w:rStyle w:val="VerbatimChar"/>
        </w:rPr>
        <w:t xml:space="preserve">              = 60,056,422,336</w:t>
      </w:r>
      <w:r>
        <w:br/>
      </w:r>
      <w:r>
        <w:br/>
      </w:r>
      <w:r>
        <w:rPr>
          <w:rStyle w:val="VerbatimChar"/>
        </w:rPr>
        <w:t xml:space="preserve">K_full = sqrt(0.25 × 347,052² + 0.75 × 60,056,422,336) + 0</w:t>
      </w:r>
      <w:r>
        <w:br/>
      </w:r>
      <w:r>
        <w:rPr>
          <w:rStyle w:val="VerbatimChar"/>
        </w:rPr>
        <w:t xml:space="preserve">       = sqrt(0.25 × 120,445,078,704 + 45,042,316,752)</w:t>
      </w:r>
      <w:r>
        <w:br/>
      </w:r>
      <w:r>
        <w:rPr>
          <w:rStyle w:val="VerbatimChar"/>
        </w:rPr>
        <w:t xml:space="preserve">       = sqrt(30,111,269,676 + 45,042,316,752)</w:t>
      </w:r>
      <w:r>
        <w:br/>
      </w:r>
      <w:r>
        <w:rPr>
          <w:rStyle w:val="VerbatimChar"/>
        </w:rPr>
        <w:t xml:space="preserve">       = sqrt(75,153,586,428)</w:t>
      </w:r>
      <w:r>
        <w:br/>
      </w:r>
      <w:r>
        <w:rPr>
          <w:rStyle w:val="VerbatimChar"/>
        </w:rPr>
        <w:t xml:space="preserve">       = $274,142</w:t>
      </w:r>
    </w:p>
    <w:bookmarkEnd w:id="52"/>
    <w:bookmarkStart w:id="53" w:name="beta-floor-check-mar50.20"/>
    <w:p>
      <w:pPr>
        <w:pStyle w:val="Heading3"/>
      </w:pPr>
      <w:r>
        <w:t xml:space="preserve">Beta Floor Check (MAR50.20)</w:t>
      </w:r>
    </w:p>
    <w:p>
      <w:pPr>
        <w:pStyle w:val="SourceCode"/>
      </w:pPr>
      <w:r>
        <w:rPr>
          <w:rStyle w:val="VerbatimChar"/>
        </w:rPr>
        <w:t xml:space="preserve">β × K_reduced = 0.25 × 387,860 = $96,965</w:t>
      </w:r>
      <w:r>
        <w:br/>
      </w:r>
      <w:r>
        <w:rPr>
          <w:rStyle w:val="VerbatimChar"/>
        </w:rPr>
        <w:t xml:space="preserve">K_full        = $274,142</w:t>
      </w:r>
      <w:r>
        <w:br/>
      </w:r>
      <w:r>
        <w:br/>
      </w:r>
      <w:r>
        <w:rPr>
          <w:rStyle w:val="VerbatimChar"/>
        </w:rPr>
        <w:t xml:space="preserve">K_hedged = max(K_full, β × K_reduced) = max(274,142, 96,965) = $274,142</w:t>
      </w:r>
      <w:r>
        <w:br/>
      </w:r>
      <w:r>
        <w:rPr>
          <w:rStyle w:val="VerbatimChar"/>
        </w:rPr>
        <w:t xml:space="preserve">Capital  = DS × K_hedged × 12.5 = 0.65 × 274,142 × 12.5 = $2,227,528</w:t>
      </w:r>
    </w:p>
    <w:p>
      <w:pPr>
        <w:pStyle w:val="FirstParagraph"/>
      </w:pPr>
      <w:r>
        <w:rPr>
          <w:b/>
          <w:bCs/>
        </w:rPr>
        <w:t xml:space="preserve">Capital saving from hedge:</w:t>
      </w:r>
      <w:r>
        <w:t xml:space="preserve"> </w:t>
      </w:r>
      <w:r>
        <w:t xml:space="preserve">$3,151,113 − $2,227,528 =</w:t>
      </w:r>
      <w:r>
        <w:t xml:space="preserve"> </w:t>
      </w:r>
      <w:r>
        <w:rPr>
          <w:b/>
          <w:bCs/>
        </w:rPr>
        <w:t xml:space="preserve">$923,585 (29% reduction)</w:t>
      </w:r>
    </w:p>
    <w:p>
      <w:r>
        <w:pict>
          <v:rect style="width:0;height:1.5pt" o:hralign="center" o:hrstd="t" o:hr="t"/>
        </w:pict>
      </w:r>
    </w:p>
    <w:bookmarkEnd w:id="53"/>
    <w:bookmarkEnd w:id="54"/>
    <w:bookmarkStart w:id="59" w:name="appendix-c-numeric-walk-through-sa-cva"/>
    <w:p>
      <w:pPr>
        <w:pStyle w:val="Heading2"/>
      </w:pPr>
      <w:r>
        <w:t xml:space="preserve">Appendix C — Numeric Walk-Through: SA-CVA</w:t>
      </w:r>
    </w:p>
    <w:bookmarkStart w:id="55" w:name="setup"/>
    <w:p>
      <w:pPr>
        <w:pStyle w:val="Heading3"/>
      </w:pPr>
      <w:r>
        <w:t xml:space="preserve">Setup</w:t>
      </w:r>
    </w:p>
    <w:p>
      <w:pPr>
        <w:pStyle w:val="FirstParagraph"/>
      </w:pPr>
      <w:r>
        <w:t xml:space="preserve">Bank A (Financials, IG, live CDS spread = 85 bps), no hedge, 3Y maturity, EAD = $50M, SOFR = 4.3%.</w:t>
      </w:r>
    </w:p>
    <w:p>
      <w:pPr>
        <w:pStyle w:val="BodyText"/>
      </w:pPr>
      <w:r>
        <w:rPr>
          <w:b/>
          <w:bCs/>
        </w:rPr>
        <w:t xml:space="preserve">SA-CVA eligible:</w:t>
      </w:r>
      <w:r>
        <w:t xml:space="preserve"> </w:t>
      </w:r>
      <w:r>
        <w:t xml:space="preserve">SA-CVA approved, spread_source =</w:t>
      </w:r>
      <w:r>
        <w:t xml:space="preserve"> </w:t>
      </w:r>
      <w:r>
        <w:t xml:space="preserve">‘LIVE’</w:t>
      </w:r>
      <w:r>
        <w:t xml:space="preserve">.</w:t>
      </w:r>
    </w:p>
    <w:bookmarkEnd w:id="55"/>
    <w:bookmarkStart w:id="56" w:name="bucket-and-risk-weight"/>
    <w:p>
      <w:pPr>
        <w:pStyle w:val="Heading3"/>
      </w:pPr>
      <w:r>
        <w:t xml:space="preserve">Bucket and Risk Weight</w:t>
      </w:r>
    </w:p>
    <w:p>
      <w:pPr>
        <w:pStyle w:val="SourceCode"/>
      </w:pPr>
      <w:r>
        <w:rPr>
          <w:rStyle w:val="VerbatimChar"/>
        </w:rPr>
        <w:t xml:space="preserve">Sector = "Financials" → Bucket 2</w:t>
      </w:r>
      <w:r>
        <w:br/>
      </w:r>
      <w:r>
        <w:rPr>
          <w:rStyle w:val="VerbatimChar"/>
        </w:rPr>
        <w:t xml:space="preserve">Credit Quality = "IG"</w:t>
      </w:r>
      <w:r>
        <w:br/>
      </w:r>
      <w:r>
        <w:rPr>
          <w:rStyle w:val="VerbatimChar"/>
        </w:rPr>
        <w:t xml:space="preserve">RW_spread (MAR50.65 Table 7, Bucket 2 IG) = 1.0% = 0.010</w:t>
      </w:r>
    </w:p>
    <w:bookmarkEnd w:id="56"/>
    <w:bookmarkStart w:id="57" w:name="delta-sensitivity"/>
    <w:p>
      <w:pPr>
        <w:pStyle w:val="Heading3"/>
      </w:pPr>
      <w:r>
        <w:t xml:space="preserve">Delta Sensitivity</w:t>
      </w:r>
    </w:p>
    <w:p>
      <w:pPr>
        <w:pStyle w:val="SourceCode"/>
      </w:pPr>
      <w:r>
        <w:rPr>
          <w:rStyle w:val="VerbatimChar"/>
        </w:rPr>
        <w:t xml:space="preserve">spread   = 85 bps / 10000 = 0.0085</w:t>
      </w:r>
      <w:r>
        <w:br/>
      </w:r>
      <w:r>
        <w:rPr>
          <w:rStyle w:val="VerbatimChar"/>
        </w:rPr>
        <w:t xml:space="preserve">M_eff    = (1 − exp(−0.043 × 3)) / (0.043 × 3) = 0.9380</w:t>
      </w:r>
      <w:r>
        <w:br/>
      </w:r>
      <w:r>
        <w:rPr>
          <w:rStyle w:val="VerbatimChar"/>
        </w:rPr>
        <w:t xml:space="preserve">LGD      = 1 − recovery_Financials = 1 − 0.40 = 0.60</w:t>
      </w:r>
      <w:r>
        <w:br/>
      </w:r>
      <w:r>
        <w:br/>
      </w:r>
      <w:r>
        <w:rPr>
          <w:rStyle w:val="VerbatimChar"/>
        </w:rPr>
        <w:t xml:space="preserve">delta_sens = EAD × M_eff × LGD</w:t>
      </w:r>
      <w:r>
        <w:br/>
      </w:r>
      <w:r>
        <w:rPr>
          <w:rStyle w:val="VerbatimChar"/>
        </w:rPr>
        <w:t xml:space="preserve">           = 50,000,000 × 0.9380 × 0.60</w:t>
      </w:r>
      <w:r>
        <w:br/>
      </w:r>
      <w:r>
        <w:rPr>
          <w:rStyle w:val="VerbatimChar"/>
        </w:rPr>
        <w:t xml:space="preserve">           = $28,140,000</w:t>
      </w:r>
      <w:r>
        <w:br/>
      </w:r>
      <w:r>
        <w:br/>
      </w:r>
      <w:r>
        <w:rPr>
          <w:rStyle w:val="VerbatimChar"/>
        </w:rPr>
        <w:t xml:space="preserve">delta_charge = RW_spread × delta_sens</w:t>
      </w:r>
      <w:r>
        <w:br/>
      </w:r>
      <w:r>
        <w:rPr>
          <w:rStyle w:val="VerbatimChar"/>
        </w:rPr>
        <w:t xml:space="preserve">             = 0.010 × 28,140,000</w:t>
      </w:r>
      <w:r>
        <w:br/>
      </w:r>
      <w:r>
        <w:rPr>
          <w:rStyle w:val="VerbatimChar"/>
        </w:rPr>
        <w:t xml:space="preserve">             = $281,400</w:t>
      </w:r>
      <w:r>
        <w:br/>
      </w:r>
      <w:r>
        <w:br/>
      </w:r>
      <w:r>
        <w:rPr>
          <w:rStyle w:val="VerbatimChar"/>
        </w:rPr>
        <w:t xml:space="preserve">rwa_delta = delta_charge × 12.5 = $3,517,500</w:t>
      </w:r>
    </w:p>
    <w:bookmarkEnd w:id="57"/>
    <w:bookmarkStart w:id="58" w:name="comparison-ba-cva-vs-sa-cva-for-bank-a"/>
    <w:p>
      <w:pPr>
        <w:pStyle w:val="Heading3"/>
      </w:pPr>
      <w:r>
        <w:t xml:space="preserve">Comparison: BA-CVA vs SA-CVA for Bank 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Capital</w:t>
            </w:r>
          </w:p>
        </w:tc>
        <w:tc>
          <w:tcPr/>
          <w:p>
            <w:pPr>
              <w:pStyle w:val="Compact"/>
            </w:pPr>
            <w:r>
              <w:t xml:space="preserve">RWA</w:t>
            </w:r>
          </w:p>
        </w:tc>
      </w:tr>
      <w:tr>
        <w:tc>
          <w:tcPr/>
          <w:p>
            <w:pPr>
              <w:pStyle w:val="Compact"/>
            </w:pPr>
            <w:r>
              <w:t xml:space="preserve">BA-CVA (share of $3.15M)</w:t>
            </w:r>
          </w:p>
        </w:tc>
        <w:tc>
          <w:tcPr/>
          <w:p>
            <w:pPr>
              <w:pStyle w:val="Compact"/>
            </w:pPr>
            <w:r>
              <w:t xml:space="preserve">$1,137,555</w:t>
            </w:r>
          </w:p>
        </w:tc>
        <w:tc>
          <w:tcPr/>
          <w:p>
            <w:pPr>
              <w:pStyle w:val="Compact"/>
            </w:pPr>
            <w:r>
              <w:t xml:space="preserve">$1,137,555</w:t>
            </w:r>
          </w:p>
        </w:tc>
      </w:tr>
      <w:tr>
        <w:tc>
          <w:tcPr/>
          <w:p>
            <w:pPr>
              <w:pStyle w:val="Compact"/>
            </w:pPr>
            <w:r>
              <w:t xml:space="preserve">SA-CVA</w:t>
            </w:r>
          </w:p>
        </w:tc>
        <w:tc>
          <w:tcPr/>
          <w:p>
            <w:pPr>
              <w:pStyle w:val="Compact"/>
            </w:pPr>
            <w:r>
              <w:t xml:space="preserve">$3,517,500</w:t>
            </w:r>
          </w:p>
        </w:tc>
        <w:tc>
          <w:tcPr/>
          <w:p>
            <w:pPr>
              <w:pStyle w:val="Compact"/>
            </w:pPr>
            <w:r>
              <w:t xml:space="preserve">$3,517,500</w:t>
            </w:r>
          </w:p>
        </w:tc>
      </w:tr>
    </w:tbl>
    <w:p>
      <w:pPr>
        <w:pStyle w:val="BodyText"/>
      </w:pPr>
      <w:r>
        <w:t xml:space="preserve">SA-CVA is</w:t>
      </w:r>
      <w:r>
        <w:t xml:space="preserve"> </w:t>
      </w:r>
      <w:r>
        <w:rPr>
          <w:b/>
          <w:bCs/>
        </w:rPr>
        <w:t xml:space="preserve">higher</w:t>
      </w:r>
      <w:r>
        <w:t xml:space="preserve"> </w:t>
      </w:r>
      <w:r>
        <w:t xml:space="preserve">here because the 1.0% RW_spread (Financials IG) × LGD effect is larger than the BA-CVA supervisory spread (0.42%). SA-CVA benefits most from hedge recognition and when actual spreads are narrow relative to supervisory proxies.</w:t>
      </w:r>
    </w:p>
    <w:p>
      <w:r>
        <w:pict>
          <v:rect style="width:0;height:1.5pt" o:hralign="center" o:hrstd="t" o:hr="t"/>
        </w:pict>
      </w:r>
    </w:p>
    <w:bookmarkEnd w:id="58"/>
    <w:bookmarkEnd w:id="59"/>
    <w:bookmarkStart w:id="62" w:name="Xa4db1c16050c60d09ed11e1b129cca64b020441"/>
    <w:p>
      <w:pPr>
        <w:pStyle w:val="Heading2"/>
      </w:pPr>
      <w:r>
        <w:t xml:space="preserve">Appendix D — Wrong-Way Risk: CDS on Financials</w:t>
      </w:r>
    </w:p>
    <w:bookmarkStart w:id="60" w:name="setup-1"/>
    <w:p>
      <w:pPr>
        <w:pStyle w:val="Heading3"/>
      </w:pPr>
      <w:r>
        <w:t xml:space="preserve">Setup</w:t>
      </w:r>
    </w:p>
    <w:p>
      <w:pPr>
        <w:pStyle w:val="FirstParagraph"/>
      </w:pPr>
      <w:r>
        <w:t xml:space="preserve">Bank buys $30M CDS protection from a financial counterparty on an index.</w:t>
      </w:r>
      <w:r>
        <w:t xml:space="preserve"> </w:t>
      </w:r>
      <w:r>
        <w:t xml:space="preserve">-</w:t>
      </w:r>
      <w:r>
        <w:t xml:space="preserve"> </w:t>
      </w:r>
      <w:r>
        <w:rPr>
          <w:rStyle w:val="VerbatimChar"/>
        </w:rPr>
        <w:t xml:space="preserve">is_wrong_way = True</w:t>
      </w:r>
      <w:r>
        <w:t xml:space="preserve"> </w:t>
      </w:r>
      <w:r>
        <w:t xml:space="preserve">(protection seller faces same stress as CDS market)</w:t>
      </w:r>
      <w:r>
        <w:t xml:space="preserve"> </w:t>
      </w:r>
      <w:r>
        <w:t xml:space="preserve">-</w:t>
      </w:r>
      <w:r>
        <w:t xml:space="preserve"> </w:t>
      </w:r>
      <w:r>
        <w:rPr>
          <w:rStyle w:val="VerbatimChar"/>
        </w:rPr>
        <w:t xml:space="preserve">wwr_add_on = 0.25</w:t>
      </w:r>
      <w:r>
        <w:t xml:space="preserve"> </w:t>
      </w:r>
      <w:r>
        <w:t xml:space="preserve">(25% EAD uplift as conservative proxy)</w:t>
      </w:r>
    </w:p>
    <w:bookmarkEnd w:id="60"/>
    <w:bookmarkStart w:id="61" w:name="wwr-impact"/>
    <w:p>
      <w:pPr>
        <w:pStyle w:val="Heading3"/>
      </w:pPr>
      <w:r>
        <w:t xml:space="preserve">WWR Impact</w:t>
      </w:r>
    </w:p>
    <w:p>
      <w:pPr>
        <w:pStyle w:val="SourceCode"/>
      </w:pPr>
      <w:r>
        <w:rPr>
          <w:rStyle w:val="VerbatimChar"/>
        </w:rPr>
        <w:t xml:space="preserve">EAD_base = $30,000,000</w:t>
      </w:r>
      <w:r>
        <w:br/>
      </w:r>
      <w:r>
        <w:rPr>
          <w:rStyle w:val="VerbatimChar"/>
        </w:rPr>
        <w:t xml:space="preserve">EAD_eff  = EAD_base × (1 + wwr_add_on) = 30M × 1.25 = $37,500,000</w:t>
      </w:r>
      <w:r>
        <w:br/>
      </w:r>
      <w:r>
        <w:br/>
      </w:r>
      <w:r>
        <w:rPr>
          <w:rStyle w:val="VerbatimChar"/>
        </w:rPr>
        <w:t xml:space="preserve">SC_c (with WWR) = RW × M_eff × EAD_eff</w:t>
      </w:r>
      <w:r>
        <w:br/>
      </w:r>
      <w:r>
        <w:rPr>
          <w:rStyle w:val="VerbatimChar"/>
        </w:rPr>
        <w:t xml:space="preserve">               = 0.0042 × 0.9380 × 37,500,000</w:t>
      </w:r>
      <w:r>
        <w:br/>
      </w:r>
      <w:r>
        <w:rPr>
          <w:rStyle w:val="VerbatimChar"/>
        </w:rPr>
        <w:t xml:space="preserve">               = $147,807   (vs $118,245 without WWR, +25%)</w:t>
      </w:r>
    </w:p>
    <w:p>
      <w:pPr>
        <w:pStyle w:val="FirstParagraph"/>
      </w:pPr>
      <w:r>
        <w:rPr>
          <w:b/>
          <w:bCs/>
        </w:rPr>
        <w:t xml:space="preserve">CRO Note:</w:t>
      </w:r>
      <w:r>
        <w:t xml:space="preserve"> </w:t>
      </w:r>
      <w:r>
        <w:t xml:space="preserve">WWR is often underestimated in stress. A 25% add-on is conservative but reasonable for financial sector counterparties selling credit protection during market stress events. Production should model correlation between counterparty default intensity and trade mark-to-market.</w:t>
      </w:r>
    </w:p>
    <w:p>
      <w:r>
        <w:pict>
          <v:rect style="width:0;height:1.5pt" o:hralign="center" o:hrstd="t" o:hr="t"/>
        </w:pict>
      </w:r>
    </w:p>
    <w:bookmarkEnd w:id="61"/>
    <w:bookmarkEnd w:id="62"/>
    <w:bookmarkStart w:id="63" w:name="X9a87c580c62c9a7bae96eb7bd6fcedea69c915e"/>
    <w:p>
      <w:pPr>
        <w:pStyle w:val="Heading2"/>
      </w:pPr>
      <w:r>
        <w:t xml:space="preserve">Appendix E — Cross-Method Portfolio Comparison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Method</w:t>
            </w:r>
          </w:p>
        </w:tc>
        <w:tc>
          <w:tcPr/>
          <w:p>
            <w:pPr>
              <w:pStyle w:val="Compact"/>
            </w:pPr>
            <w:r>
              <w:t xml:space="preserve">Capital</w:t>
            </w:r>
          </w:p>
        </w:tc>
        <w:tc>
          <w:tcPr/>
          <w:p>
            <w:pPr>
              <w:pStyle w:val="Compact"/>
            </w:pPr>
            <w:r>
              <w:t xml:space="preserve">Notes</w:t>
            </w:r>
          </w:p>
        </w:tc>
      </w:tr>
      <w:tr>
        <w:tc>
          <w:tcPr/>
          <w:p>
            <w:pPr>
              <w:pStyle w:val="Compact"/>
            </w:pPr>
            <w:r>
              <w:t xml:space="preserve">Below EUR 100bn notional</w:t>
            </w:r>
          </w:p>
        </w:tc>
        <w:tc>
          <w:tcPr/>
          <w:p>
            <w:pPr>
              <w:pStyle w:val="Compact"/>
            </w:pPr>
            <w:r>
              <w:t xml:space="preserve">CCR Proxy</w:t>
            </w:r>
          </w:p>
        </w:tc>
        <w:tc>
          <w:tcPr/>
          <w:p>
            <w:pPr>
              <w:pStyle w:val="Compact"/>
            </w:pPr>
            <w:r>
              <w:t xml:space="preserve">= CCR RWA</w:t>
            </w:r>
          </w:p>
        </w:tc>
        <w:tc>
          <w:tcPr/>
          <w:p>
            <w:pPr>
              <w:pStyle w:val="Compact"/>
            </w:pPr>
            <w:r>
              <w:t xml:space="preserve">Simplest; threshold bank</w:t>
            </w:r>
          </w:p>
        </w:tc>
      </w:tr>
      <w:tr>
        <w:tc>
          <w:tcPr/>
          <w:p>
            <w:pPr>
              <w:pStyle w:val="Compact"/>
            </w:pPr>
            <w:r>
              <w:t xml:space="preserve">Above threshold, no SA approval</w:t>
            </w:r>
          </w:p>
        </w:tc>
        <w:tc>
          <w:tcPr/>
          <w:p>
            <w:pPr>
              <w:pStyle w:val="Compact"/>
            </w:pPr>
            <w:r>
              <w:t xml:space="preserve">BA-CVA Reduced</w:t>
            </w:r>
          </w:p>
        </w:tc>
        <w:tc>
          <w:tcPr/>
          <w:p>
            <w:pPr>
              <w:pStyle w:val="Compact"/>
            </w:pPr>
            <w:r>
              <w:t xml:space="preserve">$3,151,113</w:t>
            </w:r>
          </w:p>
        </w:tc>
        <w:tc>
          <w:tcPr/>
          <w:p>
            <w:pPr>
              <w:pStyle w:val="Compact"/>
            </w:pPr>
            <w:r>
              <w:t xml:space="preserve">Appendix A result</w:t>
            </w:r>
          </w:p>
        </w:tc>
      </w:tr>
      <w:tr>
        <w:tc>
          <w:tcPr/>
          <w:p>
            <w:pPr>
              <w:pStyle w:val="Compact"/>
            </w:pPr>
            <w:r>
              <w:t xml:space="preserve">BA-CVA with direct hedge on Corp C</w:t>
            </w:r>
          </w:p>
        </w:tc>
        <w:tc>
          <w:tcPr/>
          <w:p>
            <w:pPr>
              <w:pStyle w:val="Compact"/>
            </w:pPr>
            <w:r>
              <w:t xml:space="preserve">BA-CVA Full</w:t>
            </w:r>
          </w:p>
        </w:tc>
        <w:tc>
          <w:tcPr/>
          <w:p>
            <w:pPr>
              <w:pStyle w:val="Compact"/>
            </w:pPr>
            <w:r>
              <w:t xml:space="preserve">$2,227,528</w:t>
            </w:r>
          </w:p>
        </w:tc>
        <w:tc>
          <w:tcPr/>
          <w:p>
            <w:pPr>
              <w:pStyle w:val="Compact"/>
            </w:pPr>
            <w:r>
              <w:t xml:space="preserve">Appendix B result</w:t>
            </w:r>
          </w:p>
        </w:tc>
      </w:tr>
      <w:tr>
        <w:tc>
          <w:tcPr/>
          <w:p>
            <w:pPr>
              <w:pStyle w:val="Compact"/>
            </w:pPr>
            <w:r>
              <w:t xml:space="preserve">Bank A via SA-CVA only</w:t>
            </w:r>
          </w:p>
        </w:tc>
        <w:tc>
          <w:tcPr/>
          <w:p>
            <w:pPr>
              <w:pStyle w:val="Compact"/>
            </w:pPr>
            <w:r>
              <w:t xml:space="preserve">SA-CVA</w:t>
            </w:r>
          </w:p>
        </w:tc>
        <w:tc>
          <w:tcPr/>
          <w:p>
            <w:pPr>
              <w:pStyle w:val="Compact"/>
            </w:pPr>
            <w:r>
              <w:t xml:space="preserve">$3,517,500</w:t>
            </w:r>
          </w:p>
        </w:tc>
        <w:tc>
          <w:tcPr/>
          <w:p>
            <w:pPr>
              <w:pStyle w:val="Compact"/>
            </w:pPr>
            <w:r>
              <w:t xml:space="preserve">Appendix C</w:t>
            </w:r>
          </w:p>
        </w:tc>
      </w:tr>
      <w:tr>
        <w:tc>
          <w:tcPr/>
          <w:p>
            <w:pPr>
              <w:pStyle w:val="Compact"/>
            </w:pPr>
            <w:r>
              <w:t xml:space="preserve">Financials CPY with WWR</w:t>
            </w:r>
          </w:p>
        </w:tc>
        <w:tc>
          <w:tcPr/>
          <w:p>
            <w:pPr>
              <w:pStyle w:val="Compact"/>
            </w:pPr>
            <w:r>
              <w:t xml:space="preserve">BA-CVA + WWR</w:t>
            </w:r>
          </w:p>
        </w:tc>
        <w:tc>
          <w:tcPr/>
          <w:p>
            <w:pPr>
              <w:pStyle w:val="Compact"/>
            </w:pPr>
            <w:r>
              <w:t xml:space="preserve">+25% add-on</w:t>
            </w:r>
          </w:p>
        </w:tc>
        <w:tc>
          <w:tcPr/>
          <w:p>
            <w:pPr>
              <w:pStyle w:val="Compact"/>
            </w:pPr>
            <w:r>
              <w:t xml:space="preserve">Appendix D</w:t>
            </w:r>
          </w:p>
        </w:tc>
      </w:tr>
    </w:tbl>
    <w:p>
      <w:pPr>
        <w:pStyle w:val="BodyText"/>
      </w:pPr>
      <w:r>
        <w:rPr>
          <w:b/>
          <w:bCs/>
        </w:rPr>
        <w:t xml:space="preserve">Key insight for the CRO:</w:t>
      </w:r>
      <w:r>
        <w:t xml:space="preserve"> </w:t>
      </w:r>
      <w:r>
        <w:t xml:space="preserve">BA-CVA with well-structured direct hedges can be more capital-efficient than SA-CVA for portfolios where counterparty spreads are high relative to supervisory proxies. SA-CVA earns its advantage primarily when the bank has tight, well-hedged credit positions in IG sectors (where the Table 7 RW is low).</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2026-04-18T15:13:07Z</dcterms:created>
  <dcterms:modified xsi:type="dcterms:W3CDTF">2026-04-18T15:13:07Z</dcterms:modified>
</cp:coreProperties>
</file>

<file path=docProps/custom.xml><?xml version="1.0" encoding="utf-8"?>
<Properties xmlns="http://schemas.openxmlformats.org/officeDocument/2006/custom-properties" xmlns:vt="http://schemas.openxmlformats.org/officeDocument/2006/docPropsVTypes"/>
</file>