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sa-ccr-technical-guide"/>
    <w:p>
      <w:pPr>
        <w:pStyle w:val="Heading1"/>
      </w:pPr>
      <w:r>
        <w:t xml:space="preserve">SA-CCR Technical Guide</w:t>
      </w:r>
    </w:p>
    <w:bookmarkStart w:id="10" w:name="X87593681b6574fc222e36073071b2a3630f0bc9"/>
    <w:p>
      <w:pPr>
        <w:pStyle w:val="Heading2"/>
      </w:pPr>
      <w:r>
        <w:t xml:space="preserve">Standardised Approach for Counterparty Credit Risk (CRE52)</w:t>
      </w:r>
    </w:p>
    <w:bookmarkStart w:id="9" w:name="prometheus-risk-platform"/>
    <w:p>
      <w:pPr>
        <w:pStyle w:val="Heading3"/>
      </w:pPr>
      <w:r>
        <w:t xml:space="preserve">PROMETHEUS Risk Platform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Overview &amp; Regulatory Basis</w:t>
      </w:r>
    </w:p>
    <w:p>
      <w:pPr>
        <w:pStyle w:val="Compact"/>
        <w:numPr>
          <w:ilvl w:val="0"/>
          <w:numId w:val="1001"/>
        </w:numPr>
      </w:pPr>
      <w:r>
        <w:t xml:space="preserve">SA-CCR Structure</w:t>
      </w:r>
    </w:p>
    <w:p>
      <w:pPr>
        <w:pStyle w:val="Compact"/>
        <w:numPr>
          <w:ilvl w:val="0"/>
          <w:numId w:val="1001"/>
        </w:numPr>
      </w:pPr>
      <w:r>
        <w:t xml:space="preserve">Replacement Cost (RC)</w:t>
      </w:r>
    </w:p>
    <w:p>
      <w:pPr>
        <w:pStyle w:val="Compact"/>
        <w:numPr>
          <w:ilvl w:val="0"/>
          <w:numId w:val="1001"/>
        </w:numPr>
      </w:pPr>
      <w:r>
        <w:t xml:space="preserve">PFE Multiplier</w:t>
      </w:r>
    </w:p>
    <w:p>
      <w:pPr>
        <w:pStyle w:val="Compact"/>
        <w:numPr>
          <w:ilvl w:val="0"/>
          <w:numId w:val="1001"/>
        </w:numPr>
      </w:pPr>
      <w:r>
        <w:t xml:space="preserve">Add-On by Asset Class</w:t>
      </w:r>
    </w:p>
    <w:p>
      <w:pPr>
        <w:pStyle w:val="Compact"/>
        <w:numPr>
          <w:ilvl w:val="0"/>
          <w:numId w:val="1001"/>
        </w:numPr>
      </w:pPr>
      <w:r>
        <w:t xml:space="preserve">EAD Formula and Margined Cap</w:t>
      </w:r>
    </w:p>
    <w:p>
      <w:pPr>
        <w:pStyle w:val="Compact"/>
        <w:numPr>
          <w:ilvl w:val="0"/>
          <w:numId w:val="1001"/>
        </w:numPr>
      </w:pPr>
      <w:r>
        <w:t xml:space="preserve">Supervisory Delta — Options and CDOs</w:t>
      </w:r>
    </w:p>
    <w:p>
      <w:pPr>
        <w:pStyle w:val="Compact"/>
        <w:numPr>
          <w:ilvl w:val="0"/>
          <w:numId w:val="1001"/>
        </w:numPr>
      </w:pPr>
      <w:r>
        <w:t xml:space="preserve">Key Gap Fixes Applied (GAP-01 to GAP-13)</w:t>
      </w:r>
    </w:p>
    <w:p>
      <w:pPr>
        <w:pStyle w:val="Compact"/>
        <w:numPr>
          <w:ilvl w:val="0"/>
          <w:numId w:val="1001"/>
        </w:numPr>
      </w:pPr>
      <w:r>
        <w:t xml:space="preserve">Data Structures Reference</w:t>
      </w:r>
    </w:p>
    <w:p>
      <w:pPr>
        <w:pStyle w:val="Compact"/>
        <w:numPr>
          <w:ilvl w:val="0"/>
          <w:numId w:val="1001"/>
        </w:numPr>
      </w:pPr>
      <w:r>
        <w:t xml:space="preserve">Glossary</w:t>
      </w:r>
    </w:p>
    <w:p>
      <w:pPr>
        <w:pStyle w:val="FirstParagraph"/>
      </w:pPr>
      <w:r>
        <w:rPr>
          <w:b/>
          <w:bCs/>
        </w:rPr>
        <w:t xml:space="preserve">Appendix A</w:t>
      </w:r>
      <w:r>
        <w:t xml:space="preserve"> </w:t>
      </w:r>
      <w:r>
        <w:t xml:space="preserve">— Interest Rate Swap (IRS): Full Numeric Example</w:t>
      </w:r>
      <w:r>
        <w:t xml:space="preserve"> </w:t>
      </w:r>
      <w:r>
        <w:rPr>
          <w:b/>
          <w:bCs/>
        </w:rPr>
        <w:t xml:space="preserve">Appendix B</w:t>
      </w:r>
      <w:r>
        <w:t xml:space="preserve"> </w:t>
      </w:r>
      <w:r>
        <w:t xml:space="preserve">— FX Forward: Full Numeric Example</w:t>
      </w:r>
      <w:r>
        <w:t xml:space="preserve"> </w:t>
      </w:r>
      <w:r>
        <w:rPr>
          <w:b/>
          <w:bCs/>
        </w:rPr>
        <w:t xml:space="preserve">Appendix C</w:t>
      </w:r>
      <w:r>
        <w:t xml:space="preserve"> </w:t>
      </w:r>
      <w:r>
        <w:t xml:space="preserve">— CDS Single-Name: Full Numeric Example</w:t>
      </w:r>
      <w:r>
        <w:t xml:space="preserve"> </w:t>
      </w:r>
      <w:r>
        <w:rPr>
          <w:b/>
          <w:bCs/>
        </w:rPr>
        <w:t xml:space="preserve">Appendix D</w:t>
      </w:r>
      <w:r>
        <w:t xml:space="preserve"> </w:t>
      </w:r>
      <w:r>
        <w:t xml:space="preserve">— Equity Option (Margined Netting Set)</w:t>
      </w:r>
      <w:r>
        <w:t xml:space="preserve"> </w:t>
      </w:r>
      <w:r>
        <w:rPr>
          <w:b/>
          <w:bCs/>
        </w:rPr>
        <w:t xml:space="preserve">Appendix E</w:t>
      </w:r>
      <w:r>
        <w:t xml:space="preserve"> </w:t>
      </w:r>
      <w:r>
        <w:t xml:space="preserve">— Multi-Asset Netting Set</w:t>
      </w:r>
    </w:p>
    <w:p>
      <w:r>
        <w:pict>
          <v:rect style="width:0;height:1.5pt" o:hralign="center" o:hrstd="t" o:hr="t"/>
        </w:pict>
      </w:r>
    </w:p>
    <w:bookmarkEnd w:id="11"/>
    <w:bookmarkStart w:id="13" w:name="overview-regulatory-basis"/>
    <w:p>
      <w:pPr>
        <w:pStyle w:val="Heading2"/>
      </w:pPr>
      <w:r>
        <w:t xml:space="preserve">1. Overview &amp; Regulatory Basis</w:t>
      </w:r>
    </w:p>
    <w:p>
      <w:pPr>
        <w:pStyle w:val="FirstParagraph"/>
      </w:pPr>
      <w:r>
        <w:t xml:space="preserve">SA-CCR is the</w:t>
      </w:r>
      <w:r>
        <w:t xml:space="preserve"> </w:t>
      </w:r>
      <w:r>
        <w:rPr>
          <w:b/>
          <w:bCs/>
        </w:rPr>
        <w:t xml:space="preserve">Basel standardised method</w:t>
      </w:r>
      <w:r>
        <w:t xml:space="preserve"> </w:t>
      </w:r>
      <w:r>
        <w:t xml:space="preserve">for computing Exposure at Default (EAD) for OTC derivatives and exchange-traded derivatives. EAD feeds into:</w:t>
      </w:r>
      <w:r>
        <w:t xml:space="preserve"> </w:t>
      </w:r>
      <w:r>
        <w:t xml:space="preserve">- Credit Risk RWA (× counterparty risk weight)</w:t>
      </w:r>
      <w:r>
        <w:t xml:space="preserve"> </w:t>
      </w:r>
      <w:r>
        <w:t xml:space="preserve">- CVA capital (via EAD as exposure proxy)</w:t>
      </w:r>
      <w:r>
        <w:t xml:space="preserve"> </w:t>
      </w:r>
      <w:r>
        <w:t xml:space="preserve">- CCP capital (as trade_ead input)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CRE52 Section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CRE52.10</w:t>
            </w:r>
          </w:p>
        </w:tc>
        <w:tc>
          <w:tcPr/>
          <w:p>
            <w:pPr>
              <w:pStyle w:val="Compact"/>
            </w:pPr>
            <w:r>
              <w:t xml:space="preserve">Replacement Cost — unmargined netting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CRE52.18</w:t>
            </w:r>
          </w:p>
        </w:tc>
        <w:tc>
          <w:tcPr/>
          <w:p>
            <w:pPr>
              <w:pStyle w:val="Compact"/>
            </w:pPr>
            <w:r>
              <w:t xml:space="preserve">Replacement Cost — margined netting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CRE52.22–23</w:t>
            </w:r>
          </w:p>
        </w:tc>
        <w:tc>
          <w:tcPr/>
          <w:p>
            <w:pPr>
              <w:pStyle w:val="Compact"/>
            </w:pPr>
            <w:r>
              <w:t xml:space="preserve">PFE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CRE52.34</w:t>
            </w:r>
          </w:p>
        </w:tc>
        <w:tc>
          <w:tcPr/>
          <w:p>
            <w:pPr>
              <w:pStyle w:val="Compact"/>
            </w:pPr>
            <w:r>
              <w:t xml:space="preserve">Maturity factor — unmargined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CRE52.52</w:t>
            </w:r>
          </w:p>
        </w:tc>
        <w:tc>
          <w:tcPr/>
          <w:p>
            <w:pPr>
              <w:pStyle w:val="Compact"/>
            </w:pPr>
            <w:r>
              <w:t xml:space="preserve">Maturity factor — margined (MPOR-based)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CRE52.56–71</w:t>
            </w:r>
          </w:p>
        </w:tc>
        <w:tc>
          <w:tcPr/>
          <w:p>
            <w:pPr>
              <w:pStyle w:val="Compact"/>
            </w:pPr>
            <w:r>
              <w:t xml:space="preserve">Add-On computation per asset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CRE52.2</w:t>
            </w:r>
          </w:p>
        </w:tc>
        <w:tc>
          <w:tcPr/>
          <w:p>
            <w:pPr>
              <w:pStyle w:val="Compact"/>
            </w:pPr>
            <w:r>
              <w:t xml:space="preserve">Margined EAD cap at unmargined 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CRE52.40–41</w:t>
            </w:r>
          </w:p>
        </w:tc>
        <w:tc>
          <w:tcPr/>
          <w:p>
            <w:pPr>
              <w:pStyle w:val="Compact"/>
            </w:pPr>
            <w:r>
              <w:t xml:space="preserve">Supervisory delta for options and CDO tranches</w:t>
            </w:r>
          </w:p>
        </w:tc>
      </w:tr>
    </w:tbl>
    <w:bookmarkStart w:id="12" w:name="key-formula"/>
    <w:p>
      <w:pPr>
        <w:pStyle w:val="Heading3"/>
      </w:pPr>
      <w:r>
        <w:t xml:space="preserve">Key Formula</w:t>
      </w:r>
    </w:p>
    <w:p>
      <w:pPr>
        <w:pStyle w:val="SourceCode"/>
      </w:pPr>
      <w:r>
        <w:rPr>
          <w:rStyle w:val="VerbatimChar"/>
        </w:rPr>
        <w:t xml:space="preserve">EAD = α × (RC + Multiplier × AddOn_aggregate)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α      = 1.4 (supervisory scaling factor)</w:t>
      </w:r>
      <w:r>
        <w:br/>
      </w:r>
      <w:r>
        <w:rPr>
          <w:rStyle w:val="VerbatimChar"/>
        </w:rPr>
        <w:t xml:space="preserve">  RC     = Replacement Cost</w:t>
      </w:r>
      <w:r>
        <w:br/>
      </w:r>
      <w:r>
        <w:rPr>
          <w:rStyle w:val="VerbatimChar"/>
        </w:rPr>
        <w:t xml:space="preserve">  AddOn  = Potential Future Exposure add-on (sum across asset classes)</w:t>
      </w:r>
      <w:r>
        <w:br/>
      </w:r>
      <w:r>
        <w:rPr>
          <w:rStyle w:val="VerbatimChar"/>
        </w:rPr>
        <w:t xml:space="preserve">  Multiplier = PFE multiplier (function of V and C)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a-ccr-structure"/>
    <w:p>
      <w:pPr>
        <w:pStyle w:val="Heading2"/>
      </w:pPr>
      <w:r>
        <w:t xml:space="preserve">2. SA-CCR Structure</w:t>
      </w:r>
    </w:p>
    <w:p>
      <w:pPr>
        <w:pStyle w:val="SourceCode"/>
      </w:pPr>
      <w:r>
        <w:rPr>
          <w:rStyle w:val="VerbatimChar"/>
        </w:rPr>
        <w:t xml:space="preserve">Netting Set Input (trades + collateral)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Replacement Cost (RC)</w:t>
      </w:r>
      <w:r>
        <w:br/>
      </w:r>
      <w:r>
        <w:rPr>
          <w:rStyle w:val="VerbatimChar"/>
        </w:rPr>
        <w:t xml:space="preserve">        │    ├── Unmargined: max(V − C, 0)            [CRE52.10]</w:t>
      </w:r>
      <w:r>
        <w:br/>
      </w:r>
      <w:r>
        <w:rPr>
          <w:rStyle w:val="VerbatimChar"/>
        </w:rPr>
        <w:t xml:space="preserve">        │    └── Margined:   max(V − C, TH + MTA − NICA, 0) [CRE52.18]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PFE Multiplier</w:t>
      </w:r>
      <w:r>
        <w:br/>
      </w:r>
      <w:r>
        <w:rPr>
          <w:rStyle w:val="VerbatimChar"/>
        </w:rPr>
        <w:t xml:space="preserve">        │    mult = min(1, 0.05 + 0.95 × exp((V−C)/(2 × 0.95 × AddOn_agg)))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Add-On per Asset Class</w:t>
      </w:r>
      <w:r>
        <w:br/>
      </w:r>
      <w:r>
        <w:rPr>
          <w:rStyle w:val="VerbatimChar"/>
        </w:rPr>
        <w:t xml:space="preserve">             ├── IR:    hedging sets per currency; SD formula [CRE52.56–61]</w:t>
      </w:r>
      <w:r>
        <w:br/>
      </w:r>
      <w:r>
        <w:rPr>
          <w:rStyle w:val="VerbatimChar"/>
        </w:rPr>
        <w:t xml:space="preserve">             ├── FX:    per currency pair; SF × notional     [CRE52.62–65]</w:t>
      </w:r>
      <w:r>
        <w:br/>
      </w:r>
      <w:r>
        <w:rPr>
          <w:rStyle w:val="VerbatimChar"/>
        </w:rPr>
        <w:t xml:space="preserve">             ├── EQ:    single-name (32%/50%) or index (20%/80%) [CRE52.66–68]</w:t>
      </w:r>
      <w:r>
        <w:br/>
      </w:r>
      <w:r>
        <w:rPr>
          <w:rStyle w:val="VerbatimChar"/>
        </w:rPr>
        <w:t xml:space="preserve">             ├── CR:    rating-granular SF; single/index rho   [CRE52.69–72]</w:t>
      </w:r>
      <w:r>
        <w:br/>
      </w:r>
      <w:r>
        <w:rPr>
          <w:rStyle w:val="VerbatimChar"/>
        </w:rPr>
        <w:t xml:space="preserve">             └── CMDTY: by commodity type; electricity 40%    [CRE52.73–77]</w:t>
      </w:r>
      <w:r>
        <w:br/>
      </w:r>
      <w:r>
        <w:br/>
      </w:r>
      <w:r>
        <w:rPr>
          <w:rStyle w:val="VerbatimChar"/>
        </w:rPr>
        <w:t xml:space="preserve">EAD = α × (RC + mult × Σ AddOn_k)    [CRE52.6]</w:t>
      </w:r>
    </w:p>
    <w:p>
      <w:r>
        <w:pict>
          <v:rect style="width:0;height:1.5pt" o:hralign="center" o:hrstd="t" o:hr="t"/>
        </w:pict>
      </w:r>
    </w:p>
    <w:bookmarkEnd w:id="14"/>
    <w:bookmarkStart w:id="17" w:name="replacement-cost-rc"/>
    <w:p>
      <w:pPr>
        <w:pStyle w:val="Heading2"/>
      </w:pPr>
      <w:r>
        <w:t xml:space="preserve">3. Replacement Cost (RC)</w:t>
      </w:r>
    </w:p>
    <w:bookmarkStart w:id="15" w:name="unmargined-netting-set-cre52.10"/>
    <w:p>
      <w:pPr>
        <w:pStyle w:val="Heading3"/>
      </w:pPr>
      <w:r>
        <w:t xml:space="preserve">Unmargined Netting Set (CRE52.10)</w:t>
      </w:r>
    </w:p>
    <w:p>
      <w:pPr>
        <w:pStyle w:val="SourceCode"/>
      </w:pPr>
      <w:r>
        <w:rPr>
          <w:rStyle w:val="VerbatimChar"/>
        </w:rPr>
        <w:t xml:space="preserve">RC_unmargined = max(V − C, 0)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V = net MtM of the netting set (positive = in the money to bank)</w:t>
      </w:r>
      <w:r>
        <w:br/>
      </w:r>
      <w:r>
        <w:rPr>
          <w:rStyle w:val="VerbatimChar"/>
        </w:rPr>
        <w:t xml:space="preserve">  C = net collateral held (excluding NICA)</w:t>
      </w:r>
    </w:p>
    <w:bookmarkEnd w:id="15"/>
    <w:bookmarkStart w:id="16" w:name="margined-netting-set-cre52.18"/>
    <w:p>
      <w:pPr>
        <w:pStyle w:val="Heading3"/>
      </w:pPr>
      <w:r>
        <w:t xml:space="preserve">Margined Netting Set (CRE52.18)</w:t>
      </w:r>
    </w:p>
    <w:p>
      <w:pPr>
        <w:pStyle w:val="SourceCode"/>
      </w:pPr>
      <w:r>
        <w:rPr>
          <w:rStyle w:val="VerbatimChar"/>
        </w:rPr>
        <w:t xml:space="preserve">RC_margined = max(V − C, TH + MTA − NICA, 0)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TH   = Threshold (amount of exposure before margin calls trigger)</w:t>
      </w:r>
      <w:r>
        <w:br/>
      </w:r>
      <w:r>
        <w:rPr>
          <w:rStyle w:val="VerbatimChar"/>
        </w:rPr>
        <w:t xml:space="preserve">  MTA  = Minimum Transfer Amount</w:t>
      </w:r>
      <w:r>
        <w:br/>
      </w:r>
      <w:r>
        <w:rPr>
          <w:rStyle w:val="VerbatimChar"/>
        </w:rPr>
        <w:t xml:space="preserve">  NICA = Net Independent Collateral Amount (initial margin held net)</w:t>
      </w:r>
    </w:p>
    <w:p>
      <w:pPr>
        <w:pStyle w:val="FirstParagraph"/>
      </w:pPr>
      <w:r>
        <w:t xml:space="preserve">The second term</w:t>
      </w:r>
      <w:r>
        <w:t xml:space="preserve"> </w:t>
      </w:r>
      <w:r>
        <w:rPr>
          <w:rStyle w:val="VerbatimChar"/>
        </w:rPr>
        <w:t xml:space="preserve">TH + MTA − NICA</w:t>
      </w:r>
      <w:r>
        <w:t xml:space="preserve"> </w:t>
      </w:r>
      <w:r>
        <w:t xml:space="preserve">represents the maximum potential exposure that exists at the margin of the collateral agreement — the</w:t>
      </w:r>
      <w:r>
        <w:t xml:space="preserve"> </w:t>
      </w:r>
      <w:r>
        <w:t xml:space="preserve">“gap risk”</w:t>
      </w:r>
      <w:r>
        <w:t xml:space="preserve"> </w:t>
      </w:r>
      <w:r>
        <w:t xml:space="preserve">within the MPOR.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fe-multiplier-cre52.2223"/>
    <w:p>
      <w:pPr>
        <w:pStyle w:val="Heading2"/>
      </w:pPr>
      <w:r>
        <w:t xml:space="preserve">4. PFE Multiplier (CRE52.22–23)</w:t>
      </w:r>
    </w:p>
    <w:p>
      <w:pPr>
        <w:pStyle w:val="SourceCode"/>
      </w:pPr>
      <w:r>
        <w:rPr>
          <w:rStyle w:val="VerbatimChar"/>
        </w:rPr>
        <w:t xml:space="preserve">y          = (V − C) / (2 × 0.95 × AddOn_agg)</w:t>
      </w:r>
      <w:r>
        <w:br/>
      </w:r>
      <w:r>
        <w:rPr>
          <w:rStyle w:val="VerbatimChar"/>
        </w:rPr>
        <w:t xml:space="preserve">Multiplier = min(1.0, 0.05 + 0.95 × exp(y))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V − C ≥ 0</w:t>
      </w:r>
      <w:r>
        <w:t xml:space="preserve"> </w:t>
      </w:r>
      <w:r>
        <w:t xml:space="preserve">(in the money): multiplier approaches 1.0 — full add-on used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V − C &lt; 0</w:t>
      </w:r>
      <w:r>
        <w:t xml:space="preserve"> </w:t>
      </w:r>
      <w:r>
        <w:t xml:space="preserve">(out of the money): multiplier &lt; 1 — reduced add-on reflects lower risk</w:t>
      </w:r>
      <w:r>
        <w:t xml:space="preserve"> </w:t>
      </w:r>
      <w:r>
        <w:t xml:space="preserve">- Floor of 0.05 — even deep OTM positions carry a minimum 5% of add-on</w:t>
      </w:r>
    </w:p>
    <w:p>
      <w:pPr>
        <w:pStyle w:val="BodyText"/>
      </w:pPr>
      <w:r>
        <w:t xml:space="preserve">The multiplier captures the economic insight that a netting set already well out-of-the-money is unlikely to generate large future exposures. The 0.05 floor prevents multiplier from reaching zero.</w:t>
      </w:r>
    </w:p>
    <w:p>
      <w:r>
        <w:pict>
          <v:rect style="width:0;height:1.5pt" o:hralign="center" o:hrstd="t" o:hr="t"/>
        </w:pict>
      </w:r>
    </w:p>
    <w:bookmarkEnd w:id="18"/>
    <w:bookmarkStart w:id="24" w:name="add-on-by-asset-class"/>
    <w:p>
      <w:pPr>
        <w:pStyle w:val="Heading2"/>
      </w:pPr>
      <w:r>
        <w:t xml:space="preserve">5. Add-On by Asset Class</w:t>
      </w:r>
    </w:p>
    <w:bookmarkStart w:id="19" w:name="interest-rate-add-on-cre52.5661"/>
    <w:p>
      <w:pPr>
        <w:pStyle w:val="Heading3"/>
      </w:pPr>
      <w:r>
        <w:t xml:space="preserve">5.1 Interest Rate Add-On (CRE52.56–61)</w:t>
      </w:r>
    </w:p>
    <w:p>
      <w:pPr>
        <w:pStyle w:val="FirstParagraph"/>
      </w:pPr>
      <w:r>
        <w:t xml:space="preserve">IR add-ons are computed per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(hedging set). Within each currency:</w:t>
      </w:r>
    </w:p>
    <w:p>
      <w:pPr>
        <w:pStyle w:val="SourceCode"/>
      </w:pPr>
      <w:r>
        <w:rPr>
          <w:rStyle w:val="VerbatimChar"/>
        </w:rPr>
        <w:t xml:space="preserve">D_i = Adjusted Notional × SD_i × MF_i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Adjusted Notional = trade notional</w:t>
      </w:r>
      <w:r>
        <w:br/>
      </w:r>
      <w:r>
        <w:rPr>
          <w:rStyle w:val="VerbatimChar"/>
        </w:rPr>
        <w:t xml:space="preserve">  SD_i = Supervisory delta (+1 or −1 for linear; Black-Scholes for options)</w:t>
      </w:r>
      <w:r>
        <w:br/>
      </w:r>
      <w:r>
        <w:rPr>
          <w:rStyle w:val="VerbatimChar"/>
        </w:rPr>
        <w:t xml:space="preserve">  MF_i = Maturity Factor = sqrt(min(M, 1) / 1)   for unmargined</w:t>
      </w:r>
      <w:r>
        <w:br/>
      </w:r>
      <w:r>
        <w:rPr>
          <w:rStyle w:val="VerbatimChar"/>
        </w:rPr>
        <w:t xml:space="preserve">       = (3/2) × sqrt(MPOR / 250)                 for margined [GAP-01]</w:t>
      </w:r>
      <w:r>
        <w:br/>
      </w:r>
      <w:r>
        <w:br/>
      </w:r>
      <w:r>
        <w:rPr>
          <w:rStyle w:val="VerbatimChar"/>
        </w:rPr>
        <w:t xml:space="preserve">Effective Notional per time bucket (T_start, T_end in years):</w:t>
      </w:r>
      <w:r>
        <w:br/>
      </w:r>
      <w:r>
        <w:rPr>
          <w:rStyle w:val="VerbatimChar"/>
        </w:rPr>
        <w:t xml:space="preserve">  EN_i = D_i × (exp(−0.05 × T_start) − exp(−0.05 × T_end))</w:t>
      </w:r>
      <w:r>
        <w:br/>
      </w:r>
      <w:r>
        <w:br/>
      </w:r>
      <w:r>
        <w:rPr>
          <w:rStyle w:val="VerbatimChar"/>
        </w:rPr>
        <w:t xml:space="preserve">Time buckets: [0,1), [1,5), [5,∞)</w:t>
      </w:r>
      <w:r>
        <w:br/>
      </w:r>
      <w:r>
        <w:br/>
      </w:r>
      <w:r>
        <w:rPr>
          <w:rStyle w:val="VerbatimChar"/>
        </w:rPr>
        <w:t xml:space="preserve">Add-on per hedging set:</w:t>
      </w:r>
      <w:r>
        <w:br/>
      </w:r>
      <w:r>
        <w:rPr>
          <w:rStyle w:val="VerbatimChar"/>
        </w:rPr>
        <w:t xml:space="preserve">  AddOn_IR = SF_IR × sqrt(EN_1² + EN_2² + EN_3² + 1.4×EN_1×EN_2 + 1.4×EN_2×EN_3 + 0.6×EN_1×EN_3)</w:t>
      </w:r>
      <w:r>
        <w:br/>
      </w:r>
      <w:r>
        <w:rPr>
          <w:rStyle w:val="VerbatimChar"/>
        </w:rPr>
        <w:t xml:space="preserve">  SF_IR = 0.005 (0.5%)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1.4 and 0.6 cross-bucket correlations reflect partial offset between adjacent maturity buckets.</w:t>
      </w:r>
    </w:p>
    <w:bookmarkEnd w:id="19"/>
    <w:bookmarkStart w:id="20" w:name="fx-add-on-cre52.6265"/>
    <w:p>
      <w:pPr>
        <w:pStyle w:val="Heading3"/>
      </w:pPr>
      <w:r>
        <w:t xml:space="preserve">5.2 FX Add-On (CRE52.62–65)</w:t>
      </w:r>
    </w:p>
    <w:p>
      <w:pPr>
        <w:pStyle w:val="SourceCode"/>
      </w:pPr>
      <w:r>
        <w:rPr>
          <w:rStyle w:val="VerbatimChar"/>
        </w:rPr>
        <w:t xml:space="preserve">For each currency pair (USD/EUR, USD/GBP, etc.):</w:t>
      </w:r>
      <w:r>
        <w:br/>
      </w:r>
      <w:r>
        <w:rPr>
          <w:rStyle w:val="VerbatimChar"/>
        </w:rPr>
        <w:t xml:space="preserve">  Add-On_pair = SF_FX × |Σ SD_i × D_i|</w:t>
      </w:r>
      <w:r>
        <w:br/>
      </w:r>
      <w:r>
        <w:rPr>
          <w:rStyle w:val="VerbatimChar"/>
        </w:rPr>
        <w:t xml:space="preserve">  SF_FX = 0.04 (4%)</w:t>
      </w:r>
    </w:p>
    <w:bookmarkEnd w:id="20"/>
    <w:bookmarkStart w:id="21" w:name="equity-add-on-cre52.6668-gap-04"/>
    <w:p>
      <w:pPr>
        <w:pStyle w:val="Heading3"/>
      </w:pPr>
      <w:r>
        <w:t xml:space="preserve">5.3 Equity Add-On (CRE52.66–68, GAP-04)</w:t>
      </w:r>
    </w:p>
    <w:p>
      <w:pPr>
        <w:pStyle w:val="SourceCode"/>
      </w:pPr>
      <w:r>
        <w:rPr>
          <w:rStyle w:val="VerbatimChar"/>
        </w:rPr>
        <w:t xml:space="preserve">Single-name:   SF = 32%, ρ = 50%</w:t>
      </w:r>
      <w:r>
        <w:br/>
      </w:r>
      <w:r>
        <w:rPr>
          <w:rStyle w:val="VerbatimChar"/>
        </w:rPr>
        <w:t xml:space="preserve">Index:         SF = 20%, ρ = 80%</w:t>
      </w:r>
      <w:r>
        <w:br/>
      </w:r>
      <w:r>
        <w:br/>
      </w:r>
      <w:r>
        <w:rPr>
          <w:rStyle w:val="VerbatimChar"/>
        </w:rPr>
        <w:t xml:space="preserve">For each underlying:</w:t>
      </w:r>
      <w:r>
        <w:br/>
      </w:r>
      <w:r>
        <w:rPr>
          <w:rStyle w:val="VerbatimChar"/>
        </w:rPr>
        <w:t xml:space="preserve">  AddOn_eq = SF × |Σ SD_i × D_i|</w:t>
      </w:r>
      <w:r>
        <w:br/>
      </w:r>
      <w:r>
        <w:br/>
      </w:r>
      <w:r>
        <w:rPr>
          <w:rStyle w:val="VerbatimChar"/>
        </w:rPr>
        <w:t xml:space="preserve">Aggregation across underlyings:</w:t>
      </w:r>
      <w:r>
        <w:br/>
      </w:r>
      <w:r>
        <w:rPr>
          <w:rStyle w:val="VerbatimChar"/>
        </w:rPr>
        <w:t xml:space="preserve">  Total = sqrt((ρ × Σ AddOn_k)² + (1−ρ²) × Σ AddOn_k²)</w:t>
      </w:r>
    </w:p>
    <w:p>
      <w:pPr>
        <w:pStyle w:val="FirstParagraph"/>
      </w:pPr>
      <w:r>
        <w:rPr>
          <w:b/>
          <w:bCs/>
        </w:rPr>
        <w:t xml:space="preserve">GAP-04:</w:t>
      </w:r>
      <w:r>
        <w:t xml:space="preserve"> </w:t>
      </w:r>
      <w:r>
        <w:t xml:space="preserve">Original code used SF=20%/ρ=50% for both single-name and index. Basel Table 2 specifies single-name has 32% SF (higher because individual stocks are more volatile) and lower correlation (50% vs 80%).</w:t>
      </w:r>
    </w:p>
    <w:bookmarkEnd w:id="21"/>
    <w:bookmarkStart w:id="22" w:name="credit-add-on-cre52.6972-gap-0203"/>
    <w:p>
      <w:pPr>
        <w:pStyle w:val="Heading3"/>
      </w:pPr>
      <w:r>
        <w:t xml:space="preserve">5.4 Credit Add-On (CRE52.69–72, GAP-02/03)</w:t>
      </w:r>
    </w:p>
    <w:p>
      <w:pPr>
        <w:pStyle w:val="SourceCode"/>
      </w:pPr>
      <w:r>
        <w:rPr>
          <w:rStyle w:val="VerbatimChar"/>
        </w:rPr>
        <w:t xml:space="preserve">SF_credit by rating (Table 2):</w:t>
      </w:r>
      <w:r>
        <w:br/>
      </w:r>
      <w:r>
        <w:rPr>
          <w:rStyle w:val="VerbatimChar"/>
        </w:rPr>
        <w:t xml:space="preserve">  AAA: 0.38%  AA: 0.38%  A: 0.42%  BBB: 0.54%  BB: 1.06%  B: 1.60%  CCC: 6.00%</w:t>
      </w:r>
      <w:r>
        <w:br/>
      </w:r>
      <w:r>
        <w:br/>
      </w:r>
      <w:r>
        <w:rPr>
          <w:rStyle w:val="VerbatimChar"/>
        </w:rPr>
        <w:t xml:space="preserve">Single-name: ρ = 50%</w:t>
      </w:r>
      <w:r>
        <w:br/>
      </w:r>
      <w:r>
        <w:rPr>
          <w:rStyle w:val="VerbatimChar"/>
        </w:rPr>
        <w:t xml:space="preserve">Index CDS:   ρ = 80%    [GAP-03: was uniformly 50%]</w:t>
      </w:r>
      <w:r>
        <w:br/>
      </w:r>
      <w:r>
        <w:br/>
      </w:r>
      <w:r>
        <w:rPr>
          <w:rStyle w:val="VerbatimChar"/>
        </w:rPr>
        <w:t xml:space="preserve">For each reference entity / index:</w:t>
      </w:r>
      <w:r>
        <w:br/>
      </w:r>
      <w:r>
        <w:rPr>
          <w:rStyle w:val="VerbatimChar"/>
        </w:rPr>
        <w:t xml:space="preserve">  AddOn_cr = SF(rating) × |Σ SD_i × D_i|</w:t>
      </w:r>
      <w:r>
        <w:br/>
      </w:r>
      <w:r>
        <w:br/>
      </w:r>
      <w:r>
        <w:rPr>
          <w:rStyle w:val="VerbatimChar"/>
        </w:rPr>
        <w:t xml:space="preserve">Aggregation:</w:t>
      </w:r>
      <w:r>
        <w:br/>
      </w:r>
      <w:r>
        <w:rPr>
          <w:rStyle w:val="VerbatimChar"/>
        </w:rPr>
        <w:t xml:space="preserve">  Total_cr = sqrt((ρ × Σ AddOn_k)² + (1−ρ²) × Σ AddOn_k²)</w:t>
      </w:r>
    </w:p>
    <w:p>
      <w:pPr>
        <w:pStyle w:val="FirstParagraph"/>
      </w:pPr>
      <w:r>
        <w:rPr>
          <w:b/>
          <w:bCs/>
        </w:rPr>
        <w:t xml:space="preserve">GAP-02:</w:t>
      </w:r>
      <w:r>
        <w:t xml:space="preserve"> </w:t>
      </w:r>
      <w:r>
        <w:t xml:space="preserve">Original used flat IG/HY SF split. Basel requires 7-grade rating-granular SFs — critical for accurate CDS capital.</w:t>
      </w:r>
    </w:p>
    <w:bookmarkEnd w:id="22"/>
    <w:bookmarkStart w:id="23" w:name="commodity-add-on-cre52.7377-gap-05"/>
    <w:p>
      <w:pPr>
        <w:pStyle w:val="Heading3"/>
      </w:pPr>
      <w:r>
        <w:t xml:space="preserve">5.5 Commodity Add-On (CRE52.73–77, GAP-05)</w:t>
      </w:r>
    </w:p>
    <w:p>
      <w:pPr>
        <w:pStyle w:val="SourceCode"/>
      </w:pPr>
      <w:r>
        <w:rPr>
          <w:rStyle w:val="VerbatimChar"/>
        </w:rPr>
        <w:t xml:space="preserve">SF by commodity type (Table 2):</w:t>
      </w:r>
      <w:r>
        <w:br/>
      </w:r>
      <w:r>
        <w:rPr>
          <w:rStyle w:val="VerbatimChar"/>
        </w:rPr>
        <w:t xml:space="preserve">  Crude oil:    18%</w:t>
      </w:r>
      <w:r>
        <w:br/>
      </w:r>
      <w:r>
        <w:rPr>
          <w:rStyle w:val="VerbatimChar"/>
        </w:rPr>
        <w:t xml:space="preserve">  Electricity:  40%    [GAP-05: separate hedging set; was 18%]</w:t>
      </w:r>
      <w:r>
        <w:br/>
      </w:r>
      <w:r>
        <w:rPr>
          <w:rStyle w:val="VerbatimChar"/>
        </w:rPr>
        <w:t xml:space="preserve">  Gold:         18%</w:t>
      </w:r>
      <w:r>
        <w:br/>
      </w:r>
      <w:r>
        <w:rPr>
          <w:rStyle w:val="VerbatimChar"/>
        </w:rPr>
        <w:t xml:space="preserve">  Other metals: 18%</w:t>
      </w:r>
      <w:r>
        <w:br/>
      </w:r>
      <w:r>
        <w:rPr>
          <w:rStyle w:val="VerbatimChar"/>
        </w:rPr>
        <w:t xml:space="preserve">  Agricultural: 15%</w:t>
      </w:r>
      <w:r>
        <w:br/>
      </w:r>
      <w:r>
        <w:rPr>
          <w:rStyle w:val="VerbatimChar"/>
        </w:rPr>
        <w:t xml:space="preserve">  Other:        15%</w:t>
      </w:r>
    </w:p>
    <w:p>
      <w:pPr>
        <w:pStyle w:val="FirstParagraph"/>
      </w:pPr>
      <w:r>
        <w:rPr>
          <w:b/>
          <w:bCs/>
        </w:rPr>
        <w:t xml:space="preserve">GAP-05:</w:t>
      </w:r>
      <w:r>
        <w:t xml:space="preserve"> </w:t>
      </w:r>
      <w:r>
        <w:t xml:space="preserve">Electricity is a separate hedging set with 40% SF (vs 18% for oil) because electricity is non-storable and exhibits extreme price spikes (e.g. Texas winter storm 2021).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ad-formula-and-margined-cap-cre52.2"/>
    <w:p>
      <w:pPr>
        <w:pStyle w:val="Heading2"/>
      </w:pPr>
      <w:r>
        <w:t xml:space="preserve">6. EAD Formula and Margined Cap (CRE52.2)</w:t>
      </w:r>
    </w:p>
    <w:p>
      <w:pPr>
        <w:pStyle w:val="SourceCode"/>
      </w:pPr>
      <w:r>
        <w:rPr>
          <w:rStyle w:val="VerbatimChar"/>
        </w:rPr>
        <w:t xml:space="preserve">EAD_unmargined = α × (RC_unmargined + mult_unmargined × AddOn)</w:t>
      </w:r>
      <w:r>
        <w:br/>
      </w:r>
      <w:r>
        <w:rPr>
          <w:rStyle w:val="VerbatimChar"/>
        </w:rPr>
        <w:t xml:space="preserve">EAD_margined   = α × (RC_margined   + mult_margined   × AddOn)</w:t>
      </w:r>
      <w:r>
        <w:br/>
      </w:r>
      <w:r>
        <w:br/>
      </w:r>
      <w:r>
        <w:rPr>
          <w:rStyle w:val="VerbatimChar"/>
        </w:rPr>
        <w:t xml:space="preserve">Final EAD = min(EAD_margined, EAD_unmargined)    [CRE52.2, GAP-08]</w:t>
      </w:r>
    </w:p>
    <w:p>
      <w:pPr>
        <w:pStyle w:val="FirstParagraph"/>
      </w:pPr>
      <w:r>
        <w:rPr>
          <w:b/>
          <w:bCs/>
        </w:rPr>
        <w:t xml:space="preserve">GAP-08:</w:t>
      </w:r>
      <w:r>
        <w:t xml:space="preserve"> </w:t>
      </w:r>
      <w:r>
        <w:t xml:space="preserve">The margined EAD cap prevents a counterintuitive result where adding a margin agreement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EAD (which could happen if the MF adjustment produces a higher add-on than the unmargined calculation).</w:t>
      </w:r>
    </w:p>
    <w:p>
      <w:r>
        <w:pict>
          <v:rect style="width:0;height:1.5pt" o:hralign="center" o:hrstd="t" o:hr="t"/>
        </w:pict>
      </w:r>
    </w:p>
    <w:bookmarkEnd w:id="25"/>
    <w:bookmarkStart w:id="28" w:name="supervisory-delta-options-and-cdos"/>
    <w:p>
      <w:pPr>
        <w:pStyle w:val="Heading2"/>
      </w:pPr>
      <w:r>
        <w:t xml:space="preserve">7. Supervisory Delta — Options and CDOs</w:t>
      </w:r>
    </w:p>
    <w:bookmarkStart w:id="26" w:name="option-delta-cre52.40-gap-06"/>
    <w:p>
      <w:pPr>
        <w:pStyle w:val="Heading3"/>
      </w:pPr>
      <w:r>
        <w:t xml:space="preserve">Option Delta (CRE52.40, GAP-06)</w:t>
      </w:r>
    </w:p>
    <w:p>
      <w:pPr>
        <w:pStyle w:val="FirstParagraph"/>
      </w:pPr>
      <w:r>
        <w:t xml:space="preserve">For options (not plain vanilla forwards/swaps):</w:t>
      </w:r>
    </w:p>
    <w:p>
      <w:pPr>
        <w:pStyle w:val="SourceCode"/>
      </w:pPr>
      <w:r>
        <w:rPr>
          <w:rStyle w:val="VerbatimChar"/>
        </w:rPr>
        <w:t xml:space="preserve">Call option:  δ = +N(d₁)</w:t>
      </w:r>
      <w:r>
        <w:br/>
      </w:r>
      <w:r>
        <w:rPr>
          <w:rStyle w:val="VerbatimChar"/>
        </w:rPr>
        <w:t xml:space="preserve">Put option:   δ = −N(−d₁)</w:t>
      </w:r>
      <w:r>
        <w:br/>
      </w:r>
      <w:r>
        <w:br/>
      </w:r>
      <w:r>
        <w:rPr>
          <w:rStyle w:val="VerbatimChar"/>
        </w:rPr>
        <w:t xml:space="preserve">d₁ = (ln((P + λ) / (K + λ)) + 0.5 × σ² × T) / (σ × sqrt(T))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  = current underlying price</w:t>
      </w:r>
      <w:r>
        <w:br/>
      </w:r>
      <w:r>
        <w:rPr>
          <w:rStyle w:val="VerbatimChar"/>
        </w:rPr>
        <w:t xml:space="preserve">  K  = strike price</w:t>
      </w:r>
      <w:r>
        <w:br/>
      </w:r>
      <w:r>
        <w:rPr>
          <w:rStyle w:val="VerbatimChar"/>
        </w:rPr>
        <w:t xml:space="preserve">  σ  = supervisory volatility (from SUPERVISORY_VOL table)</w:t>
      </w:r>
      <w:r>
        <w:br/>
      </w:r>
      <w:r>
        <w:rPr>
          <w:rStyle w:val="VerbatimChar"/>
        </w:rPr>
        <w:t xml:space="preserve">  T  = option maturity</w:t>
      </w:r>
      <w:r>
        <w:br/>
      </w:r>
      <w:r>
        <w:rPr>
          <w:rStyle w:val="VerbatimChar"/>
        </w:rPr>
        <w:t xml:space="preserve">  λ  = shift parameter (ensures positive domain for rates)</w:t>
      </w:r>
      <w:r>
        <w:br/>
      </w:r>
      <w:r>
        <w:rPr>
          <w:rStyle w:val="VerbatimChar"/>
        </w:rPr>
        <w:t xml:space="preserve">        λ = 0.005 (50bp) for IR options to handle negative rates</w:t>
      </w:r>
      <w:r>
        <w:br/>
      </w:r>
      <w:r>
        <w:rPr>
          <w:rStyle w:val="VerbatimChar"/>
        </w:rPr>
        <w:t xml:space="preserve">        λ = 0 for other asset classes</w:t>
      </w:r>
    </w:p>
    <w:p>
      <w:pPr>
        <w:pStyle w:val="FirstParagraph"/>
      </w:pPr>
      <w:r>
        <w:rPr>
          <w:b/>
          <w:bCs/>
        </w:rPr>
        <w:t xml:space="preserve">Supervisory volatilities (SUPERVISORY_VOL):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Class</w:t>
            </w:r>
          </w:p>
        </w:tc>
        <w:tc>
          <w:tcPr/>
          <w:p>
            <w:pPr>
              <w:pStyle w:val="Compact"/>
            </w:pPr>
            <w:r>
              <w:t xml:space="preserve">Supervisory Vol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 Single-Name</w:t>
            </w:r>
          </w:p>
        </w:tc>
        <w:tc>
          <w:tcPr/>
          <w:p>
            <w:pPr>
              <w:pStyle w:val="Compact"/>
            </w:pPr>
            <w:r>
              <w:t xml:space="preserve">120%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 Index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 Single-Name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 Index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CMDTY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6"/>
    <w:bookmarkStart w:id="27" w:name="cdo-tranche-delta-cre52.41-gap-07"/>
    <w:p>
      <w:pPr>
        <w:pStyle w:val="Heading3"/>
      </w:pPr>
      <w:r>
        <w:t xml:space="preserve">CDO Tranche Delta (CRE52.41, GAP-07)</w:t>
      </w:r>
    </w:p>
    <w:p>
      <w:pPr>
        <w:pStyle w:val="SourceCode"/>
      </w:pPr>
      <w:r>
        <w:rPr>
          <w:rStyle w:val="VerbatimChar"/>
        </w:rPr>
        <w:t xml:space="preserve">For tranched CDO positions:</w:t>
      </w:r>
      <w:r>
        <w:br/>
      </w:r>
      <w:r>
        <w:rPr>
          <w:rStyle w:val="VerbatimChar"/>
        </w:rPr>
        <w:t xml:space="preserve">  δ = +15 × exp(−14 × A) × (1 − exp(−14 × D))   [protection buyer]</w:t>
      </w:r>
      <w:r>
        <w:br/>
      </w:r>
      <w:r>
        <w:rPr>
          <w:rStyle w:val="VerbatimChar"/>
        </w:rPr>
        <w:t xml:space="preserve">  δ = −15 × exp(−14 × A) × (1 − exp(−14 × D))   [protection seller]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A = attachment point (e.g. 3% = 0.03)</w:t>
      </w:r>
      <w:r>
        <w:br/>
      </w:r>
      <w:r>
        <w:rPr>
          <w:rStyle w:val="VerbatimChar"/>
        </w:rPr>
        <w:t xml:space="preserve">  D = detachment point (e.g. 6% = 0.06)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ey-gap-fixes-applied"/>
    <w:p>
      <w:pPr>
        <w:pStyle w:val="Heading2"/>
      </w:pPr>
      <w:r>
        <w:t xml:space="preserve">8. Key Gap Fixes Applied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GAP-01</w:t>
            </w:r>
          </w:p>
        </w:tc>
        <w:tc>
          <w:tcPr/>
          <w:p>
            <w:pPr>
              <w:pStyle w:val="Compact"/>
            </w:pPr>
            <w:r>
              <w:t xml:space="preserve">CRE52.52</w:t>
            </w:r>
          </w:p>
        </w:tc>
        <w:tc>
          <w:tcPr/>
          <w:p>
            <w:pPr>
              <w:pStyle w:val="Compact"/>
            </w:pPr>
            <w:r>
              <w:t xml:space="preserve">Margined MF = (3/2) × sqrt(MPOR/250) — was missing 3/2 factor</w:t>
            </w:r>
          </w:p>
        </w:tc>
        <w:tc>
          <w:tcPr/>
          <w:p>
            <w:pPr>
              <w:pStyle w:val="Compact"/>
            </w:pPr>
            <w:r>
              <w:t xml:space="preserve">Was understating add-on by 33% for margined trades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GAP-02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Credit SF is 7-grade rating-granular (not flat IG/HY)</w:t>
            </w:r>
          </w:p>
        </w:tc>
        <w:tc>
          <w:tcPr/>
          <w:p>
            <w:pPr>
              <w:pStyle w:val="Compact"/>
            </w:pPr>
            <w:r>
              <w:t xml:space="preserve">Material for BB/B/CCC credits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GAP-03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Credit index ρ = 80% (was 50%)</w:t>
            </w:r>
          </w:p>
        </w:tc>
        <w:tc>
          <w:tcPr/>
          <w:p>
            <w:pPr>
              <w:pStyle w:val="Compact"/>
            </w:pPr>
            <w:r>
              <w:t xml:space="preserve">30% higher portfolio offset for CDX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GAP-04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EQ index SF=20%/ρ=80%; single-name SF=32%/ρ=50%</w:t>
            </w:r>
          </w:p>
        </w:tc>
        <w:tc>
          <w:tcPr/>
          <w:p>
            <w:pPr>
              <w:pStyle w:val="Compact"/>
            </w:pPr>
            <w:r>
              <w:t xml:space="preserve">Correct EQ bifurcation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GAP-05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Electricity SF = 40% (separate hedging set)</w:t>
            </w:r>
          </w:p>
        </w:tc>
        <w:tc>
          <w:tcPr/>
          <w:p>
            <w:pPr>
              <w:pStyle w:val="Compact"/>
            </w:pPr>
            <w:r>
              <w:t xml:space="preserve">2.2× higher SF for power derivatives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GAP-06</w:t>
            </w:r>
          </w:p>
        </w:tc>
        <w:tc>
          <w:tcPr/>
          <w:p>
            <w:pPr>
              <w:pStyle w:val="Compact"/>
            </w:pPr>
            <w:r>
              <w:t xml:space="preserve">CRE52.40</w:t>
            </w:r>
          </w:p>
        </w:tc>
        <w:tc>
          <w:tcPr/>
          <w:p>
            <w:pPr>
              <w:pStyle w:val="Compact"/>
            </w:pPr>
            <w:r>
              <w:t xml:space="preserve">Option supervisory delta — Black-Scholes + λ-shift</w:t>
            </w:r>
          </w:p>
        </w:tc>
        <w:tc>
          <w:tcPr/>
          <w:p>
            <w:pPr>
              <w:pStyle w:val="Compact"/>
            </w:pPr>
            <w:r>
              <w:t xml:space="preserve">New capability; was returning +1/-1 for all 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GAP-07</w:t>
            </w:r>
          </w:p>
        </w:tc>
        <w:tc>
          <w:tcPr/>
          <w:p>
            <w:pPr>
              <w:pStyle w:val="Compact"/>
            </w:pPr>
            <w:r>
              <w:t xml:space="preserve">CRE52.41</w:t>
            </w:r>
          </w:p>
        </w:tc>
        <w:tc>
          <w:tcPr/>
          <w:p>
            <w:pPr>
              <w:pStyle w:val="Compact"/>
            </w:pPr>
            <w:r>
              <w:t xml:space="preserve">CDO tranche delta with A/D attachment formula</w:t>
            </w:r>
          </w:p>
        </w:tc>
        <w:tc>
          <w:tcPr/>
          <w:p>
            <w:pPr>
              <w:pStyle w:val="Compact"/>
            </w:pPr>
            <w:r>
              <w:t xml:space="preserve">New capability for synthetic CDO tranches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GAP-08</w:t>
            </w:r>
          </w:p>
        </w:tc>
        <w:tc>
          <w:tcPr/>
          <w:p>
            <w:pPr>
              <w:pStyle w:val="Compact"/>
            </w:pPr>
            <w:r>
              <w:t xml:space="preserve">CRE52.2</w:t>
            </w:r>
          </w:p>
        </w:tc>
        <w:tc>
          <w:tcPr/>
          <w:p>
            <w:pPr>
              <w:pStyle w:val="Compact"/>
            </w:pPr>
            <w:r>
              <w:t xml:space="preserve">Margined EAD capped at unmargined EAD</w:t>
            </w:r>
          </w:p>
        </w:tc>
        <w:tc>
          <w:tcPr/>
          <w:p>
            <w:pPr>
              <w:pStyle w:val="Compact"/>
            </w:pPr>
            <w:r>
              <w:t xml:space="preserve">Prevents margin agreement increasing 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GAP-09</w:t>
            </w:r>
          </w:p>
        </w:tc>
        <w:tc>
          <w:tcPr/>
          <w:p>
            <w:pPr>
              <w:pStyle w:val="Compact"/>
            </w:pPr>
            <w:r>
              <w:t xml:space="preserve">CRE52.46–47</w:t>
            </w:r>
          </w:p>
        </w:tc>
        <w:tc>
          <w:tcPr/>
          <w:p>
            <w:pPr>
              <w:pStyle w:val="Compact"/>
            </w:pPr>
            <w:r>
              <w:t xml:space="preserve">Basis swap SF = ½×standard; vol transaction SF = 5×</w:t>
            </w:r>
          </w:p>
        </w:tc>
        <w:tc>
          <w:tcPr/>
          <w:p>
            <w:pPr>
              <w:pStyle w:val="Compact"/>
            </w:pPr>
            <w:r>
              <w:t xml:space="preserve">Correct basis/vol transaction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GAP-10</w:t>
            </w:r>
          </w:p>
        </w:tc>
        <w:tc>
          <w:tcPr/>
          <w:p>
            <w:pPr>
              <w:pStyle w:val="Compact"/>
            </w:pPr>
            <w:r>
              <w:t xml:space="preserve">CRE52.37</w:t>
            </w:r>
          </w:p>
        </w:tc>
        <w:tc>
          <w:tcPr/>
          <w:p>
            <w:pPr>
              <w:pStyle w:val="Compact"/>
            </w:pPr>
            <w:r>
              <w:t xml:space="preserve">Variable notional uses</w:t>
            </w:r>
            <w:r>
              <w:t xml:space="preserve"> </w:t>
            </w:r>
            <w:r>
              <w:rPr>
                <w:rStyle w:val="VerbatimChar"/>
              </w:rPr>
              <w:t xml:space="preserve">average_notional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Correct amortising/leveraged swap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GAP-11</w:t>
            </w:r>
          </w:p>
        </w:tc>
        <w:tc>
          <w:tcPr/>
          <w:p>
            <w:pPr>
              <w:pStyle w:val="Compact"/>
            </w:pPr>
            <w:r>
              <w:t xml:space="preserve">CRE52.60</w:t>
            </w:r>
          </w:p>
        </w:tc>
        <w:tc>
          <w:tcPr/>
          <w:p>
            <w:pPr>
              <w:pStyle w:val="Compact"/>
            </w:pPr>
            <w:r>
              <w:t xml:space="preserve">Removed duplicate</w:t>
            </w:r>
            <w:r>
              <w:t xml:space="preserve"> </w:t>
            </w:r>
            <w:r>
              <w:rPr>
                <w:rStyle w:val="VerbatimChar"/>
              </w:rPr>
              <w:t xml:space="preserve">_resolve_sub_hedging_set()</w:t>
            </w:r>
            <w:r>
              <w:t xml:space="preserve"> </w:t>
            </w: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Code correctness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GAP-12</w:t>
            </w:r>
          </w:p>
        </w:tc>
        <w:tc>
          <w:tcPr/>
          <w:p>
            <w:pPr>
              <w:pStyle w:val="Compact"/>
            </w:pPr>
            <w:r>
              <w:t xml:space="preserve">CRE52.34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  <w:r>
              <w:t xml:space="preserve"> </w:t>
            </w:r>
            <w:r>
              <w:t xml:space="preserve">field for forward-starting swaps</w:t>
            </w:r>
          </w:p>
        </w:tc>
        <w:tc>
          <w:tcPr/>
          <w:p>
            <w:pPr>
              <w:pStyle w:val="Compact"/>
            </w:pPr>
            <w:r>
              <w:t xml:space="preserve">Correct S in SD formula for forward swaps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GAP-13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SUPERVISORY_VOL dict added for all asset classes</w:t>
            </w:r>
          </w:p>
        </w:tc>
        <w:tc>
          <w:tcPr/>
          <w:p>
            <w:pPr>
              <w:pStyle w:val="Compact"/>
            </w:pPr>
            <w:r>
              <w:t xml:space="preserve">Required for GAP-06 option delta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data-structures-reference"/>
    <w:p>
      <w:pPr>
        <w:pStyle w:val="Heading2"/>
      </w:pPr>
      <w:r>
        <w:t xml:space="preserve">9. Data Structures Reference</w:t>
      </w:r>
    </w:p>
    <w:bookmarkStart w:id="30" w:name="trade-input"/>
    <w:p>
      <w:pPr>
        <w:pStyle w:val="Heading3"/>
      </w:pPr>
      <w:r>
        <w:t xml:space="preserve">Trade (Input)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trade_id</w:t>
            </w:r>
          </w:p>
        </w:tc>
        <w:tc>
          <w:tcPr/>
          <w:p>
            <w:pPr>
              <w:pStyle w:val="Compact"/>
            </w:pPr>
            <w:r>
              <w:t xml:space="preserve">Unique trade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asset_class</w:t>
            </w:r>
          </w:p>
        </w:tc>
        <w:tc>
          <w:tcPr/>
          <w:p>
            <w:pPr>
              <w:pStyle w:val="Compact"/>
            </w:pPr>
            <w:r>
              <w:t xml:space="preserve">‘IR’</w:t>
            </w:r>
            <w:r>
              <w:t xml:space="preserve">,</w:t>
            </w:r>
            <w:r>
              <w:t xml:space="preserve"> </w:t>
            </w:r>
            <w:r>
              <w:t xml:space="preserve">‘FX’</w:t>
            </w:r>
            <w:r>
              <w:t xml:space="preserve">,</w:t>
            </w:r>
            <w:r>
              <w:t xml:space="preserve"> </w:t>
            </w:r>
            <w:r>
              <w:t xml:space="preserve">‘EQ’</w:t>
            </w:r>
            <w:r>
              <w:t xml:space="preserve">,</w:t>
            </w:r>
            <w:r>
              <w:t xml:space="preserve"> </w:t>
            </w:r>
            <w:r>
              <w:t xml:space="preserve">‘CR’</w:t>
            </w:r>
            <w:r>
              <w:t xml:space="preserve">,</w:t>
            </w:r>
            <w:r>
              <w:t xml:space="preserve"> </w:t>
            </w:r>
            <w:r>
              <w:t xml:space="preserve">‘CMDTY’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instrument_type</w:t>
            </w:r>
          </w:p>
        </w:tc>
        <w:tc>
          <w:tcPr/>
          <w:p>
            <w:pPr>
              <w:pStyle w:val="Compact"/>
            </w:pPr>
            <w:r>
              <w:t xml:space="preserve">‘IRS’</w:t>
            </w:r>
            <w:r>
              <w:t xml:space="preserve">,</w:t>
            </w:r>
            <w:r>
              <w:t xml:space="preserve"> </w:t>
            </w:r>
            <w:r>
              <w:t xml:space="preserve">‘CDS_Protection’</w:t>
            </w:r>
            <w:r>
              <w:t xml:space="preserve">,</w:t>
            </w:r>
            <w:r>
              <w:t xml:space="preserve"> </w:t>
            </w:r>
            <w:r>
              <w:t xml:space="preserve">‘FXFwd’</w:t>
            </w:r>
            <w:r>
              <w:t xml:space="preserve">,</w:t>
            </w:r>
            <w:r>
              <w:t xml:space="preserve"> </w:t>
            </w:r>
            <w:r>
              <w:t xml:space="preserve">‘EquitySwap’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notional</w:t>
            </w:r>
          </w:p>
        </w:tc>
        <w:tc>
          <w:tcPr/>
          <w:p>
            <w:pPr>
              <w:pStyle w:val="Compact"/>
            </w:pPr>
            <w:r>
              <w:t xml:space="preserve">Face / notional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+1 = long/payer/protection buyer; −1 = short/receiver/seller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maturity_date</w:t>
            </w:r>
          </w:p>
        </w:tc>
        <w:tc>
          <w:tcPr/>
          <w:p>
            <w:pPr>
              <w:pStyle w:val="Compact"/>
            </w:pPr>
            <w:r>
              <w:t xml:space="preserve">Trade maturity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current_mtm</w:t>
            </w:r>
          </w:p>
        </w:tc>
        <w:tc>
          <w:tcPr/>
          <w:p>
            <w:pPr>
              <w:pStyle w:val="Compact"/>
            </w:pPr>
            <w:r>
              <w:t xml:space="preserve">Current mark-to-market (USD)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credit_sub_type</w:t>
            </w:r>
          </w:p>
        </w:tc>
        <w:tc>
          <w:tcPr/>
          <w:p>
            <w:pPr>
              <w:pStyle w:val="Compact"/>
            </w:pPr>
            <w:r>
              <w:t xml:space="preserve">‘SINGLE_NAME’</w:t>
            </w:r>
            <w:r>
              <w:t xml:space="preserve">,</w:t>
            </w:r>
            <w:r>
              <w:t xml:space="preserve"> </w:t>
            </w:r>
            <w:r>
              <w:t xml:space="preserve">‘INDEX_CDS’</w:t>
            </w:r>
            <w:r>
              <w:t xml:space="preserve">,</w:t>
            </w:r>
            <w:r>
              <w:t xml:space="preserve"> </w:t>
            </w:r>
            <w:r>
              <w:t xml:space="preserve">‘TRANCHED’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credit_rating</w:t>
            </w:r>
          </w:p>
        </w:tc>
        <w:tc>
          <w:tcPr/>
          <w:p>
            <w:pPr>
              <w:pStyle w:val="Compact"/>
            </w:pPr>
            <w:r>
              <w:t xml:space="preserve">For credit trades:</w:t>
            </w:r>
            <w:r>
              <w:t xml:space="preserve"> </w:t>
            </w:r>
            <w:r>
              <w:t xml:space="preserve">‘AAA’</w:t>
            </w:r>
            <w:r>
              <w:t xml:space="preserve">–</w:t>
            </w:r>
            <w:r>
              <w:t xml:space="preserve">‘CCC’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</w:t>
            </w:r>
          </w:p>
        </w:tc>
        <w:tc>
          <w:tcPr/>
          <w:p>
            <w:pPr>
              <w:pStyle w:val="Compact"/>
            </w:pPr>
            <w:r>
              <w:t xml:space="preserve">True if option (triggers supervisory delta calc)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option_type</w:t>
            </w:r>
          </w:p>
        </w:tc>
        <w:tc>
          <w:tcPr/>
          <w:p>
            <w:pPr>
              <w:pStyle w:val="Compact"/>
            </w:pPr>
            <w:r>
              <w:t xml:space="preserve">‘call’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‘put’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strike</w:t>
            </w:r>
          </w:p>
        </w:tc>
        <w:tc>
          <w:tcPr/>
          <w:p>
            <w:pPr>
              <w:pStyle w:val="Compact"/>
            </w:pPr>
            <w:r>
              <w:t xml:space="preserve">Option strike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underlying_price</w:t>
            </w:r>
          </w:p>
        </w:tc>
        <w:tc>
          <w:tcPr/>
          <w:p>
            <w:pPr>
              <w:pStyle w:val="Compact"/>
            </w:pPr>
            <w:r>
              <w:t xml:space="preserve">Current underlying 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For forward-starting swaps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average_notional</w:t>
            </w:r>
          </w:p>
        </w:tc>
        <w:tc>
          <w:tcPr/>
          <w:p>
            <w:pPr>
              <w:pStyle w:val="Compact"/>
            </w:pPr>
            <w:r>
              <w:t xml:space="preserve">For amortising or leveraged notionals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glossary"/>
    <w:p>
      <w:pPr>
        <w:pStyle w:val="Heading2"/>
      </w:pPr>
      <w:r>
        <w:t xml:space="preserve">10.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Replacement Cost — current exposure if counterparty defaults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AddOn</w:t>
            </w:r>
          </w:p>
        </w:tc>
        <w:tc>
          <w:tcPr/>
          <w:p>
            <w:pPr>
              <w:pStyle w:val="Compact"/>
            </w:pPr>
            <w:r>
              <w:t xml:space="preserve">Potential Future Exposure add-on — captures possible future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Supervisory scaling factor = 1.4 (CRE52.6)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</w:t>
            </w:r>
          </w:p>
        </w:tc>
        <w:tc>
          <w:tcPr/>
          <w:p>
            <w:pPr>
              <w:pStyle w:val="Compact"/>
            </w:pPr>
            <w:r>
              <w:t xml:space="preserve">Supervisory Factor — scaling the add-on by asset class/risk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Supervisory Delta — direction and optionality adjustment to notional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Maturity Factor — adjusts for residual trade maturity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MPOR</w:t>
            </w:r>
          </w:p>
        </w:tc>
        <w:tc>
          <w:tcPr/>
          <w:p>
            <w:pPr>
              <w:pStyle w:val="Compact"/>
            </w:pPr>
            <w:r>
              <w:t xml:space="preserve">Margin Period of Risk — days to close out a margined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NICA</w:t>
            </w:r>
          </w:p>
        </w:tc>
        <w:tc>
          <w:tcPr/>
          <w:p>
            <w:pPr>
              <w:pStyle w:val="Compact"/>
            </w:pPr>
            <w:r>
              <w:t xml:space="preserve">Net Independent Collateral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Threshold — exposure level before margin calls are triggered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MTA</w:t>
            </w:r>
          </w:p>
        </w:tc>
        <w:tc>
          <w:tcPr/>
          <w:p>
            <w:pPr>
              <w:pStyle w:val="Compact"/>
            </w:pPr>
            <w:r>
              <w:t xml:space="preserve">Minimum Transfer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Hedging Set</w:t>
            </w:r>
          </w:p>
        </w:tc>
        <w:tc>
          <w:tcPr/>
          <w:p>
            <w:pPr>
              <w:pStyle w:val="Compact"/>
            </w:pPr>
            <w:r>
              <w:t xml:space="preserve">Group of trades with offsetting positions for add-on aggregation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EAD</w:t>
            </w:r>
          </w:p>
        </w:tc>
        <w:tc>
          <w:tcPr/>
          <w:p>
            <w:pPr>
              <w:pStyle w:val="Compact"/>
            </w:pPr>
            <w:r>
              <w:t xml:space="preserve">Exposure at Default = α × (RC + mult × AddOn)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42" w:name="X3e30893958d880e907a32689b4323d6a8b4e43a"/>
    <w:p>
      <w:pPr>
        <w:pStyle w:val="Heading2"/>
      </w:pPr>
      <w:r>
        <w:t xml:space="preserve">Appendix A — Interest Rate Swap: Full Numeric Example</w:t>
      </w:r>
    </w:p>
    <w:bookmarkStart w:id="33" w:name="trade-setup"/>
    <w:p>
      <w:pPr>
        <w:pStyle w:val="Heading3"/>
      </w:pPr>
      <w:r>
        <w:t xml:space="preserve">Trade Setup</w:t>
      </w:r>
    </w:p>
    <w:p>
      <w:pPr>
        <w:pStyle w:val="FirstParagraph"/>
      </w:pPr>
      <w:r>
        <w:t xml:space="preserve">A bank</w:t>
      </w:r>
      <w:r>
        <w:t xml:space="preserve"> </w:t>
      </w:r>
      <w:r>
        <w:rPr>
          <w:b/>
          <w:bCs/>
        </w:rPr>
        <w:t xml:space="preserve">pays fixed 3%</w:t>
      </w:r>
      <w:r>
        <w:t xml:space="preserve"> </w:t>
      </w:r>
      <w:r>
        <w:t xml:space="preserve">on a 5-year USD IRS, $10M notional. Current MtM = +$150,000 (in the money). Unmargined netting set. Valuation date: today.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class</w:t>
            </w:r>
          </w:p>
        </w:tc>
        <w:tc>
          <w:tcPr/>
          <w:p>
            <w:pPr>
              <w:pStyle w:val="Compact"/>
            </w:pPr>
            <w:r>
              <w:t xml:space="preserve">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Notional</w:t>
            </w:r>
          </w:p>
        </w:tc>
        <w:tc>
          <w:tcPr/>
          <w:p>
            <w:pPr>
              <w:pStyle w:val="Compact"/>
            </w:pPr>
            <w:r>
              <w:t xml:space="preserve">$10,000,000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+1 (payer)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</w:t>
            </w:r>
          </w:p>
        </w:tc>
        <w:tc>
          <w:tcPr/>
          <w:p>
            <w:pPr>
              <w:pStyle w:val="Compact"/>
            </w:pPr>
            <w:r>
              <w:t xml:space="preserve">5.0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date</w:t>
            </w:r>
          </w:p>
        </w:tc>
        <w:tc>
          <w:tcPr/>
          <w:p>
            <w:pPr>
              <w:pStyle w:val="Compact"/>
            </w:pPr>
            <w:r>
              <w:t xml:space="preserve">Today (spot-starting)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MtM</w:t>
            </w:r>
          </w:p>
        </w:tc>
        <w:tc>
          <w:tcPr/>
          <w:p>
            <w:pPr>
              <w:pStyle w:val="Compact"/>
            </w:pPr>
            <w:r>
              <w:t xml:space="preserve">+$150,000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Collateral held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1-replacement-cost"/>
    <w:p>
      <w:pPr>
        <w:pStyle w:val="Heading3"/>
      </w:pPr>
      <w:r>
        <w:t xml:space="preserve">Step 1: Replacement Cost</w:t>
      </w:r>
    </w:p>
    <w:p>
      <w:pPr>
        <w:pStyle w:val="SourceCode"/>
      </w:pPr>
      <w:r>
        <w:rPr>
          <w:rStyle w:val="VerbatimChar"/>
        </w:rPr>
        <w:t xml:space="preserve">RC = max(V − C, 0)</w:t>
      </w:r>
      <w:r>
        <w:br/>
      </w:r>
      <w:r>
        <w:rPr>
          <w:rStyle w:val="VerbatimChar"/>
        </w:rPr>
        <w:t xml:space="preserve">   = max(150,000 − 0, 0)</w:t>
      </w:r>
      <w:r>
        <w:br/>
      </w:r>
      <w:r>
        <w:rPr>
          <w:rStyle w:val="VerbatimChar"/>
        </w:rPr>
        <w:t xml:space="preserve">   = $150,000</w:t>
      </w:r>
    </w:p>
    <w:p>
      <w:r>
        <w:pict>
          <v:rect style="width:0;height:1.5pt" o:hralign="center" o:hrstd="t" o:hr="t"/>
        </w:pict>
      </w:r>
    </w:p>
    <w:bookmarkEnd w:id="34"/>
    <w:bookmarkStart w:id="35" w:name="step-2-maturity-factor-unmargined"/>
    <w:p>
      <w:pPr>
        <w:pStyle w:val="Heading3"/>
      </w:pPr>
      <w:r>
        <w:t xml:space="preserve">Step 2: Maturity Factor (Unmargined)</w:t>
      </w:r>
    </w:p>
    <w:p>
      <w:pPr>
        <w:pStyle w:val="SourceCode"/>
      </w:pPr>
      <w:r>
        <w:rPr>
          <w:rStyle w:val="VerbatimChar"/>
        </w:rPr>
        <w:t xml:space="preserve">MF = sqrt(min(M, 1) / 1)</w:t>
      </w:r>
      <w:r>
        <w:br/>
      </w:r>
      <w:r>
        <w:rPr>
          <w:rStyle w:val="VerbatimChar"/>
        </w:rPr>
        <w:t xml:space="preserve">   = sqrt(min(5.0, 1) / 1)</w:t>
      </w:r>
      <w:r>
        <w:br/>
      </w:r>
      <w:r>
        <w:rPr>
          <w:rStyle w:val="VerbatimChar"/>
        </w:rPr>
        <w:t xml:space="preserve">   = sqrt(1.0)</w:t>
      </w:r>
      <w:r>
        <w:br/>
      </w:r>
      <w:r>
        <w:rPr>
          <w:rStyle w:val="VerbatimChar"/>
        </w:rPr>
        <w:t xml:space="preserve">   = 1.0</w:t>
      </w:r>
    </w:p>
    <w:p>
      <w:pPr>
        <w:pStyle w:val="FirstParagraph"/>
      </w:pPr>
      <w:r>
        <w:t xml:space="preserve">(MF is capped at 1.0 for maturities &gt; 1 year for unmargined trades)</w:t>
      </w:r>
    </w:p>
    <w:p>
      <w:r>
        <w:pict>
          <v:rect style="width:0;height:1.5pt" o:hralign="center" o:hrstd="t" o:hr="t"/>
        </w:pict>
      </w:r>
    </w:p>
    <w:bookmarkEnd w:id="35"/>
    <w:bookmarkStart w:id="36" w:name="step-3-adjusted-notional-with-sd"/>
    <w:p>
      <w:pPr>
        <w:pStyle w:val="Heading3"/>
      </w:pPr>
      <w:r>
        <w:t xml:space="preserve">Step 3: Adjusted Notional with SD</w:t>
      </w:r>
    </w:p>
    <w:p>
      <w:pPr>
        <w:pStyle w:val="FirstParagraph"/>
      </w:pPr>
      <w:r>
        <w:t xml:space="preserve">For a vanilla IRS (linear), SD = +1.0 (payer position):</w:t>
      </w:r>
    </w:p>
    <w:p>
      <w:pPr>
        <w:pStyle w:val="SourceCode"/>
      </w:pPr>
      <w:r>
        <w:rPr>
          <w:rStyle w:val="VerbatimChar"/>
        </w:rPr>
        <w:t xml:space="preserve">D = Notional × SD × MF</w:t>
      </w:r>
      <w:r>
        <w:br/>
      </w:r>
      <w:r>
        <w:rPr>
          <w:rStyle w:val="VerbatimChar"/>
        </w:rPr>
        <w:t xml:space="preserve">  = 10,000,000 × 1.0 × 1.0</w:t>
      </w:r>
      <w:r>
        <w:br/>
      </w:r>
      <w:r>
        <w:rPr>
          <w:rStyle w:val="VerbatimChar"/>
        </w:rPr>
        <w:t xml:space="preserve">  = $10,000,000</w:t>
      </w:r>
    </w:p>
    <w:bookmarkEnd w:id="36"/>
    <w:bookmarkStart w:id="37" w:name="Xff0588e1ddf80ca82488eed12da54b7aa66683a"/>
    <w:p>
      <w:pPr>
        <w:pStyle w:val="Heading3"/>
      </w:pPr>
      <w:r>
        <w:t xml:space="preserve">Step 4: Effective Notional per Time Bucket</w:t>
      </w:r>
    </w:p>
    <w:p>
      <w:pPr>
        <w:pStyle w:val="FirstParagraph"/>
      </w:pPr>
      <w:r>
        <w:t xml:space="preserve">The 5-year IRS falls in bucket [1, 5) with T_start=0 and T_end=5:</w:t>
      </w:r>
    </w:p>
    <w:p>
      <w:pPr>
        <w:pStyle w:val="SourceCode"/>
      </w:pPr>
      <w:r>
        <w:rPr>
          <w:rStyle w:val="VerbatimChar"/>
        </w:rPr>
        <w:t xml:space="preserve">EN_bucket2 = D × (exp(−0.05 × 0) − exp(−0.05 × 5))</w:t>
      </w:r>
      <w:r>
        <w:br/>
      </w:r>
      <w:r>
        <w:rPr>
          <w:rStyle w:val="VerbatimChar"/>
        </w:rPr>
        <w:t xml:space="preserve">           = 10,000,000 × (1.0 − exp(−0.25))</w:t>
      </w:r>
      <w:r>
        <w:br/>
      </w:r>
      <w:r>
        <w:rPr>
          <w:rStyle w:val="VerbatimChar"/>
        </w:rPr>
        <w:t xml:space="preserve">           = 10,000,000 × (1.0 − 0.7788)</w:t>
      </w:r>
      <w:r>
        <w:br/>
      </w:r>
      <w:r>
        <w:rPr>
          <w:rStyle w:val="VerbatimChar"/>
        </w:rPr>
        <w:t xml:space="preserve">           = 10,000,000 × 0.2212</w:t>
      </w:r>
      <w:r>
        <w:br/>
      </w:r>
      <w:r>
        <w:rPr>
          <w:rStyle w:val="VerbatimChar"/>
        </w:rPr>
        <w:t xml:space="preserve">           = $2,212,000</w:t>
      </w:r>
    </w:p>
    <w:p>
      <w:pPr>
        <w:pStyle w:val="FirstParagraph"/>
      </w:pPr>
      <w:r>
        <w:t xml:space="preserve">No trades in buckets 1 or 3, so EN_1 = EN_3 = 0.</w:t>
      </w:r>
    </w:p>
    <w:p>
      <w:r>
        <w:pict>
          <v:rect style="width:0;height:1.5pt" o:hralign="center" o:hrstd="t" o:hr="t"/>
        </w:pict>
      </w:r>
    </w:p>
    <w:bookmarkEnd w:id="37"/>
    <w:bookmarkStart w:id="38" w:name="step-5-ir-add-on"/>
    <w:p>
      <w:pPr>
        <w:pStyle w:val="Heading3"/>
      </w:pPr>
      <w:r>
        <w:t xml:space="preserve">Step 5: IR Add-On</w:t>
      </w:r>
    </w:p>
    <w:p>
      <w:pPr>
        <w:pStyle w:val="SourceCode"/>
      </w:pPr>
      <w:r>
        <w:rPr>
          <w:rStyle w:val="VerbatimChar"/>
        </w:rPr>
        <w:t xml:space="preserve">AddOn_IR = SF_IR × sqrt(EN_1² + EN_2² + EN_3² + cross-terms)</w:t>
      </w:r>
      <w:r>
        <w:br/>
      </w:r>
      <w:r>
        <w:rPr>
          <w:rStyle w:val="VerbatimChar"/>
        </w:rPr>
        <w:t xml:space="preserve">         = 0.005 × sqrt(0 + 2,212,000² + 0)</w:t>
      </w:r>
      <w:r>
        <w:br/>
      </w:r>
      <w:r>
        <w:rPr>
          <w:rStyle w:val="VerbatimChar"/>
        </w:rPr>
        <w:t xml:space="preserve">         = 0.005 × 2,212,000</w:t>
      </w:r>
      <w:r>
        <w:br/>
      </w:r>
      <w:r>
        <w:rPr>
          <w:rStyle w:val="VerbatimChar"/>
        </w:rPr>
        <w:t xml:space="preserve">         = $11,060</w:t>
      </w:r>
    </w:p>
    <w:p>
      <w:r>
        <w:pict>
          <v:rect style="width:0;height:1.5pt" o:hralign="center" o:hrstd="t" o:hr="t"/>
        </w:pict>
      </w:r>
    </w:p>
    <w:bookmarkEnd w:id="38"/>
    <w:bookmarkStart w:id="39" w:name="step-6-pfe-multiplier"/>
    <w:p>
      <w:pPr>
        <w:pStyle w:val="Heading3"/>
      </w:pPr>
      <w:r>
        <w:t xml:space="preserve">Step 6: PFE Multiplier</w:t>
      </w:r>
    </w:p>
    <w:p>
      <w:pPr>
        <w:pStyle w:val="SourceCode"/>
      </w:pPr>
      <w:r>
        <w:rPr>
          <w:rStyle w:val="VerbatimChar"/>
        </w:rPr>
        <w:t xml:space="preserve">y = (V − C) / (2 × 0.95 × AddOn)</w:t>
      </w:r>
      <w:r>
        <w:br/>
      </w:r>
      <w:r>
        <w:rPr>
          <w:rStyle w:val="VerbatimChar"/>
        </w:rPr>
        <w:t xml:space="preserve">  = 150,000 / (2 × 0.95 × 11,060)</w:t>
      </w:r>
      <w:r>
        <w:br/>
      </w:r>
      <w:r>
        <w:rPr>
          <w:rStyle w:val="VerbatimChar"/>
        </w:rPr>
        <w:t xml:space="preserve">  = 150,000 / 21,014</w:t>
      </w:r>
      <w:r>
        <w:br/>
      </w:r>
      <w:r>
        <w:rPr>
          <w:rStyle w:val="VerbatimChar"/>
        </w:rPr>
        <w:t xml:space="preserve">  = 7.138</w:t>
      </w:r>
      <w:r>
        <w:br/>
      </w:r>
      <w:r>
        <w:br/>
      </w:r>
      <w:r>
        <w:rPr>
          <w:rStyle w:val="VerbatimChar"/>
        </w:rPr>
        <w:t xml:space="preserve">Multiplier = min(1.0, 0.05 + 0.95 × exp(7.138))</w:t>
      </w:r>
      <w:r>
        <w:br/>
      </w:r>
      <w:r>
        <w:rPr>
          <w:rStyle w:val="VerbatimChar"/>
        </w:rPr>
        <w:t xml:space="preserve">           = min(1.0, 0.05 + 0.95 × 1252.3)</w:t>
      </w:r>
      <w:r>
        <w:br/>
      </w:r>
      <w:r>
        <w:rPr>
          <w:rStyle w:val="VerbatimChar"/>
        </w:rPr>
        <w:t xml:space="preserve">           = min(1.0, 1189.7)</w:t>
      </w:r>
      <w:r>
        <w:br/>
      </w:r>
      <w:r>
        <w:rPr>
          <w:rStyle w:val="VerbatimChar"/>
        </w:rPr>
        <w:t xml:space="preserve">           = 1.0</w:t>
      </w:r>
    </w:p>
    <w:p>
      <w:pPr>
        <w:pStyle w:val="FirstParagraph"/>
      </w:pPr>
      <w:r>
        <w:t xml:space="preserve">The large positive MtM forces multiplier = 1.0 (floor applies).</w:t>
      </w:r>
    </w:p>
    <w:p>
      <w:r>
        <w:pict>
          <v:rect style="width:0;height:1.5pt" o:hralign="center" o:hrstd="t" o:hr="t"/>
        </w:pict>
      </w:r>
    </w:p>
    <w:bookmarkEnd w:id="39"/>
    <w:bookmarkStart w:id="40" w:name="step-7-ead"/>
    <w:p>
      <w:pPr>
        <w:pStyle w:val="Heading3"/>
      </w:pPr>
      <w:r>
        <w:t xml:space="preserve">Step 7: EAD</w:t>
      </w:r>
    </w:p>
    <w:p>
      <w:pPr>
        <w:pStyle w:val="SourceCode"/>
      </w:pPr>
      <w:r>
        <w:rPr>
          <w:rStyle w:val="VerbatimChar"/>
        </w:rPr>
        <w:t xml:space="preserve">EAD = α × (RC + Multiplier × AddOn)</w:t>
      </w:r>
      <w:r>
        <w:br/>
      </w:r>
      <w:r>
        <w:rPr>
          <w:rStyle w:val="VerbatimChar"/>
        </w:rPr>
        <w:t xml:space="preserve">    = 1.4 × (150,000 + 1.0 × 11,060)</w:t>
      </w:r>
      <w:r>
        <w:br/>
      </w:r>
      <w:r>
        <w:rPr>
          <w:rStyle w:val="VerbatimChar"/>
        </w:rPr>
        <w:t xml:space="preserve">    = 1.4 × 161,060</w:t>
      </w:r>
      <w:r>
        <w:br/>
      </w:r>
      <w:r>
        <w:rPr>
          <w:rStyle w:val="VerbatimChar"/>
        </w:rPr>
        <w:t xml:space="preserve">    = $225,484</w:t>
      </w:r>
    </w:p>
    <w:p>
      <w:r>
        <w:pict>
          <v:rect style="width:0;height:1.5pt" o:hralign="center" o:hrstd="t" o:hr="t"/>
        </w:pict>
      </w:r>
    </w:p>
    <w:bookmarkEnd w:id="40"/>
    <w:bookmarkStart w:id="41" w:name="X3cc990c66e49908f9f3e0b2f042369453b459b6"/>
    <w:p>
      <w:pPr>
        <w:pStyle w:val="Heading3"/>
      </w:pPr>
      <w:r>
        <w:t xml:space="preserve">Step 8: Credit Risk RWA (assuming BBB-rated counterparty, 100% RW)</w:t>
      </w:r>
    </w:p>
    <w:p>
      <w:pPr>
        <w:pStyle w:val="SourceCode"/>
      </w:pPr>
      <w:r>
        <w:rPr>
          <w:rStyle w:val="VerbatimChar"/>
        </w:rPr>
        <w:t xml:space="preserve">RWA = EAD × RW = 225,484 × 1.00 = $225,484</w:t>
      </w:r>
      <w:r>
        <w:br/>
      </w:r>
      <w:r>
        <w:rPr>
          <w:rStyle w:val="VerbatimChar"/>
        </w:rPr>
        <w:t xml:space="preserve">Capital = 225,484 × 8% = $18,039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53f3a0a9beb64cd6cb9c2b1fdaf0e8e01c3ba62"/>
    <w:p>
      <w:pPr>
        <w:pStyle w:val="Heading2"/>
      </w:pPr>
      <w:r>
        <w:t xml:space="preserve">Appendix B — FX Forward: Full Numeric Example</w:t>
      </w:r>
    </w:p>
    <w:bookmarkStart w:id="43" w:name="trade-setup-1"/>
    <w:p>
      <w:pPr>
        <w:pStyle w:val="Heading3"/>
      </w:pPr>
      <w:r>
        <w:t xml:space="preserve">Trade Setup</w:t>
      </w:r>
    </w:p>
    <w:p>
      <w:pPr>
        <w:pStyle w:val="FirstParagraph"/>
      </w:pPr>
      <w:r>
        <w:t xml:space="preserve">Bank is</w:t>
      </w:r>
      <w:r>
        <w:t xml:space="preserve"> </w:t>
      </w:r>
      <w:r>
        <w:rPr>
          <w:b/>
          <w:bCs/>
        </w:rPr>
        <w:t xml:space="preserve">long EUR/USD</w:t>
      </w:r>
      <w:r>
        <w:t xml:space="preserve"> </w:t>
      </w:r>
      <w:r>
        <w:t xml:space="preserve">forward. Buys EUR 10M at 1.080 in 1 year. Current spot = 1.095.</w:t>
      </w:r>
      <w:r>
        <w:t xml:space="preserve"> </w:t>
      </w:r>
      <w:r>
        <w:t xml:space="preserve">MtM = (1.095 − 1.080) × 10,000,000 = +$150,000.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class</w:t>
            </w:r>
          </w:p>
        </w:tc>
        <w:tc>
          <w:tcPr/>
          <w:p>
            <w:pPr>
              <w:pStyle w:val="Compact"/>
            </w:pPr>
            <w:r>
              <w:t xml:space="preserve">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Notional</w:t>
            </w:r>
          </w:p>
        </w:tc>
        <w:tc>
          <w:tcPr/>
          <w:p>
            <w:pPr>
              <w:pStyle w:val="Compact"/>
            </w:pPr>
            <w:r>
              <w:t xml:space="preserve">EUR 10,000,000 → $10,950,000 (at spot)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+1 (long 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</w:t>
            </w:r>
          </w:p>
        </w:tc>
        <w:tc>
          <w:tcPr/>
          <w:p>
            <w:pPr>
              <w:pStyle w:val="Compact"/>
            </w:pPr>
            <w:r>
              <w:t xml:space="preserve">1.0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MtM</w:t>
            </w:r>
          </w:p>
        </w:tc>
        <w:tc>
          <w:tcPr/>
          <w:p>
            <w:pPr>
              <w:pStyle w:val="Compact"/>
            </w:pPr>
            <w:r>
              <w:t xml:space="preserve">+$150,000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Collateral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</w:tbl>
    <w:bookmarkEnd w:id="43"/>
    <w:bookmarkStart w:id="44" w:name="add-on-calculation"/>
    <w:p>
      <w:pPr>
        <w:pStyle w:val="Heading3"/>
      </w:pPr>
      <w:r>
        <w:t xml:space="preserve">Add-On Calculation</w:t>
      </w:r>
    </w:p>
    <w:p>
      <w:pPr>
        <w:pStyle w:val="SourceCode"/>
      </w:pPr>
      <w:r>
        <w:rPr>
          <w:rStyle w:val="VerbatimChar"/>
        </w:rPr>
        <w:t xml:space="preserve">SF_FX = 4.0%</w:t>
      </w:r>
      <w:r>
        <w:br/>
      </w:r>
      <w:r>
        <w:rPr>
          <w:rStyle w:val="VerbatimChar"/>
        </w:rPr>
        <w:t xml:space="preserve">D     = 10,950,000 × 1.0 × 1.0 = $10,950,000</w:t>
      </w:r>
      <w:r>
        <w:br/>
      </w:r>
      <w:r>
        <w:br/>
      </w:r>
      <w:r>
        <w:rPr>
          <w:rStyle w:val="VerbatimChar"/>
        </w:rPr>
        <w:t xml:space="preserve">AddOn_FX = SF_FX × |D| = 0.04 × 10,950,000 = $438,000</w:t>
      </w:r>
    </w:p>
    <w:bookmarkEnd w:id="44"/>
    <w:bookmarkStart w:id="45" w:name="ead"/>
    <w:p>
      <w:pPr>
        <w:pStyle w:val="Heading3"/>
      </w:pPr>
      <w:r>
        <w:t xml:space="preserve">EAD</w:t>
      </w:r>
    </w:p>
    <w:p>
      <w:pPr>
        <w:pStyle w:val="SourceCode"/>
      </w:pPr>
      <w:r>
        <w:rPr>
          <w:rStyle w:val="VerbatimChar"/>
        </w:rPr>
        <w:t xml:space="preserve">Multiplier = 1.0 (in the money)</w:t>
      </w:r>
      <w:r>
        <w:br/>
      </w:r>
      <w:r>
        <w:rPr>
          <w:rStyle w:val="VerbatimChar"/>
        </w:rPr>
        <w:t xml:space="preserve">EAD = 1.4 × (150,000 + 1.0 × 438,000) = 1.4 × 588,000 = $823,200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X368cd0a1ad472577c922b307bc7881647c1f17f"/>
    <w:p>
      <w:pPr>
        <w:pStyle w:val="Heading2"/>
      </w:pPr>
      <w:r>
        <w:t xml:space="preserve">Appendix C — CDS Single-Name: Full Numeric Example</w:t>
      </w:r>
    </w:p>
    <w:bookmarkStart w:id="47" w:name="trade-setup-2"/>
    <w:p>
      <w:pPr>
        <w:pStyle w:val="Heading3"/>
      </w:pPr>
      <w:r>
        <w:t xml:space="preserve">Trade Setup</w:t>
      </w:r>
    </w:p>
    <w:p>
      <w:pPr>
        <w:pStyle w:val="FirstParagraph"/>
      </w:pPr>
      <w:r>
        <w:t xml:space="preserve">Bank buys $5M</w:t>
      </w:r>
      <w:r>
        <w:t xml:space="preserve"> </w:t>
      </w:r>
      <w:r>
        <w:rPr>
          <w:b/>
          <w:bCs/>
        </w:rPr>
        <w:t xml:space="preserve">protection</w:t>
      </w:r>
      <w:r>
        <w:t xml:space="preserve"> </w:t>
      </w:r>
      <w:r>
        <w:t xml:space="preserve">on a BB-rated corporate. 5-year CDS. MtM = −$50,000 (out of the money for protection buyer as spreads narrowed).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class</w:t>
            </w:r>
          </w:p>
        </w:tc>
        <w:tc>
          <w:tcPr/>
          <w:p>
            <w:pPr>
              <w:pStyle w:val="Compact"/>
            </w:pPr>
            <w:r>
              <w:t xml:space="preserve">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sub type</w:t>
            </w:r>
          </w:p>
        </w:tc>
        <w:tc>
          <w:tcPr/>
          <w:p>
            <w:pPr>
              <w:pStyle w:val="Compact"/>
            </w:pPr>
            <w:r>
              <w:t xml:space="preserve">SINGLE_NAME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rating</w:t>
            </w:r>
          </w:p>
        </w:tc>
        <w:tc>
          <w:tcPr/>
          <w:p>
            <w:pPr>
              <w:pStyle w:val="Compact"/>
            </w:pPr>
            <w:r>
              <w:t xml:space="preserve">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Notional</w:t>
            </w:r>
          </w:p>
        </w:tc>
        <w:tc>
          <w:tcPr/>
          <w:p>
            <w:pPr>
              <w:pStyle w:val="Compact"/>
            </w:pPr>
            <w:r>
              <w:t xml:space="preserve">$5,000,000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+1 (protection buyer)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</w:t>
            </w:r>
          </w:p>
        </w:tc>
        <w:tc>
          <w:tcPr/>
          <w:p>
            <w:pPr>
              <w:pStyle w:val="Compact"/>
            </w:pPr>
            <w:r>
              <w:t xml:space="preserve">5.0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MtM</w:t>
            </w:r>
          </w:p>
        </w:tc>
        <w:tc>
          <w:tcPr/>
          <w:p>
            <w:pPr>
              <w:pStyle w:val="Compact"/>
            </w:pPr>
            <w:r>
              <w:t xml:space="preserve">−$50,000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Collateral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</w:tbl>
    <w:bookmarkEnd w:id="47"/>
    <w:bookmarkStart w:id="48" w:name="supervisory-factor-gap-02"/>
    <w:p>
      <w:pPr>
        <w:pStyle w:val="Heading3"/>
      </w:pPr>
      <w:r>
        <w:t xml:space="preserve">Supervisory Factor (GAP-02)</w:t>
      </w:r>
    </w:p>
    <w:p>
      <w:pPr>
        <w:pStyle w:val="SourceCode"/>
      </w:pPr>
      <w:r>
        <w:rPr>
          <w:rStyle w:val="VerbatimChar"/>
        </w:rPr>
        <w:t xml:space="preserve">SF_credit (BB rating) = 1.06% = 0.0106   [from rating-granular Table 2]</w:t>
      </w:r>
    </w:p>
    <w:bookmarkEnd w:id="48"/>
    <w:bookmarkStart w:id="49" w:name="add-on"/>
    <w:p>
      <w:pPr>
        <w:pStyle w:val="Heading3"/>
      </w:pPr>
      <w:r>
        <w:t xml:space="preserve">Add-On</w:t>
      </w:r>
    </w:p>
    <w:p>
      <w:pPr>
        <w:pStyle w:val="SourceCode"/>
      </w:pPr>
      <w:r>
        <w:rPr>
          <w:rStyle w:val="VerbatimChar"/>
        </w:rPr>
        <w:t xml:space="preserve">D       = 5,000,000 × 1.0 × 1.0 = $5,000,000</w:t>
      </w:r>
      <w:r>
        <w:br/>
      </w:r>
      <w:r>
        <w:rPr>
          <w:rStyle w:val="VerbatimChar"/>
        </w:rPr>
        <w:t xml:space="preserve">AddOn_CR = SF × |D| = 0.0106 × 5,000,000 = $53,000</w:t>
      </w:r>
    </w:p>
    <w:bookmarkEnd w:id="49"/>
    <w:bookmarkStart w:id="50" w:name="pfe-multiplier-out-of-the-money"/>
    <w:p>
      <w:pPr>
        <w:pStyle w:val="Heading3"/>
      </w:pPr>
      <w:r>
        <w:t xml:space="preserve">PFE Multiplier (out of the money)</w:t>
      </w:r>
    </w:p>
    <w:p>
      <w:pPr>
        <w:pStyle w:val="SourceCode"/>
      </w:pPr>
      <w:r>
        <w:rPr>
          <w:rStyle w:val="VerbatimChar"/>
        </w:rPr>
        <w:t xml:space="preserve">y = (−50,000) / (2 × 0.95 × 53,000)</w:t>
      </w:r>
      <w:r>
        <w:br/>
      </w:r>
      <w:r>
        <w:rPr>
          <w:rStyle w:val="VerbatimChar"/>
        </w:rPr>
        <w:t xml:space="preserve">  = −50,000 / 100,700</w:t>
      </w:r>
      <w:r>
        <w:br/>
      </w:r>
      <w:r>
        <w:rPr>
          <w:rStyle w:val="VerbatimChar"/>
        </w:rPr>
        <w:t xml:space="preserve">  = −0.4965</w:t>
      </w:r>
      <w:r>
        <w:br/>
      </w:r>
      <w:r>
        <w:br/>
      </w:r>
      <w:r>
        <w:rPr>
          <w:rStyle w:val="VerbatimChar"/>
        </w:rPr>
        <w:t xml:space="preserve">Multiplier = min(1.0, 0.05 + 0.95 × exp(−0.4965))</w:t>
      </w:r>
      <w:r>
        <w:br/>
      </w:r>
      <w:r>
        <w:rPr>
          <w:rStyle w:val="VerbatimChar"/>
        </w:rPr>
        <w:t xml:space="preserve">           = min(1.0, 0.05 + 0.95 × 0.6086)</w:t>
      </w:r>
      <w:r>
        <w:br/>
      </w:r>
      <w:r>
        <w:rPr>
          <w:rStyle w:val="VerbatimChar"/>
        </w:rPr>
        <w:t xml:space="preserve">           = min(1.0, 0.05 + 0.5782)</w:t>
      </w:r>
      <w:r>
        <w:br/>
      </w:r>
      <w:r>
        <w:rPr>
          <w:rStyle w:val="VerbatimChar"/>
        </w:rPr>
        <w:t xml:space="preserve">           = min(1.0, 0.6282)</w:t>
      </w:r>
      <w:r>
        <w:br/>
      </w:r>
      <w:r>
        <w:rPr>
          <w:rStyle w:val="VerbatimChar"/>
        </w:rPr>
        <w:t xml:space="preserve">           = 0.6282</w:t>
      </w:r>
    </w:p>
    <w:p>
      <w:pPr>
        <w:pStyle w:val="FirstParagraph"/>
      </w:pPr>
      <w:r>
        <w:t xml:space="preserve">Out-of-the-money → multiplier &lt; 1.0 (reduced PFE).</w:t>
      </w:r>
    </w:p>
    <w:bookmarkEnd w:id="50"/>
    <w:bookmarkStart w:id="51" w:name="ead-1"/>
    <w:p>
      <w:pPr>
        <w:pStyle w:val="Heading3"/>
      </w:pPr>
      <w:r>
        <w:t xml:space="preserve">EAD</w:t>
      </w:r>
    </w:p>
    <w:p>
      <w:pPr>
        <w:pStyle w:val="SourceCode"/>
      </w:pPr>
      <w:r>
        <w:rPr>
          <w:rStyle w:val="VerbatimChar"/>
        </w:rPr>
        <w:t xml:space="preserve">RC  = max(−50,000 − 0, 0) = 0   (OTM → no replacement cost)</w:t>
      </w:r>
      <w:r>
        <w:br/>
      </w:r>
      <w:r>
        <w:rPr>
          <w:rStyle w:val="VerbatimChar"/>
        </w:rPr>
        <w:t xml:space="preserve">EAD = 1.4 × (0 + 0.6282 × 53,000)</w:t>
      </w:r>
      <w:r>
        <w:br/>
      </w:r>
      <w:r>
        <w:rPr>
          <w:rStyle w:val="VerbatimChar"/>
        </w:rPr>
        <w:t xml:space="preserve">    = 1.4 × 33,295</w:t>
      </w:r>
      <w:r>
        <w:br/>
      </w:r>
      <w:r>
        <w:rPr>
          <w:rStyle w:val="VerbatimChar"/>
        </w:rPr>
        <w:t xml:space="preserve">    = $46,613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9446998e9a0afd61fbaf77ee36621a67a9793d2"/>
    <w:p>
      <w:pPr>
        <w:pStyle w:val="Heading2"/>
      </w:pPr>
      <w:r>
        <w:t xml:space="preserve">Appendix D — Equity Option (Margined Netting Set, GAP-01)</w:t>
      </w:r>
    </w:p>
    <w:bookmarkStart w:id="53" w:name="trade-setup-3"/>
    <w:p>
      <w:pPr>
        <w:pStyle w:val="Heading3"/>
      </w:pPr>
      <w:r>
        <w:t xml:space="preserve">Trade Setup</w:t>
      </w:r>
    </w:p>
    <w:p>
      <w:pPr>
        <w:pStyle w:val="FirstParagraph"/>
      </w:pPr>
      <w:r>
        <w:t xml:space="preserve">Bank holds a</w:t>
      </w:r>
      <w:r>
        <w:t xml:space="preserve"> </w:t>
      </w:r>
      <w:r>
        <w:rPr>
          <w:b/>
          <w:bCs/>
        </w:rPr>
        <w:t xml:space="preserve">long call option</w:t>
      </w:r>
      <w:r>
        <w:t xml:space="preserve"> </w:t>
      </w:r>
      <w:r>
        <w:t xml:space="preserve">on SPX Index. $2M notional. Strike = 5,200, spot = 5,350. Maturity = 0.5 years. Margined (CSA), MPOR = 10 days. σ_eq_index = 75%.</w:t>
      </w:r>
    </w:p>
    <w:bookmarkEnd w:id="53"/>
    <w:bookmarkStart w:id="54" w:name="supervisory-delta-gap-06"/>
    <w:p>
      <w:pPr>
        <w:pStyle w:val="Heading3"/>
      </w:pPr>
      <w:r>
        <w:t xml:space="preserve">Supervisory Delta (GAP-06)</w:t>
      </w:r>
    </w:p>
    <w:p>
      <w:pPr>
        <w:pStyle w:val="SourceCode"/>
      </w:pPr>
      <w:r>
        <w:rPr>
          <w:rStyle w:val="VerbatimChar"/>
        </w:rPr>
        <w:t xml:space="preserve">P = 5,350, K = 5,200, T = 0.5, σ = 75%, λ = 0</w:t>
      </w:r>
      <w:r>
        <w:br/>
      </w:r>
      <w:r>
        <w:br/>
      </w:r>
      <w:r>
        <w:rPr>
          <w:rStyle w:val="VerbatimChar"/>
        </w:rPr>
        <w:t xml:space="preserve">d₁ = (ln(5350/5200) + 0.5 × 0.75² × 0.5) / (0.75 × sqrt(0.5))</w:t>
      </w:r>
      <w:r>
        <w:br/>
      </w:r>
      <w:r>
        <w:rPr>
          <w:rStyle w:val="VerbatimChar"/>
        </w:rPr>
        <w:t xml:space="preserve">   = (ln(1.0288) + 0.5 × 0.5625 × 0.5) / (0.75 × 0.7071)</w:t>
      </w:r>
      <w:r>
        <w:br/>
      </w:r>
      <w:r>
        <w:rPr>
          <w:rStyle w:val="VerbatimChar"/>
        </w:rPr>
        <w:t xml:space="preserve">   = (0.02841 + 0.14063) / 0.53033</w:t>
      </w:r>
      <w:r>
        <w:br/>
      </w:r>
      <w:r>
        <w:rPr>
          <w:rStyle w:val="VerbatimChar"/>
        </w:rPr>
        <w:t xml:space="preserve">   = 0.16904 / 0.53033</w:t>
      </w:r>
      <w:r>
        <w:br/>
      </w:r>
      <w:r>
        <w:rPr>
          <w:rStyle w:val="VerbatimChar"/>
        </w:rPr>
        <w:t xml:space="preserve">   = 0.3188</w:t>
      </w:r>
      <w:r>
        <w:br/>
      </w:r>
      <w:r>
        <w:br/>
      </w:r>
      <w:r>
        <w:rPr>
          <w:rStyle w:val="VerbatimChar"/>
        </w:rPr>
        <w:t xml:space="preserve">SD = N(0.3188) = 0.6251   (call option: long EQ exposure)</w:t>
      </w:r>
    </w:p>
    <w:bookmarkEnd w:id="54"/>
    <w:bookmarkStart w:id="55" w:name="maturity-factor-margined-gap-01"/>
    <w:p>
      <w:pPr>
        <w:pStyle w:val="Heading3"/>
      </w:pPr>
      <w:r>
        <w:t xml:space="preserve">Maturity Factor — Margined (GAP-01)</w:t>
      </w:r>
    </w:p>
    <w:p>
      <w:pPr>
        <w:pStyle w:val="SourceCode"/>
      </w:pPr>
      <w:r>
        <w:rPr>
          <w:rStyle w:val="VerbatimChar"/>
        </w:rPr>
        <w:t xml:space="preserve">MF_margined = (3/2) × sqrt(MPOR / 250)</w:t>
      </w:r>
      <w:r>
        <w:br/>
      </w:r>
      <w:r>
        <w:rPr>
          <w:rStyle w:val="VerbatimChar"/>
        </w:rPr>
        <w:t xml:space="preserve">            = 1.5 × sqrt(10 / 250)</w:t>
      </w:r>
      <w:r>
        <w:br/>
      </w:r>
      <w:r>
        <w:rPr>
          <w:rStyle w:val="VerbatimChar"/>
        </w:rPr>
        <w:t xml:space="preserve">            = 1.5 × sqrt(0.04)</w:t>
      </w:r>
      <w:r>
        <w:br/>
      </w:r>
      <w:r>
        <w:rPr>
          <w:rStyle w:val="VerbatimChar"/>
        </w:rPr>
        <w:t xml:space="preserve">            = 1.5 × 0.2</w:t>
      </w:r>
      <w:r>
        <w:br/>
      </w:r>
      <w:r>
        <w:rPr>
          <w:rStyle w:val="VerbatimChar"/>
        </w:rPr>
        <w:t xml:space="preserve">            = 0.30</w:t>
      </w:r>
    </w:p>
    <w:p>
      <w:pPr>
        <w:pStyle w:val="FirstParagraph"/>
      </w:pPr>
      <w:r>
        <w:rPr>
          <w:b/>
          <w:bCs/>
        </w:rPr>
        <w:t xml:space="preserve">Without GAP-01 fix:</w:t>
      </w:r>
      <w:r>
        <w:t xml:space="preserve"> </w:t>
      </w:r>
      <w:r>
        <w:t xml:space="preserve">MF = sqrt(10/250) = 0.20 → add-on understated by 33%.</w:t>
      </w:r>
    </w:p>
    <w:bookmarkEnd w:id="55"/>
    <w:bookmarkStart w:id="56" w:name="add-on-1"/>
    <w:p>
      <w:pPr>
        <w:pStyle w:val="Heading3"/>
      </w:pPr>
      <w:r>
        <w:t xml:space="preserve">Add-On</w:t>
      </w:r>
    </w:p>
    <w:p>
      <w:pPr>
        <w:pStyle w:val="SourceCode"/>
      </w:pPr>
      <w:r>
        <w:rPr>
          <w:rStyle w:val="VerbatimChar"/>
        </w:rPr>
        <w:t xml:space="preserve">D_eq    = Notional × SD × MF = 2,000,000 × 0.6251 × 0.30 = $375,060</w:t>
      </w:r>
      <w:r>
        <w:br/>
      </w:r>
      <w:r>
        <w:rPr>
          <w:rStyle w:val="VerbatimChar"/>
        </w:rPr>
        <w:t xml:space="preserve">SF_eq   = 20% (index)</w:t>
      </w:r>
      <w:r>
        <w:br/>
      </w:r>
      <w:r>
        <w:rPr>
          <w:rStyle w:val="VerbatimChar"/>
        </w:rPr>
        <w:t xml:space="preserve">AddOn   = 0.20 × 375,060 = $75,012</w:t>
      </w:r>
      <w:r>
        <w:br/>
      </w:r>
      <w:r>
        <w:br/>
      </w:r>
      <w:r>
        <w:rPr>
          <w:rStyle w:val="VerbatimChar"/>
        </w:rPr>
        <w:t xml:space="preserve">Multiplier = 1.0 (assume in the money)</w:t>
      </w:r>
      <w:r>
        <w:br/>
      </w:r>
      <w:r>
        <w:rPr>
          <w:rStyle w:val="VerbatimChar"/>
        </w:rPr>
        <w:t xml:space="preserve">EAD_margined = 1.4 × (0 + 1.0 × 75,012) = $105,017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x-e-multi-asset-netting-set"/>
    <w:p>
      <w:pPr>
        <w:pStyle w:val="Heading2"/>
      </w:pPr>
      <w:r>
        <w:t xml:space="preserve">Appendix E — Multi-Asset Netting Set</w:t>
      </w:r>
    </w:p>
    <w:bookmarkStart w:id="58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A netting set with three trades: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Trade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Notional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Add-On (Approx.)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IRS 5Y USD</w:t>
            </w:r>
          </w:p>
        </w:tc>
        <w:tc>
          <w:tcPr/>
          <w:p>
            <w:pPr>
              <w:pStyle w:val="Compact"/>
            </w:pPr>
            <w: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$10M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$11,060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IRS 3Y USD</w:t>
            </w:r>
          </w:p>
        </w:tc>
        <w:tc>
          <w:tcPr/>
          <w:p>
            <w:pPr>
              <w:pStyle w:val="Compact"/>
            </w:pPr>
            <w: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$8M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−$8,480 (offsets)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EUR/USD</w:t>
            </w:r>
          </w:p>
        </w:tc>
        <w:tc>
          <w:tcPr/>
          <w:p>
            <w:pPr>
              <w:pStyle w:val="Compact"/>
            </w:pPr>
            <w:r>
              <w:t xml:space="preserve">FX</w:t>
            </w:r>
          </w:p>
        </w:tc>
        <w:tc>
          <w:tcPr/>
          <w:p>
            <w:pPr>
              <w:pStyle w:val="Compact"/>
            </w:pPr>
            <w:r>
              <w:t xml:space="preserve">$10M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$438,000</w:t>
            </w:r>
          </w:p>
        </w:tc>
      </w:tr>
    </w:tbl>
    <w:p>
      <w:pPr>
        <w:pStyle w:val="BodyText"/>
      </w:pPr>
      <w:r>
        <w:t xml:space="preserve">Net MtM = +$200,000. Collateral = $50,000.</w:t>
      </w:r>
    </w:p>
    <w:bookmarkEnd w:id="58"/>
    <w:bookmarkStart w:id="59" w:name="Xa0aa67837b7af222c0318814fad9280a64c8211"/>
    <w:p>
      <w:pPr>
        <w:pStyle w:val="Heading3"/>
      </w:pPr>
      <w:r>
        <w:t xml:space="preserve">IR Aggregation (Same Currency, Partial Netting)</w:t>
      </w:r>
    </w:p>
    <w:p>
      <w:pPr>
        <w:pStyle w:val="FirstParagraph"/>
      </w:pPr>
      <w:r>
        <w:t xml:space="preserve">The +$10M and −$8M USD IRS positions partially offset within the USD hedging set:</w:t>
      </w:r>
    </w:p>
    <w:p>
      <w:pPr>
        <w:pStyle w:val="SourceCode"/>
      </w:pPr>
      <w:r>
        <w:rPr>
          <w:rStyle w:val="VerbatimChar"/>
        </w:rPr>
        <w:t xml:space="preserve">Net EN_bucket2 = 2,212,000 − 1,697,000 = $515,000</w:t>
      </w:r>
      <w:r>
        <w:br/>
      </w:r>
      <w:r>
        <w:rPr>
          <w:rStyle w:val="VerbatimChar"/>
        </w:rPr>
        <w:t xml:space="preserve">AddOn_IR = 0.005 × 515,000 = $2,575</w:t>
      </w:r>
    </w:p>
    <w:bookmarkEnd w:id="59"/>
    <w:bookmarkStart w:id="60" w:name="total-add-on"/>
    <w:p>
      <w:pPr>
        <w:pStyle w:val="Heading3"/>
      </w:pPr>
      <w:r>
        <w:t xml:space="preserve">Total Add-On</w:t>
      </w:r>
    </w:p>
    <w:p>
      <w:pPr>
        <w:pStyle w:val="SourceCode"/>
      </w:pPr>
      <w:r>
        <w:rPr>
          <w:rStyle w:val="VerbatimChar"/>
        </w:rPr>
        <w:t xml:space="preserve">AddOn_IR = $2,575       (partially netted)</w:t>
      </w:r>
      <w:r>
        <w:br/>
      </w:r>
      <w:r>
        <w:rPr>
          <w:rStyle w:val="VerbatimChar"/>
        </w:rPr>
        <w:t xml:space="preserve">AddOn_FX = $438,000</w:t>
      </w:r>
      <w:r>
        <w:br/>
      </w:r>
      <w:r>
        <w:br/>
      </w:r>
      <w:r>
        <w:rPr>
          <w:rStyle w:val="VerbatimChar"/>
        </w:rPr>
        <w:t xml:space="preserve">Total AddOn = $2,575 + $438,000 = $440,575</w:t>
      </w:r>
    </w:p>
    <w:p>
      <w:pPr>
        <w:pStyle w:val="FirstParagraph"/>
      </w:pPr>
      <w:r>
        <w:rPr>
          <w:b/>
          <w:bCs/>
        </w:rPr>
        <w:t xml:space="preserve">No cross-asset-class netting</w:t>
      </w:r>
      <w:r>
        <w:t xml:space="preserve"> </w:t>
      </w:r>
      <w:r>
        <w:t xml:space="preserve">— IR and FX add-ons always sum arithmetically.</w:t>
      </w:r>
    </w:p>
    <w:bookmarkEnd w:id="60"/>
    <w:bookmarkStart w:id="61" w:name="rc-and-ead"/>
    <w:p>
      <w:pPr>
        <w:pStyle w:val="Heading3"/>
      </w:pPr>
      <w:r>
        <w:t xml:space="preserve">RC and EAD</w:t>
      </w:r>
    </w:p>
    <w:p>
      <w:pPr>
        <w:pStyle w:val="SourceCode"/>
      </w:pPr>
      <w:r>
        <w:rPr>
          <w:rStyle w:val="VerbatimChar"/>
        </w:rPr>
        <w:t xml:space="preserve">RC   = max(200,000 − 50,000, 0) = $150,000</w:t>
      </w:r>
      <w:r>
        <w:br/>
      </w:r>
      <w:r>
        <w:rPr>
          <w:rStyle w:val="VerbatimChar"/>
        </w:rPr>
        <w:t xml:space="preserve">mult = 1.0 (in the money)</w:t>
      </w:r>
      <w:r>
        <w:br/>
      </w:r>
      <w:r>
        <w:rPr>
          <w:rStyle w:val="VerbatimChar"/>
        </w:rPr>
        <w:t xml:space="preserve">EAD  = 1.4 × (150,000 + 440,575) = 1.4 × 590,575 = $826,805</w:t>
      </w:r>
    </w:p>
    <w:p>
      <w:pPr>
        <w:pStyle w:val="FirstParagraph"/>
      </w:pPr>
      <w:r>
        <w:rPr>
          <w:b/>
          <w:bCs/>
        </w:rPr>
        <w:t xml:space="preserve">Insight:</w:t>
      </w:r>
      <w:r>
        <w:t xml:space="preserve"> </w:t>
      </w:r>
      <w:r>
        <w:t xml:space="preserve">The FX forward dominates the add-on ($438k vs $2.6k for IR) because 4% SF is 8× higher than 0.5% IR SF. IR netting generated $8,480 in savings — illustrating why CSA agreements with robust netting are capital-efficient.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2026-04-18T15:13:07Z</dcterms:created>
  <dcterms:modified xsi:type="dcterms:W3CDTF">2026-04-18T15:13:07Z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