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PROMETHEUS Risk Platform</w:t>
      </w:r>
    </w:p>
    <w:p>
      <w:pPr>
        <w:jc w:val="center"/>
      </w:pPr>
      <w:r>
        <w:rPr>
          <w:b/>
          <w:sz w:val="36"/>
        </w:rPr>
        <w:t>Fundamental Review of the Trading Book (FRTB)</w:t>
      </w:r>
    </w:p>
    <w:p>
      <w:pPr>
        <w:jc w:val="center"/>
      </w:pPr>
      <w:r>
        <w:rPr>
          <w:sz w:val="32"/>
        </w:rPr>
        <w:t>Functional Requirements Document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Version: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Date:</w:t>
            </w:r>
          </w:p>
        </w:tc>
        <w:tc>
          <w:tcPr>
            <w:tcW w:type="dxa" w:w="4320"/>
          </w:tcPr>
          <w:p>
            <w:r>
              <w:t>April 07, 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Regulatory Framework:</w:t>
            </w:r>
          </w:p>
        </w:tc>
        <w:tc>
          <w:tcPr>
            <w:tcW w:type="dxa" w:w="4320"/>
          </w:tcPr>
          <w:p>
            <w:r>
              <w:t>Basel III MAR10-33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Implementation:</w:t>
            </w:r>
          </w:p>
        </w:tc>
        <w:tc>
          <w:tcPr>
            <w:tcW w:type="dxa" w:w="4320"/>
          </w:tcPr>
          <w:p>
            <w:r>
              <w:t>Python 3.10+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Status:</w:t>
            </w:r>
          </w:p>
        </w:tc>
        <w:tc>
          <w:tcPr>
            <w:tcW w:type="dxa" w:w="4320"/>
          </w:tcPr>
          <w:p>
            <w:r>
              <w:t>Production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Classification:</w:t>
            </w:r>
          </w:p>
        </w:tc>
        <w:tc>
          <w:tcPr>
            <w:tcW w:type="dxa" w:w="4320"/>
          </w:tcPr>
          <w:p>
            <w:r>
              <w:t>Internal - Risk Management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Table of Contents</w:t>
      </w:r>
    </w:p>
    <w:p>
      <w:r>
        <w:t>[Auto-generated in Microsoft Word via References &gt; Table of Contents]</w:t>
      </w:r>
    </w:p>
    <w:p>
      <w:r>
        <w:br w:type="page"/>
      </w:r>
    </w:p>
    <w:p>
      <w:pPr>
        <w:pStyle w:val="Heading1"/>
      </w:pPr>
      <w:r>
        <w:rPr>
          <w:color w:val="003366"/>
        </w:rPr>
        <w:t>1. Executive Summary</w:t>
      </w:r>
    </w:p>
    <w:p>
      <w:r>
        <w:t>The FRTB (Fundamental Review of the Trading Book) engine implements the Basel Committee on Banking Supervision's comprehensive framework for market risk capital requirements, as specified in MAR10-33. This system replaces the previous market risk framework (Basel 2.5) with a more risk-sensitive approach that addresses shortcomings identified during the 2007-2009 financial crisis.</w:t>
      </w:r>
    </w:p>
    <w:p>
      <w:pPr>
        <w:pStyle w:val="Heading2"/>
      </w:pPr>
      <w:r>
        <w:t>1.1 Purpose and Scope</w:t>
      </w:r>
    </w:p>
    <w:p>
      <w:r>
        <w:t>This functional requirements document specifies the business logic, regulatory alignment, and technical implementation of the FRTB capital calculation engine. The system calculates market risk capital using two methodologies:</w:t>
      </w:r>
    </w:p>
    <w:p>
      <w:r>
        <w:rPr>
          <w:b/>
        </w:rPr>
        <w:t>1. Sensitivities-Based Method (SBM)</w:t>
      </w:r>
      <w:r>
        <w:t xml:space="preserve"> - Standardized approach based on regulatory risk weights and sensitivities (MAR21-23)</w:t>
        <w:br/>
      </w:r>
      <w:r>
        <w:rPr>
          <w:b/>
        </w:rPr>
        <w:t>2. Internal Models Approach (IMA)</w:t>
      </w:r>
      <w:r>
        <w:t xml:space="preserve"> - Bank-specific models using Expected Shortfall at 97.5% confidence (MAR31-33)</w:t>
      </w:r>
    </w:p>
    <w:p>
      <w:pPr>
        <w:pStyle w:val="Heading2"/>
      </w:pPr>
      <w:r>
        <w:t>1.2 Regulatory Mandate</w:t>
      </w:r>
    </w:p>
    <w:p>
      <w:r>
        <w:t>The FRTB framework was finalized by the Basel Committee in January 2016 (revised January 2019) and is being implemented globally with staggered deadlines. Key regulatory objectives include:</w:t>
      </w:r>
    </w:p>
    <w:p>
      <w:pPr>
        <w:pStyle w:val="ListBullet"/>
      </w:pPr>
      <w:r>
        <w:t>• Replace Value-at-Risk (VaR) with Expected Shortfall (ES) for tail risk sensitivity</w:t>
      </w:r>
    </w:p>
    <w:p>
      <w:pPr>
        <w:pStyle w:val="ListBullet"/>
      </w:pPr>
      <w:r>
        <w:t>• Introduce a more granular and risk-sensitive standardized approach</w:t>
      </w:r>
    </w:p>
    <w:p>
      <w:pPr>
        <w:pStyle w:val="ListBullet"/>
      </w:pPr>
      <w:r>
        <w:t>• Strengthen the boundary between banking book and trading book</w:t>
      </w:r>
    </w:p>
    <w:p>
      <w:pPr>
        <w:pStyle w:val="ListBullet"/>
      </w:pPr>
      <w:r>
        <w:t>• Address model risk through eligibility tests and capital add-ons</w:t>
      </w:r>
    </w:p>
    <w:p>
      <w:pPr>
        <w:pStyle w:val="ListBullet"/>
      </w:pPr>
      <w:r>
        <w:t>• Incorporate liquidity horizons to reflect realistic exit timeframes</w:t>
      </w:r>
    </w:p>
    <w:p>
      <w:pPr>
        <w:pStyle w:val="ListBullet"/>
      </w:pPr>
      <w:r>
        <w:t>• Implement robust backtesting and profit-and-loss attribution frameworks</w:t>
      </w:r>
    </w:p>
    <w:p>
      <w:pPr>
        <w:pStyle w:val="Heading2"/>
      </w:pPr>
      <w:r>
        <w:t>1.3 System Capabilities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64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Delta Risk</w:t>
            </w:r>
          </w:p>
        </w:tc>
        <w:tc>
          <w:tcPr>
            <w:tcW w:type="dxa" w:w="6480"/>
          </w:tcPr>
          <w:p>
            <w:r>
              <w:t>First-order price sensitivities across all risk classes</w:t>
            </w:r>
          </w:p>
        </w:tc>
      </w:tr>
      <w:tr>
        <w:tc>
          <w:tcPr>
            <w:tcW w:type="dxa" w:w="2880"/>
          </w:tcPr>
          <w:p>
            <w:r>
              <w:t>Vega Risk</w:t>
            </w:r>
          </w:p>
        </w:tc>
        <w:tc>
          <w:tcPr>
            <w:tcW w:type="dxa" w:w="6480"/>
          </w:tcPr>
          <w:p>
            <w:r>
              <w:t>Volatility sensitivities for options and structured products</w:t>
            </w:r>
          </w:p>
        </w:tc>
      </w:tr>
      <w:tr>
        <w:tc>
          <w:tcPr>
            <w:tcW w:type="dxa" w:w="2880"/>
          </w:tcPr>
          <w:p>
            <w:r>
              <w:t>Curvature Risk</w:t>
            </w:r>
          </w:p>
        </w:tc>
        <w:tc>
          <w:tcPr>
            <w:tcW w:type="dxa" w:w="6480"/>
          </w:tcPr>
          <w:p>
            <w:r>
              <w:t>Second-order (gamma) effects and price non-linearity</w:t>
            </w:r>
          </w:p>
        </w:tc>
      </w:tr>
      <w:tr>
        <w:tc>
          <w:tcPr>
            <w:tcW w:type="dxa" w:w="2880"/>
          </w:tcPr>
          <w:p>
            <w:r>
              <w:t>Default Risk Charge</w:t>
            </w:r>
          </w:p>
        </w:tc>
        <w:tc>
          <w:tcPr>
            <w:tcW w:type="dxa" w:w="6480"/>
          </w:tcPr>
          <w:p>
            <w:r>
              <w:t>Jump-to-default and credit migration risk (MAR22)</w:t>
            </w:r>
          </w:p>
        </w:tc>
      </w:tr>
      <w:tr>
        <w:tc>
          <w:tcPr>
            <w:tcW w:type="dxa" w:w="2880"/>
          </w:tcPr>
          <w:p>
            <w:r>
              <w:t>Residual Risk Add-On</w:t>
            </w:r>
          </w:p>
        </w:tc>
        <w:tc>
          <w:tcPr>
            <w:tcW w:type="dxa" w:w="6480"/>
          </w:tcPr>
          <w:p>
            <w:r>
              <w:t>Exotic risks not captured in sensitivities (MAR23)</w:t>
            </w:r>
          </w:p>
        </w:tc>
      </w:tr>
      <w:tr>
        <w:tc>
          <w:tcPr>
            <w:tcW w:type="dxa" w:w="2880"/>
          </w:tcPr>
          <w:p>
            <w:r>
              <w:t>Expected Shortfall</w:t>
            </w:r>
          </w:p>
        </w:tc>
        <w:tc>
          <w:tcPr>
            <w:tcW w:type="dxa" w:w="6480"/>
          </w:tcPr>
          <w:p>
            <w:r>
              <w:t>Tail risk measure at 97.5% confidence (MAR31-33)</w:t>
            </w:r>
          </w:p>
        </w:tc>
      </w:tr>
      <w:tr>
        <w:tc>
          <w:tcPr>
            <w:tcW w:type="dxa" w:w="2880"/>
          </w:tcPr>
          <w:p>
            <w:r>
              <w:t>Backtesting</w:t>
            </w:r>
          </w:p>
        </w:tc>
        <w:tc>
          <w:tcPr>
            <w:tcW w:type="dxa" w:w="6480"/>
          </w:tcPr>
          <w:p>
            <w:r>
              <w:t>Traffic-light framework for model validation (MAR99)</w:t>
            </w:r>
          </w:p>
        </w:tc>
      </w:tr>
      <w:tr>
        <w:tc>
          <w:tcPr>
            <w:tcW w:type="dxa" w:w="2880"/>
          </w:tcPr>
          <w:p>
            <w:r>
              <w:t>Dynamic Adjustment</w:t>
            </w:r>
          </w:p>
        </w:tc>
        <w:tc>
          <w:tcPr>
            <w:tcW w:type="dxa" w:w="6480"/>
          </w:tcPr>
          <w:p>
            <w:r>
              <w:t>Real-time market condition integration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2. Regulatory Framework Alignment</w:t>
      </w:r>
    </w:p>
    <w:p>
      <w:pPr>
        <w:pStyle w:val="Heading2"/>
      </w:pPr>
      <w:r>
        <w:t>2.1 Basel III Market Risk Framework (MAR)</w:t>
      </w:r>
    </w:p>
    <w:p>
      <w:r>
        <w:t>The implementation adheres to the Basel Committee's "Minimum capital requirements for market risk" (MAR) standards, specifically:</w:t>
      </w:r>
    </w:p>
    <w:p>
      <w:pPr>
        <w:pStyle w:val="ListBullet"/>
      </w:pPr>
      <w:r>
        <w:rPr>
          <w:b/>
        </w:rPr>
        <w:t>MAR10</w:t>
      </w:r>
      <w:r>
        <w:t>: Boundary between banking book and trading book</w:t>
      </w:r>
    </w:p>
    <w:p>
      <w:pPr>
        <w:pStyle w:val="ListBullet"/>
      </w:pPr>
      <w:r>
        <w:rPr>
          <w:b/>
        </w:rPr>
        <w:t>MAR20</w:t>
      </w:r>
      <w:r>
        <w:t>: Definitions and application (scope, risk classes)</w:t>
      </w:r>
    </w:p>
    <w:p>
      <w:pPr>
        <w:pStyle w:val="ListBullet"/>
      </w:pPr>
      <w:r>
        <w:rPr>
          <w:b/>
        </w:rPr>
        <w:t>MAR21</w:t>
      </w:r>
      <w:r>
        <w:t>: Sensitivities-Based Method - Delta and Vega risks</w:t>
      </w:r>
    </w:p>
    <w:p>
      <w:pPr>
        <w:pStyle w:val="ListBullet"/>
      </w:pPr>
      <w:r>
        <w:rPr>
          <w:b/>
        </w:rPr>
        <w:t>MAR22</w:t>
      </w:r>
      <w:r>
        <w:t>: Default Risk Charge (DRC)</w:t>
      </w:r>
    </w:p>
    <w:p>
      <w:pPr>
        <w:pStyle w:val="ListBullet"/>
      </w:pPr>
      <w:r>
        <w:rPr>
          <w:b/>
        </w:rPr>
        <w:t>MAR23</w:t>
      </w:r>
      <w:r>
        <w:t>: Residual Risk Add-On (RRAO)</w:t>
      </w:r>
    </w:p>
    <w:p>
      <w:pPr>
        <w:pStyle w:val="ListBullet"/>
      </w:pPr>
      <w:r>
        <w:rPr>
          <w:b/>
        </w:rPr>
        <w:t>MAR31</w:t>
      </w:r>
      <w:r>
        <w:t>: Internal Models Approach - Expected Shortfall</w:t>
      </w:r>
    </w:p>
    <w:p>
      <w:pPr>
        <w:pStyle w:val="ListBullet"/>
      </w:pPr>
      <w:r>
        <w:rPr>
          <w:b/>
        </w:rPr>
        <w:t>MAR32</w:t>
      </w:r>
      <w:r>
        <w:t>: Profit and Loss Attribution test</w:t>
      </w:r>
    </w:p>
    <w:p>
      <w:pPr>
        <w:pStyle w:val="ListBullet"/>
      </w:pPr>
      <w:r>
        <w:rPr>
          <w:b/>
        </w:rPr>
        <w:t>MAR33</w:t>
      </w:r>
      <w:r>
        <w:t>: Backtesting and capital floors</w:t>
      </w:r>
    </w:p>
    <w:p>
      <w:pPr>
        <w:pStyle w:val="ListBullet"/>
      </w:pPr>
      <w:r>
        <w:rPr>
          <w:b/>
        </w:rPr>
        <w:t>MAR99</w:t>
      </w:r>
      <w:r>
        <w:t>: Supervisory reporting</w:t>
      </w:r>
    </w:p>
    <w:p>
      <w:pPr>
        <w:pStyle w:val="Heading2"/>
      </w:pPr>
      <w:r>
        <w:t>2.2 Implementation Status</w:t>
      </w:r>
    </w:p>
    <w:p>
      <w:r>
        <w:t>The current implementation includes all regulatory fixes identified in the April 2026 code review. The following corrections ensure full MAR compliance: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40"/>
          </w:tcPr>
          <w:p>
            <w:r>
              <w:rPr>
                <w:b/>
              </w:rPr>
              <w:t>Fix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MAR Ref</w:t>
            </w:r>
          </w:p>
        </w:tc>
        <w:tc>
          <w:tcPr>
            <w:tcW w:type="dxa" w:w="4752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440"/>
          </w:tcPr>
          <w:p>
            <w:r>
              <w:t>FIX-01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MAR21.6</w:t>
            </w:r>
          </w:p>
        </w:tc>
        <w:tc>
          <w:tcPr>
            <w:tcW w:type="dxa" w:w="4752"/>
          </w:tcPr>
          <w:p>
            <w:r>
              <w:t>Three-rho correlation formula correction</w:t>
            </w:r>
          </w:p>
        </w:tc>
      </w:tr>
      <w:tr>
        <w:tc>
          <w:tcPr>
            <w:tcW w:type="dxa" w:w="1440"/>
          </w:tcPr>
          <w:p>
            <w:r>
              <w:t>FIX-02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MAR23.6</w:t>
            </w:r>
          </w:p>
        </w:tc>
        <w:tc>
          <w:tcPr>
            <w:tcW w:type="dxa" w:w="4752"/>
          </w:tcPr>
          <w:p>
            <w:r>
              <w:t>Curvature charge sqrt() removal</w:t>
            </w:r>
          </w:p>
        </w:tc>
      </w:tr>
      <w:tr>
        <w:tc>
          <w:tcPr>
            <w:tcW w:type="dxa" w:w="1440"/>
          </w:tcPr>
          <w:p>
            <w:r>
              <w:t>FIX-03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MAR21.44</w:t>
            </w:r>
          </w:p>
        </w:tc>
        <w:tc>
          <w:tcPr>
            <w:tcW w:type="dxa" w:w="4752"/>
          </w:tcPr>
          <w:p>
            <w:r>
              <w:t>GIRR risk weight count (13→10 values)</w:t>
            </w:r>
          </w:p>
        </w:tc>
      </w:tr>
      <w:tr>
        <w:tc>
          <w:tcPr>
            <w:tcW w:type="dxa" w:w="1440"/>
          </w:tcPr>
          <w:p>
            <w:r>
              <w:t>FIX-04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MAR33.8</w:t>
            </w:r>
          </w:p>
        </w:tc>
        <w:tc>
          <w:tcPr>
            <w:tcW w:type="dxa" w:w="4752"/>
          </w:tcPr>
          <w:p>
            <w:r>
              <w:t>ES tail count (int→ceil)</w:t>
            </w:r>
          </w:p>
        </w:tc>
      </w:tr>
      <w:tr>
        <w:tc>
          <w:tcPr>
            <w:tcW w:type="dxa" w:w="1440"/>
          </w:tcPr>
          <w:p>
            <w:r>
              <w:t>FIX-05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MAR21.73</w:t>
            </w:r>
          </w:p>
        </w:tc>
        <w:tc>
          <w:tcPr>
            <w:tcW w:type="dxa" w:w="4752"/>
          </w:tcPr>
          <w:p>
            <w:r>
              <w:t>CSR_SEC/CTP parameters added</w:t>
            </w:r>
          </w:p>
        </w:tc>
      </w:tr>
      <w:tr>
        <w:tc>
          <w:tcPr>
            <w:tcW w:type="dxa" w:w="1440"/>
          </w:tcPr>
          <w:p>
            <w:r>
              <w:t>FIX-06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MAR31.14</w:t>
            </w:r>
          </w:p>
        </w:tc>
        <w:tc>
          <w:tcPr>
            <w:tcW w:type="dxa" w:w="4752"/>
          </w:tcPr>
          <w:p>
            <w:r>
              <w:t>NMRF charge default (0.0015→0.0)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3. Business and Policy Objectives</w:t>
      </w:r>
    </w:p>
    <w:p>
      <w:pPr>
        <w:pStyle w:val="Heading2"/>
      </w:pPr>
      <w:r>
        <w:t>3.1 Capital Management</w:t>
      </w:r>
    </w:p>
    <w:p>
      <w:r>
        <w:t>The FRTB engine serves as the primary calculation tool for market risk Pillar 1 capital. Key business objectives include:</w:t>
      </w:r>
    </w:p>
    <w:p>
      <w:r>
        <w:rPr>
          <w:b/>
        </w:rPr>
        <w:t xml:space="preserve">Regulatory Capital: </w:t>
      </w:r>
      <w:r>
        <w:t>Calculate minimum required capital per MAR21-33 for regulatory reporting</w:t>
      </w:r>
    </w:p>
    <w:p>
      <w:r>
        <w:rPr>
          <w:b/>
        </w:rPr>
        <w:t xml:space="preserve">Economic Capital: </w:t>
      </w:r>
      <w:r>
        <w:t>Support internal capital allocation and risk-adjusted performance measurement</w:t>
      </w:r>
    </w:p>
    <w:p>
      <w:r>
        <w:rPr>
          <w:b/>
        </w:rPr>
        <w:t xml:space="preserve">Stress Testing: </w:t>
      </w:r>
      <w:r>
        <w:t>Enable scenario analysis and stress capital buffer determination</w:t>
      </w:r>
    </w:p>
    <w:p>
      <w:r>
        <w:rPr>
          <w:b/>
        </w:rPr>
        <w:t xml:space="preserve">Risk Limits: </w:t>
      </w:r>
      <w:r>
        <w:t>Inform trading desk limits and risk appetite framework</w:t>
      </w:r>
    </w:p>
    <w:p>
      <w:r>
        <w:rPr>
          <w:b/>
        </w:rPr>
        <w:t xml:space="preserve">Model Governance: </w:t>
      </w:r>
      <w:r>
        <w:t>Facilitate model validation, backtesting, and P&amp;L attribution</w:t>
      </w:r>
    </w:p>
    <w:p>
      <w:pPr>
        <w:pStyle w:val="Heading2"/>
      </w:pPr>
      <w:r>
        <w:t>3.2 Risk Measurement Philosophy</w:t>
      </w:r>
    </w:p>
    <w:p>
      <w:r>
        <w:t>The system implements a dual approach to market risk measurement, balancing standardization with model sophistication:</w:t>
      </w:r>
    </w:p>
    <w:p>
      <w:r>
        <w:rPr>
          <w:b/>
        </w:rPr>
        <w:t>Sensitivities-Based Method (SBM)</w:t>
      </w:r>
      <w:r>
        <w:br/>
        <w:t>Provides a transparent, comparable, and verifiable standardized measure. Uses regulatory risk weights and correlation assumptions. Suitable for less complex portfolios and serves as a floor for IMA capital.</w:t>
      </w:r>
    </w:p>
    <w:p>
      <w:r>
        <w:rPr>
          <w:b/>
        </w:rPr>
        <w:t>Internal Models Approach (IMA)</w:t>
      </w:r>
      <w:r>
        <w:br/>
        <w:t>Reflects bank-specific risk profiles through historical simulation or parametric methods. Requires regulatory approval and ongoing validation. Allows capital efficiency for well-modeled risks.</w:t>
      </w:r>
    </w:p>
    <w:p>
      <w:pPr>
        <w:pStyle w:val="Heading2"/>
      </w:pPr>
      <w:r>
        <w:t>3.3 Trading Desk Coverage</w:t>
      </w:r>
    </w:p>
    <w:p>
      <w:r>
        <w:t>The engine supports all major asset classes and trading strategies defined in MAR20: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</w:tcPr>
          <w:p>
            <w:r>
              <w:rPr>
                <w:b/>
              </w:rPr>
              <w:t>Risk Class</w:t>
            </w:r>
          </w:p>
        </w:tc>
        <w:tc>
          <w:tcPr>
            <w:tcW w:type="dxa" w:w="6480"/>
          </w:tcPr>
          <w:p>
            <w:r>
              <w:rPr>
                <w:b/>
              </w:rPr>
              <w:t>Instruments Covered</w:t>
            </w:r>
          </w:p>
        </w:tc>
      </w:tr>
      <w:tr>
        <w:tc>
          <w:tcPr>
            <w:tcW w:type="dxa" w:w="2880"/>
          </w:tcPr>
          <w:p>
            <w:r>
              <w:t>Interest Rate (GIRR)</w:t>
            </w:r>
          </w:p>
        </w:tc>
        <w:tc>
          <w:tcPr>
            <w:tcW w:type="dxa" w:w="6480"/>
          </w:tcPr>
          <w:p>
            <w:r>
              <w:t>Government bonds, swaps, swaptions, caps/floors, inflation products</w:t>
            </w:r>
          </w:p>
        </w:tc>
      </w:tr>
      <w:tr>
        <w:tc>
          <w:tcPr>
            <w:tcW w:type="dxa" w:w="2880"/>
          </w:tcPr>
          <w:p>
            <w:r>
              <w:t>Credit Spread (CSR)</w:t>
            </w:r>
          </w:p>
        </w:tc>
        <w:tc>
          <w:tcPr>
            <w:tcW w:type="dxa" w:w="6480"/>
          </w:tcPr>
          <w:p>
            <w:r>
              <w:t>Corporate bonds, CDS, securitizations, tranches, CDO, CLO</w:t>
            </w:r>
          </w:p>
        </w:tc>
      </w:tr>
      <w:tr>
        <w:tc>
          <w:tcPr>
            <w:tcW w:type="dxa" w:w="2880"/>
          </w:tcPr>
          <w:p>
            <w:r>
              <w:t>Equity</w:t>
            </w:r>
          </w:p>
        </w:tc>
        <w:tc>
          <w:tcPr>
            <w:tcW w:type="dxa" w:w="6480"/>
          </w:tcPr>
          <w:p>
            <w:r>
              <w:t>Cash equities, equity derivatives, index products, convertibles</w:t>
            </w:r>
          </w:p>
        </w:tc>
      </w:tr>
      <w:tr>
        <w:tc>
          <w:tcPr>
            <w:tcW w:type="dxa" w:w="2880"/>
          </w:tcPr>
          <w:p>
            <w:r>
              <w:t>Foreign Exchange (FX)</w:t>
            </w:r>
          </w:p>
        </w:tc>
        <w:tc>
          <w:tcPr>
            <w:tcW w:type="dxa" w:w="6480"/>
          </w:tcPr>
          <w:p>
            <w:r>
              <w:t>Spot, forwards, FX options, cross-currency swaps</w:t>
            </w:r>
          </w:p>
        </w:tc>
      </w:tr>
      <w:tr>
        <w:tc>
          <w:tcPr>
            <w:tcW w:type="dxa" w:w="2880"/>
          </w:tcPr>
          <w:p>
            <w:r>
              <w:t>Commodity (CMDTY)</w:t>
            </w:r>
          </w:p>
        </w:tc>
        <w:tc>
          <w:tcPr>
            <w:tcW w:type="dxa" w:w="6480"/>
          </w:tcPr>
          <w:p>
            <w:r>
              <w:t>Energy, metals, agriculture, freight, weather derivatives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4. System Architecture</w:t>
      </w:r>
    </w:p>
    <w:p>
      <w:pPr>
        <w:pStyle w:val="Heading2"/>
      </w:pPr>
      <w:r>
        <w:t>4.1 High-Level Design</w:t>
      </w:r>
    </w:p>
    <w:p>
      <w:r>
        <w:t>The FRTB engine follows a modular, layered architecture that separates data acquisition, business logic, and result aggregation:</w:t>
      </w:r>
    </w:p>
    <w:p/>
    <w:p>
      <w:pPr>
        <w:pStyle w:val="NoSpacing"/>
      </w:pPr>
      <w:r>
        <w:rPr>
          <w:rFonts w:ascii="Courier New" w:hAnsi="Courier New"/>
          <w:sz w:val="18"/>
        </w:rPr>
        <w:br/>
        <w:t xml:space="preserve">    ┌─────────────────────────────────────────────────────────────────┐</w:t>
        <w:br/>
        <w:t xml:space="preserve">    │                      FRTB Engine (FRTBEngine)                   │</w:t>
        <w:br/>
        <w:t xml:space="preserve">    │                                                                 │</w:t>
        <w:br/>
        <w:t xml:space="preserve">    │  Input: Sensitivities, P&amp;L History, DRC Positions              │</w:t>
        <w:br/>
        <w:t xml:space="preserve">    │  Output: FRTBResult (SBM, IMA, DRC, RRAO, Capital)             │</w:t>
        <w:br/>
        <w:t xml:space="preserve">    └────────────┬────────────────────────────────────┬───────────────┘</w:t>
        <w:br/>
        <w:t xml:space="preserve">                 │                                    │</w:t>
        <w:br/>
        <w:t xml:space="preserve">                 ▼                                    ▼</w:t>
        <w:br/>
        <w:t xml:space="preserve">    ┌────────────────────────┐           ┌────────────────────────────┐</w:t>
        <w:br/>
        <w:t xml:space="preserve">    │   SBM Calculator       │           │    IMA Calculator          │</w:t>
        <w:br/>
        <w:t xml:space="preserve">    │   (SBMCalculator)      │           │    (IMACalculator)         │</w:t>
        <w:br/>
        <w:t xml:space="preserve">    │                        │           │                            │</w:t>
        <w:br/>
        <w:t xml:space="preserve">    │ • Delta Risk           │           │ • Historical ES            │</w:t>
        <w:br/>
        <w:t xml:space="preserve">    │ • Vega Risk            │           │ • Parametric ES            │</w:t>
        <w:br/>
        <w:t xml:space="preserve">    │ • Curvature Risk       │           │ • Stressed ES              │</w:t>
        <w:br/>
        <w:t xml:space="preserve">    │ • Correlation Model    │           │ • Liquidity Horizons       │</w:t>
        <w:br/>
        <w:t xml:space="preserve">    └────────────┬───────────┘           └────────────┬───────────────┘</w:t>
        <w:br/>
        <w:t xml:space="preserve">                 │                                    │</w:t>
        <w:br/>
        <w:t xml:space="preserve">                 ▼                                    ▼</w:t>
        <w:br/>
        <w:t xml:space="preserve">    ┌────────────────────────────────────────────────────────────────┐</w:t>
        <w:br/>
        <w:t xml:space="preserve">    │              Market Data &amp; Configuration Layer                 │</w:t>
        <w:br/>
        <w:t xml:space="preserve">    │                                                                │</w:t>
        <w:br/>
        <w:t xml:space="preserve">    │  • MarketDataFeed (real-time, Bloomberg/FRED/yfinance)        │</w:t>
        <w:br/>
        <w:t xml:space="preserve">    │  • FRTBConfig (risk weights, correlations, parameters)        │</w:t>
        <w:br/>
        <w:t xml:space="preserve">    │  • DynamicParameterAdjustment (stress-conditional scaling)    │</w:t>
        <w:br/>
        <w:t xml:space="preserve">    └────────────────────────────────────────────────────────────────┘</w:t>
        <w:br/>
        <w:t xml:space="preserve">    </w:t>
      </w:r>
    </w:p>
    <w:p>
      <w:pPr>
        <w:pStyle w:val="Heading2"/>
      </w:pPr>
      <w:r>
        <w:t>4.2 Core Components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6480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2880"/>
          </w:tcPr>
          <w:p>
            <w:r>
              <w:t>FRTBEngine</w:t>
            </w:r>
          </w:p>
        </w:tc>
        <w:tc>
          <w:tcPr>
            <w:tcW w:type="dxa" w:w="6480"/>
          </w:tcPr>
          <w:p>
            <w:r>
              <w:t>Orchestrates calculation, validates inputs, manages configuration, routes to SBM/IMA</w:t>
            </w:r>
          </w:p>
        </w:tc>
      </w:tr>
      <w:tr>
        <w:tc>
          <w:tcPr>
            <w:tcW w:type="dxa" w:w="2880"/>
          </w:tcPr>
          <w:p>
            <w:r>
              <w:t>SBMCalculator</w:t>
            </w:r>
          </w:p>
        </w:tc>
        <w:tc>
          <w:tcPr>
            <w:tcW w:type="dxa" w:w="6480"/>
          </w:tcPr>
          <w:p>
            <w:r>
              <w:t>Implements MAR21-23: delta/vega/curvature charges, correlation aggregation, DRC, RRAO</w:t>
            </w:r>
          </w:p>
        </w:tc>
      </w:tr>
      <w:tr>
        <w:tc>
          <w:tcPr>
            <w:tcW w:type="dxa" w:w="2880"/>
          </w:tcPr>
          <w:p>
            <w:r>
              <w:t>IMACalculator</w:t>
            </w:r>
          </w:p>
        </w:tc>
        <w:tc>
          <w:tcPr>
            <w:tcW w:type="dxa" w:w="6480"/>
          </w:tcPr>
          <w:p>
            <w:r>
              <w:t>Implements MAR31-33: ES calculation, liquidity horizon scaling, backtesting, P&amp;L attribution</w:t>
            </w:r>
          </w:p>
        </w:tc>
      </w:tr>
      <w:tr>
        <w:tc>
          <w:tcPr>
            <w:tcW w:type="dxa" w:w="2880"/>
          </w:tcPr>
          <w:p>
            <w:r>
              <w:t>MarketDataFeed</w:t>
            </w:r>
          </w:p>
        </w:tc>
        <w:tc>
          <w:tcPr>
            <w:tcW w:type="dxa" w:w="6480"/>
          </w:tcPr>
          <w:p>
            <w:r>
              <w:t>Fetches real-time market conditions (VIX, spreads, volatilities) from external sources</w:t>
            </w:r>
          </w:p>
        </w:tc>
      </w:tr>
      <w:tr>
        <w:tc>
          <w:tcPr>
            <w:tcW w:type="dxa" w:w="2880"/>
          </w:tcPr>
          <w:p>
            <w:r>
              <w:t>FRTBConfig</w:t>
            </w:r>
          </w:p>
        </w:tc>
        <w:tc>
          <w:tcPr>
            <w:tcW w:type="dxa" w:w="6480"/>
          </w:tcPr>
          <w:p>
            <w:r>
              <w:t>Stores risk weights, correlations, thresholds, regulatory parameters per MAR21</w:t>
            </w:r>
          </w:p>
        </w:tc>
      </w:tr>
      <w:tr>
        <w:tc>
          <w:tcPr>
            <w:tcW w:type="dxa" w:w="2880"/>
          </w:tcPr>
          <w:p>
            <w:r>
              <w:t>CorrelationModel</w:t>
            </w:r>
          </w:p>
        </w:tc>
        <w:tc>
          <w:tcPr>
            <w:tcW w:type="dxa" w:w="6480"/>
          </w:tcPr>
          <w:p>
            <w:r>
              <w:t>Computes intra-bucket and inter-bucket correlation matrices (MAR21.58-60)</w:t>
            </w:r>
          </w:p>
        </w:tc>
      </w:tr>
      <w:tr>
        <w:tc>
          <w:tcPr>
            <w:tcW w:type="dxa" w:w="2880"/>
          </w:tcPr>
          <w:p>
            <w:r>
              <w:t>DynamicParameterAdjustment</w:t>
            </w:r>
          </w:p>
        </w:tc>
        <w:tc>
          <w:tcPr>
            <w:tcW w:type="dxa" w:w="6480"/>
          </w:tcPr>
          <w:p>
            <w:r>
              <w:t>Adjusts risk weights/correlations based on market regime (Pillar 2)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5. Parameter Specifications</w:t>
      </w:r>
    </w:p>
    <w:p>
      <w:pPr>
        <w:pStyle w:val="Heading2"/>
      </w:pPr>
      <w:r>
        <w:t>5.1 Market Conditions Parameters</w:t>
      </w:r>
    </w:p>
    <w:p>
      <w:r>
        <w:t>The MarketConditions dataclass captures real-time market state for dynamic risk weight adjustment and regime classification. These parameters are sourced externally via the MarketDataFeed three-tier fallback system (Bloomberg → FRED/yfinance → conservative defaults).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Data Source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Market Risk Context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Fallback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vix_level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float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CBOE VIX Index level (index points)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VIXCLS (FRED) / ^VIX (yfinance)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Fear gauge; normal ~15-20, crisis &gt;40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20.0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equity_vol_index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float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Equity realized volatility (% annualized)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VXEEMCLS (FRED) / ^VIX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Equity market turbulence indicator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22.0%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credit_spread_ig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float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Investment Grade credit spread (bp)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BAMLC0A0CMEY (FRED)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Corporate credit health; normal ~100bp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120 bp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credit_spread_hy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float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High Yield credit spread (bp)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BAMLH0A0HYM2 (FRED)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Distressed credit indicator; normal ~400bp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450 bp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fx_vol_index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float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FX volatility index (% annualized)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DEXJPUS realized vol (FRED)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Currency market stress; normal ~8%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9.0%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cmdty_vol_index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float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Commodity volatility (% annualized)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CL=F realized vol (yfinance)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Commodity market turbulence; oil proxy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28.0%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ir_vol_swaption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float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Interest rate volatility (bp)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MOVE Index (FRED)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Swaption implied vol; normal ~50bp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60 bp</w:t>
            </w:r>
          </w:p>
        </w:tc>
      </w:tr>
    </w:tbl>
    <w:p/>
    <w:p>
      <w:pPr>
        <w:pStyle w:val="Heading3"/>
      </w:pPr>
      <w:r>
        <w:t>5.1.1 Why These Parameters?</w:t>
      </w:r>
    </w:p>
    <w:p>
      <w:r>
        <w:t>Each parameter serves a specific purpose in market risk assessment and aligns with established academic research and industry practice:</w:t>
      </w:r>
    </w:p>
    <w:p>
      <w:pPr>
        <w:pStyle w:val="ListBullet2"/>
      </w:pPr>
      <w:r>
        <w:rPr>
          <w:b/>
        </w:rPr>
        <w:t xml:space="preserve">VIX Level: </w:t>
      </w:r>
      <w:r>
        <w:t>Granger-causal relationship with equity returns (Whaley 2000); forward-looking fear gauge that predicts realized volatility</w:t>
      </w:r>
    </w:p>
    <w:p>
      <w:pPr>
        <w:pStyle w:val="ListBullet2"/>
      </w:pPr>
      <w:r>
        <w:rPr>
          <w:b/>
        </w:rPr>
        <w:t xml:space="preserve">Credit Spreads: </w:t>
      </w:r>
      <w:r>
        <w:t>Leading indicator of economic stress (Gilchrist &amp; Zakrajšek 2012); HY-IG differential captures credit cycle positioning</w:t>
      </w:r>
    </w:p>
    <w:p>
      <w:pPr>
        <w:pStyle w:val="ListBullet2"/>
      </w:pPr>
      <w:r>
        <w:rPr>
          <w:b/>
        </w:rPr>
        <w:t xml:space="preserve">Volatility Indices: </w:t>
      </w:r>
      <w:r>
        <w:t>Direct input to option pricing and Greeks; correlates with liquidity conditions and market depth (Amihud illiquidity measure)</w:t>
      </w:r>
    </w:p>
    <w:p>
      <w:pPr>
        <w:pStyle w:val="ListBullet2"/>
      </w:pPr>
      <w:r>
        <w:rPr>
          <w:b/>
        </w:rPr>
        <w:t xml:space="preserve">MOVE Index: </w:t>
      </w:r>
      <w:r>
        <w:t>Fixed income volatility benchmark; predicts interest rate risk and duration hedging costs</w:t>
      </w:r>
    </w:p>
    <w:p>
      <w:pPr>
        <w:pStyle w:val="Heading3"/>
      </w:pPr>
      <w:r>
        <w:t>5.1.2 How Are They Used?</w:t>
      </w:r>
    </w:p>
    <w:p>
      <w:r>
        <w:t>Parameters feed into three key business processes:</w:t>
      </w:r>
    </w:p>
    <w:p>
      <w:pPr>
        <w:pStyle w:val="ListNumber"/>
      </w:pPr>
      <w:r>
        <w:t>1. Market Regime Classification</w:t>
        <w:br/>
        <w:t xml:space="preserve">   • Composite stress index = 0.40×VIX_norm + 0.35×Spread_norm + 0.25×EqVol_norm</w:t>
        <w:br/>
        <w:t xml:space="preserve">   • Normal: stress &lt; 30% | Stressed: 30-65% | Crisis: &gt;65%</w:t>
        <w:br/>
        <w:t xml:space="preserve">   • Used for scenario selection and management reporting</w:t>
      </w:r>
    </w:p>
    <w:p>
      <w:pPr>
        <w:pStyle w:val="ListNumber"/>
      </w:pPr>
      <w:r>
        <w:t>2. Dynamic Risk Weight Adjustment (Pillar 2 / ICAAP)</w:t>
        <w:br/>
        <w:t xml:space="preserve">   • Scaling factor = base_multiplier + vol_premium × (realized_vol / normal_vol)</w:t>
        <w:br/>
        <w:t xml:space="preserve">   • ONLY applied to internal stress capital; regulatory SBM uses prescribed MAR21 weights</w:t>
        <w:br/>
        <w:t xml:space="preserve">   • Example: EQ risk weight scales 0.75-1.50× based on equity_vol_index</w:t>
      </w:r>
    </w:p>
    <w:p>
      <w:pPr>
        <w:pStyle w:val="ListNumber"/>
      </w:pPr>
      <w:r>
        <w:t>3. Correlation Adjustment</w:t>
        <w:br/>
        <w:t xml:space="preserve">   • Crisis conditions: correlations increase (diversification breakdown)</w:t>
        <w:br/>
        <w:t xml:space="preserve">   • Multiplier = 1.0 (normal) to 1.50 (crisis)</w:t>
        <w:br/>
        <w:t xml:space="preserve">   • Reflects empirical evidence from 2008 crisis (Forbes &amp; Rigobon 2002)</w:t>
      </w:r>
    </w:p>
    <w:p>
      <w:pPr>
        <w:pStyle w:val="Heading3"/>
      </w:pPr>
      <w:r>
        <w:t>5.1.3 What Do They Achieve?</w:t>
      </w:r>
    </w:p>
    <w:p>
      <w:r>
        <w:t>The real-time market data integration achieves three strategic objectives:</w:t>
      </w:r>
    </w:p>
    <w:p>
      <w:r>
        <w:rPr>
          <w:b/>
        </w:rPr>
        <w:t xml:space="preserve">Counter-Cyclical Capital: </w:t>
      </w:r>
      <w:r>
        <w:t>Higher capital in stressed markets prevents pro-cyclical deleveraging; aligns with Basel III counter-cyclical buffer framework</w:t>
      </w:r>
    </w:p>
    <w:p>
      <w:r>
        <w:rPr>
          <w:b/>
        </w:rPr>
        <w:t xml:space="preserve">Early Warning System: </w:t>
      </w:r>
      <w:r>
        <w:t>Stress index crossing thresholds triggers risk committee alerts and enhanced monitoring protocols</w:t>
      </w:r>
    </w:p>
    <w:p>
      <w:r>
        <w:rPr>
          <w:b/>
        </w:rPr>
        <w:t xml:space="preserve">Model Risk Mitigation: </w:t>
      </w:r>
      <w:r>
        <w:t>External validation of internal risk estimates; flags when model parameters diverge from market reality</w:t>
      </w:r>
    </w:p>
    <w:p>
      <w:r>
        <w:br w:type="page"/>
      </w:r>
    </w:p>
    <w:p>
      <w:pPr>
        <w:pStyle w:val="Heading2"/>
      </w:pPr>
      <w:r>
        <w:t>5.2 Sensitivities-Based Method (SBM) Risk Weights</w:t>
      </w:r>
    </w:p>
    <w:p>
      <w:r>
        <w:t>Risk weights (RW) are regulatory parameters prescribed in MAR21.44-96. They represent the expected percentage change in portfolio value for a standardized shock to each risk factor. All values are stored in FRTBConfig.delta_rw as floating-point fractions (e.g., 0.017 = 1.7%).</w:t>
      </w:r>
    </w:p>
    <w:p>
      <w:pPr>
        <w:pStyle w:val="Heading3"/>
      </w:pPr>
      <w:r>
        <w:t>5.2.1 Interest Rate Risk Weights (GIRR)</w:t>
      </w:r>
    </w:p>
    <w:p>
      <w:r>
        <w:t>MAR21.44 Table 2 prescribes exactly 10 risk weights corresponding to the regulatory tenor grid: 3m, 6m, 1y, 2y, 3y, 5y, 10y, 15y, 20y, 30y. These apply to all currencies.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</w:tcPr>
          <w:p>
            <w:r>
              <w:rPr>
                <w:b/>
              </w:rPr>
              <w:t>Tenor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RW (decimal)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RW (%)</w:t>
            </w:r>
          </w:p>
        </w:tc>
        <w:tc>
          <w:tcPr>
            <w:tcW w:type="dxa" w:w="5040"/>
          </w:tcPr>
          <w:p>
            <w:r>
              <w:rPr>
                <w:b/>
              </w:rPr>
              <w:t>Rationale</w:t>
            </w:r>
          </w:p>
        </w:tc>
      </w:tr>
      <w:tr>
        <w:tc>
          <w:tcPr>
            <w:tcW w:type="dxa" w:w="1152"/>
          </w:tcPr>
          <w:p>
            <w:r>
              <w:t>3m</w:t>
            </w:r>
          </w:p>
        </w:tc>
        <w:tc>
          <w:tcPr>
            <w:tcW w:type="dxa" w:w="1728"/>
          </w:tcPr>
          <w:p>
            <w:r>
              <w:t>0.017</w:t>
            </w:r>
          </w:p>
        </w:tc>
        <w:tc>
          <w:tcPr>
            <w:tcW w:type="dxa" w:w="1440"/>
          </w:tcPr>
          <w:p>
            <w:r>
              <w:t>1.7%</w:t>
            </w:r>
          </w:p>
        </w:tc>
        <w:tc>
          <w:tcPr>
            <w:tcW w:type="dxa" w:w="5040"/>
          </w:tcPr>
          <w:p>
            <w:r>
              <w:t>Short-dated instruments; low duration sensitivity</w:t>
            </w:r>
          </w:p>
        </w:tc>
      </w:tr>
      <w:tr>
        <w:tc>
          <w:tcPr>
            <w:tcW w:type="dxa" w:w="1152"/>
          </w:tcPr>
          <w:p>
            <w:r>
              <w:t>6m</w:t>
            </w:r>
          </w:p>
        </w:tc>
        <w:tc>
          <w:tcPr>
            <w:tcW w:type="dxa" w:w="1728"/>
          </w:tcPr>
          <w:p>
            <w:r>
              <w:t>0.017</w:t>
            </w:r>
          </w:p>
        </w:tc>
        <w:tc>
          <w:tcPr>
            <w:tcW w:type="dxa" w:w="1440"/>
          </w:tcPr>
          <w:p>
            <w:r>
              <w:t>1.7%</w:t>
            </w:r>
          </w:p>
        </w:tc>
        <w:tc>
          <w:tcPr>
            <w:tcW w:type="dxa" w:w="5040"/>
          </w:tcPr>
          <w:p>
            <w:r>
              <w:t>Money market tenors</w:t>
            </w:r>
          </w:p>
        </w:tc>
      </w:tr>
      <w:tr>
        <w:tc>
          <w:tcPr>
            <w:tcW w:type="dxa" w:w="1152"/>
          </w:tcPr>
          <w:p>
            <w:r>
              <w:t>1y</w:t>
            </w:r>
          </w:p>
        </w:tc>
        <w:tc>
          <w:tcPr>
            <w:tcW w:type="dxa" w:w="1728"/>
          </w:tcPr>
          <w:p>
            <w:r>
              <w:t>0.016</w:t>
            </w:r>
          </w:p>
        </w:tc>
        <w:tc>
          <w:tcPr>
            <w:tcW w:type="dxa" w:w="1440"/>
          </w:tcPr>
          <w:p>
            <w:r>
              <w:t>1.6%</w:t>
            </w:r>
          </w:p>
        </w:tc>
        <w:tc>
          <w:tcPr>
            <w:tcW w:type="dxa" w:w="5040"/>
          </w:tcPr>
          <w:p>
            <w:r>
              <w:t>Standard benchmark tenor</w:t>
            </w:r>
          </w:p>
        </w:tc>
      </w:tr>
      <w:tr>
        <w:tc>
          <w:tcPr>
            <w:tcW w:type="dxa" w:w="1152"/>
          </w:tcPr>
          <w:p>
            <w:r>
              <w:t>2y</w:t>
            </w:r>
          </w:p>
        </w:tc>
        <w:tc>
          <w:tcPr>
            <w:tcW w:type="dxa" w:w="1728"/>
          </w:tcPr>
          <w:p>
            <w:r>
              <w:t>0.013</w:t>
            </w:r>
          </w:p>
        </w:tc>
        <w:tc>
          <w:tcPr>
            <w:tcW w:type="dxa" w:w="1440"/>
          </w:tcPr>
          <w:p>
            <w:r>
              <w:t>1.3%</w:t>
            </w:r>
          </w:p>
        </w:tc>
        <w:tc>
          <w:tcPr>
            <w:tcW w:type="dxa" w:w="5040"/>
          </w:tcPr>
          <w:p>
            <w:r>
              <w:t>Decreasing RW reflects lower yield vol at intermediate tenors</w:t>
            </w:r>
          </w:p>
        </w:tc>
      </w:tr>
      <w:tr>
        <w:tc>
          <w:tcPr>
            <w:tcW w:type="dxa" w:w="1152"/>
          </w:tcPr>
          <w:p>
            <w:r>
              <w:t>3y</w:t>
            </w:r>
          </w:p>
        </w:tc>
        <w:tc>
          <w:tcPr>
            <w:tcW w:type="dxa" w:w="1728"/>
          </w:tcPr>
          <w:p>
            <w:r>
              <w:t>0.012</w:t>
            </w:r>
          </w:p>
        </w:tc>
        <w:tc>
          <w:tcPr>
            <w:tcW w:type="dxa" w:w="1440"/>
          </w:tcPr>
          <w:p>
            <w:r>
              <w:t>1.2%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1152"/>
          </w:tcPr>
          <w:p>
            <w:r>
              <w:t>5y</w:t>
            </w:r>
          </w:p>
        </w:tc>
        <w:tc>
          <w:tcPr>
            <w:tcW w:type="dxa" w:w="1728"/>
          </w:tcPr>
          <w:p>
            <w:r>
              <w:t>0.011</w:t>
            </w:r>
          </w:p>
        </w:tc>
        <w:tc>
          <w:tcPr>
            <w:tcW w:type="dxa" w:w="1440"/>
          </w:tcPr>
          <w:p>
            <w:r>
              <w:t>1.1%</w:t>
            </w:r>
          </w:p>
        </w:tc>
        <w:tc>
          <w:tcPr>
            <w:tcW w:type="dxa" w:w="5040"/>
          </w:tcPr>
          <w:p>
            <w:r>
              <w:t>Liquid benchmark tenor (5y swap reference)</w:t>
            </w:r>
          </w:p>
        </w:tc>
      </w:tr>
      <w:tr>
        <w:tc>
          <w:tcPr>
            <w:tcW w:type="dxa" w:w="1152"/>
          </w:tcPr>
          <w:p>
            <w:r>
              <w:t>10y</w:t>
            </w:r>
          </w:p>
        </w:tc>
        <w:tc>
          <w:tcPr>
            <w:tcW w:type="dxa" w:w="1728"/>
          </w:tcPr>
          <w:p>
            <w:r>
              <w:t>0.011</w:t>
            </w:r>
          </w:p>
        </w:tc>
        <w:tc>
          <w:tcPr>
            <w:tcW w:type="dxa" w:w="1440"/>
          </w:tcPr>
          <w:p>
            <w:r>
              <w:t>1.1%</w:t>
            </w:r>
          </w:p>
        </w:tc>
        <w:tc>
          <w:tcPr>
            <w:tcW w:type="dxa" w:w="5040"/>
          </w:tcPr>
          <w:p>
            <w:r>
              <w:t>Key benchmark; most liquid government bonds</w:t>
            </w:r>
          </w:p>
        </w:tc>
      </w:tr>
      <w:tr>
        <w:tc>
          <w:tcPr>
            <w:tcW w:type="dxa" w:w="1152"/>
          </w:tcPr>
          <w:p>
            <w:r>
              <w:t>15y</w:t>
            </w:r>
          </w:p>
        </w:tc>
        <w:tc>
          <w:tcPr>
            <w:tcW w:type="dxa" w:w="1728"/>
          </w:tcPr>
          <w:p>
            <w:r>
              <w:t>0.011</w:t>
            </w:r>
          </w:p>
        </w:tc>
        <w:tc>
          <w:tcPr>
            <w:tcW w:type="dxa" w:w="1440"/>
          </w:tcPr>
          <w:p>
            <w:r>
              <w:t>1.1%</w:t>
            </w:r>
          </w:p>
        </w:tc>
        <w:tc>
          <w:tcPr>
            <w:tcW w:type="dxa" w:w="5040"/>
          </w:tcPr>
          <w:p>
            <w:r>
              <w:t>Long-dated benchmarks</w:t>
            </w:r>
          </w:p>
        </w:tc>
      </w:tr>
      <w:tr>
        <w:tc>
          <w:tcPr>
            <w:tcW w:type="dxa" w:w="1152"/>
          </w:tcPr>
          <w:p>
            <w:r>
              <w:t>20y</w:t>
            </w:r>
          </w:p>
        </w:tc>
        <w:tc>
          <w:tcPr>
            <w:tcW w:type="dxa" w:w="1728"/>
          </w:tcPr>
          <w:p>
            <w:r>
              <w:t>0.011</w:t>
            </w:r>
          </w:p>
        </w:tc>
        <w:tc>
          <w:tcPr>
            <w:tcW w:type="dxa" w:w="1440"/>
          </w:tcPr>
          <w:p>
            <w:r>
              <w:t>1.1%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1152"/>
          </w:tcPr>
          <w:p>
            <w:r>
              <w:t>30y</w:t>
            </w:r>
          </w:p>
        </w:tc>
        <w:tc>
          <w:tcPr>
            <w:tcW w:type="dxa" w:w="1728"/>
          </w:tcPr>
          <w:p>
            <w:r>
              <w:t>0.011</w:t>
            </w:r>
          </w:p>
        </w:tc>
        <w:tc>
          <w:tcPr>
            <w:tcW w:type="dxa" w:w="1440"/>
          </w:tcPr>
          <w:p>
            <w:r>
              <w:t>1.1%</w:t>
            </w:r>
          </w:p>
        </w:tc>
        <w:tc>
          <w:tcPr>
            <w:tcW w:type="dxa" w:w="5040"/>
          </w:tcPr>
          <w:p>
            <w:r>
              <w:t>Ultra-long tenor; duration risk</w:t>
            </w:r>
          </w:p>
        </w:tc>
      </w:tr>
    </w:tbl>
    <w:p/>
    <w:p>
      <w:r>
        <w:rPr>
          <w:b/>
        </w:rPr>
        <w:t xml:space="preserve">Why These Values? </w:t>
      </w:r>
      <w:r>
        <w:t>Risk weights reflect historical yield volatility calibrated to stressed periods (2007-2009 crisis + 2011 sovereign debt crisis). The hump shape (higher at short end, decreasing to 2-3y, flat thereafter) matches empirical yield curve dynamics.</w:t>
      </w:r>
    </w:p>
    <w:p>
      <w:r>
        <w:rPr>
          <w:b/>
        </w:rPr>
        <w:t xml:space="preserve">Special Cases (MAR21.52): </w:t>
      </w:r>
    </w:p>
    <w:p>
      <w:r>
        <w:rPr>
          <w:b/>
        </w:rPr>
        <w:t xml:space="preserve">• Inflation: </w:t>
      </w:r>
      <w:r>
        <w:t>1.6% (same as 10y nominal)</w:t>
        <w:br/>
      </w:r>
      <w:r>
        <w:rPr>
          <w:b/>
        </w:rPr>
        <w:t xml:space="preserve">• Cross-Currency Basis: </w:t>
      </w:r>
      <w:r>
        <w:t>1.6% (supervisory proxy; limited historical data)</w:t>
      </w:r>
    </w:p>
    <w:p>
      <w:pPr>
        <w:pStyle w:val="Heading3"/>
      </w:pPr>
      <w:r>
        <w:t>5.2.2 Credit Spread Risk Weights (CSR)</w:t>
      </w:r>
    </w:p>
    <w:p>
      <w:r>
        <w:t>Credit risk weights vary by sector, rating, and securitization type per MAR21.67-76.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Risk Weight</w:t>
            </w:r>
          </w:p>
        </w:tc>
        <w:tc>
          <w:tcPr>
            <w:tcW w:type="dxa" w:w="360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600"/>
          </w:tcPr>
          <w:p>
            <w:r>
              <w:t>Sovereigns (AAA-AA)</w:t>
            </w:r>
          </w:p>
        </w:tc>
        <w:tc>
          <w:tcPr>
            <w:tcW w:type="dxa" w:w="2160"/>
          </w:tcPr>
          <w:p>
            <w:r>
              <w:t>0.5%</w:t>
            </w:r>
          </w:p>
        </w:tc>
        <w:tc>
          <w:tcPr>
            <w:tcW w:type="dxa" w:w="3600"/>
          </w:tcPr>
          <w:p>
            <w:r>
              <w:t>Low default risk; liquid benchmarks</w:t>
            </w:r>
          </w:p>
        </w:tc>
      </w:tr>
      <w:tr>
        <w:tc>
          <w:tcPr>
            <w:tcW w:type="dxa" w:w="3600"/>
          </w:tcPr>
          <w:p>
            <w:r>
              <w:t>Sovereigns (A)</w:t>
            </w:r>
          </w:p>
        </w:tc>
        <w:tc>
          <w:tcPr>
            <w:tcW w:type="dxa" w:w="2160"/>
          </w:tcPr>
          <w:p>
            <w:r>
              <w:t>1.0%</w:t>
            </w:r>
          </w:p>
        </w:tc>
        <w:tc>
          <w:tcPr>
            <w:tcW w:type="dxa" w:w="3600"/>
          </w:tcPr>
          <w:p>
            <w:r/>
          </w:p>
        </w:tc>
      </w:tr>
      <w:tr>
        <w:tc>
          <w:tcPr>
            <w:tcW w:type="dxa" w:w="3600"/>
          </w:tcPr>
          <w:p>
            <w:r>
              <w:t>Sovereigns (BBB)</w:t>
            </w:r>
          </w:p>
        </w:tc>
        <w:tc>
          <w:tcPr>
            <w:tcW w:type="dxa" w:w="2160"/>
          </w:tcPr>
          <w:p>
            <w:r>
              <w:t>3.0%</w:t>
            </w:r>
          </w:p>
        </w:tc>
        <w:tc>
          <w:tcPr>
            <w:tcW w:type="dxa" w:w="3600"/>
          </w:tcPr>
          <w:p>
            <w:r>
              <w:t>Emerging market exposure</w:t>
            </w:r>
          </w:p>
        </w:tc>
      </w:tr>
      <w:tr>
        <w:tc>
          <w:tcPr>
            <w:tcW w:type="dxa" w:w="3600"/>
          </w:tcPr>
          <w:p>
            <w:r>
              <w:t>Corporates (IG)</w:t>
            </w:r>
          </w:p>
        </w:tc>
        <w:tc>
          <w:tcPr>
            <w:tcW w:type="dxa" w:w="2160"/>
          </w:tcPr>
          <w:p>
            <w:r>
              <w:t>0.5-2.0%</w:t>
            </w:r>
          </w:p>
        </w:tc>
        <w:tc>
          <w:tcPr>
            <w:tcW w:type="dxa" w:w="3600"/>
          </w:tcPr>
          <w:p>
            <w:r>
              <w:t>Varies by sector; Financials 0.5%, Consumers 1.0%</w:t>
            </w:r>
          </w:p>
        </w:tc>
      </w:tr>
      <w:tr>
        <w:tc>
          <w:tcPr>
            <w:tcW w:type="dxa" w:w="3600"/>
          </w:tcPr>
          <w:p>
            <w:r>
              <w:t>Corporates (HY)</w:t>
            </w:r>
          </w:p>
        </w:tc>
        <w:tc>
          <w:tcPr>
            <w:tcW w:type="dxa" w:w="2160"/>
          </w:tcPr>
          <w:p>
            <w:r>
              <w:t>3.0-14.0%</w:t>
            </w:r>
          </w:p>
        </w:tc>
        <w:tc>
          <w:tcPr>
            <w:tcW w:type="dxa" w:w="3600"/>
          </w:tcPr>
          <w:p>
            <w:r>
              <w:t>BB rated 3%, B rated 8%, CCC+ 14%</w:t>
            </w:r>
          </w:p>
        </w:tc>
      </w:tr>
      <w:tr>
        <w:tc>
          <w:tcPr>
            <w:tcW w:type="dxa" w:w="3600"/>
          </w:tcPr>
          <w:p>
            <w:r>
              <w:t>Securitization (Senior IG)</w:t>
            </w:r>
          </w:p>
        </w:tc>
        <w:tc>
          <w:tcPr>
            <w:tcW w:type="dxa" w:w="2160"/>
          </w:tcPr>
          <w:p>
            <w:r>
              <w:t>0.9%</w:t>
            </w:r>
          </w:p>
        </w:tc>
        <w:tc>
          <w:tcPr>
            <w:tcW w:type="dxa" w:w="3600"/>
          </w:tcPr>
          <w:p>
            <w:r>
              <w:t>MAR21.73: RMBS/CMBS senior tranches</w:t>
            </w:r>
          </w:p>
        </w:tc>
      </w:tr>
      <w:tr>
        <w:tc>
          <w:tcPr>
            <w:tcW w:type="dxa" w:w="3600"/>
          </w:tcPr>
          <w:p>
            <w:r>
              <w:t>Securitization (Non-Senior)</w:t>
            </w:r>
          </w:p>
        </w:tc>
        <w:tc>
          <w:tcPr>
            <w:tcW w:type="dxa" w:w="2160"/>
          </w:tcPr>
          <w:p>
            <w:r>
              <w:t>1.5-2.5%</w:t>
            </w:r>
          </w:p>
        </w:tc>
        <w:tc>
          <w:tcPr>
            <w:tcW w:type="dxa" w:w="3600"/>
          </w:tcPr>
          <w:p>
            <w:r>
              <w:t>Mezzanine and first-loss pieces</w:t>
            </w:r>
          </w:p>
        </w:tc>
      </w:tr>
      <w:tr>
        <w:tc>
          <w:tcPr>
            <w:tcW w:type="dxa" w:w="3600"/>
          </w:tcPr>
          <w:p>
            <w:r>
              <w:t>CTP Indices</w:t>
            </w:r>
          </w:p>
        </w:tc>
        <w:tc>
          <w:tcPr>
            <w:tcW w:type="dxa" w:w="2160"/>
          </w:tcPr>
          <w:p>
            <w:r>
              <w:t>1.6-4.0%</w:t>
            </w:r>
          </w:p>
        </w:tc>
        <w:tc>
          <w:tcPr>
            <w:tcW w:type="dxa" w:w="3600"/>
          </w:tcPr>
          <w:p>
            <w:r>
              <w:t>CDX/iTraxx index tranches; correlation trading</w:t>
            </w:r>
          </w:p>
        </w:tc>
      </w:tr>
    </w:tbl>
    <w:p/>
    <w:p>
      <w:r>
        <w:rPr>
          <w:b/>
        </w:rPr>
        <w:t xml:space="preserve">Rationale: </w:t>
      </w:r>
      <w:r>
        <w:t>Weights increase with credit risk (rating deterioration) and structural subordination. HY weights are 3-28× higher than IG, reflecting higher default probability and loss-given-default. Securitization weights incorporate model risk premium (complex waterfall structures).</w:t>
      </w:r>
    </w:p>
    <w:p>
      <w:pPr>
        <w:pStyle w:val="Heading3"/>
      </w:pPr>
      <w:r>
        <w:t>5.2.3 Equity Risk Weights</w:t>
      </w:r>
    </w:p>
    <w:p>
      <w:r>
        <w:t>MAR21.78-82 distinguishes large-cap (&gt;$2B market cap) from small-cap by sector.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80"/>
          </w:tcPr>
          <w:p>
            <w:r>
              <w:rPr>
                <w:b/>
              </w:rPr>
              <w:t>Sector</w:t>
            </w:r>
          </w:p>
        </w:tc>
        <w:tc>
          <w:tcPr>
            <w:tcW w:type="dxa" w:w="1872"/>
          </w:tcPr>
          <w:p>
            <w:r>
              <w:rPr>
                <w:b/>
              </w:rPr>
              <w:t>Large-Cap RW</w:t>
            </w:r>
          </w:p>
        </w:tc>
        <w:tc>
          <w:tcPr>
            <w:tcW w:type="dxa" w:w="1872"/>
          </w:tcPr>
          <w:p>
            <w:r>
              <w:rPr>
                <w:b/>
              </w:rPr>
              <w:t>Small-Cap RW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Rationale</w:t>
            </w:r>
          </w:p>
        </w:tc>
      </w:tr>
      <w:tr>
        <w:tc>
          <w:tcPr>
            <w:tcW w:type="dxa" w:w="2880"/>
          </w:tcPr>
          <w:p>
            <w:r>
              <w:t>Emerging Markets</w:t>
            </w:r>
          </w:p>
        </w:tc>
        <w:tc>
          <w:tcPr>
            <w:tcW w:type="dxa" w:w="1872"/>
          </w:tcPr>
          <w:p>
            <w:r>
              <w:t>Large: 55%</w:t>
            </w:r>
          </w:p>
        </w:tc>
        <w:tc>
          <w:tcPr>
            <w:tcW w:type="dxa" w:w="1872"/>
          </w:tcPr>
          <w:p>
            <w:r>
              <w:t>Small: 70%</w:t>
            </w:r>
          </w:p>
        </w:tc>
        <w:tc>
          <w:tcPr>
            <w:tcW w:type="dxa" w:w="2880"/>
          </w:tcPr>
          <w:p>
            <w:r>
              <w:t>Higher volatility; FX and political risk</w:t>
            </w:r>
          </w:p>
        </w:tc>
      </w:tr>
      <w:tr>
        <w:tc>
          <w:tcPr>
            <w:tcW w:type="dxa" w:w="2880"/>
          </w:tcPr>
          <w:p>
            <w:r>
              <w:t>Developed - Cyclicals</w:t>
            </w:r>
          </w:p>
        </w:tc>
        <w:tc>
          <w:tcPr>
            <w:tcW w:type="dxa" w:w="1872"/>
          </w:tcPr>
          <w:p>
            <w:r>
              <w:t>Large: 60%</w:t>
            </w:r>
          </w:p>
        </w:tc>
        <w:tc>
          <w:tcPr>
            <w:tcW w:type="dxa" w:w="1872"/>
          </w:tcPr>
          <w:p>
            <w:r>
              <w:t>Small: 70%</w:t>
            </w:r>
          </w:p>
        </w:tc>
        <w:tc>
          <w:tcPr>
            <w:tcW w:type="dxa" w:w="2880"/>
          </w:tcPr>
          <w:p>
            <w:r>
              <w:t>Consumer discretionary, industrials</w:t>
            </w:r>
          </w:p>
        </w:tc>
      </w:tr>
      <w:tr>
        <w:tc>
          <w:tcPr>
            <w:tcW w:type="dxa" w:w="2880"/>
          </w:tcPr>
          <w:p>
            <w:r>
              <w:t>Developed - Defensives</w:t>
            </w:r>
          </w:p>
        </w:tc>
        <w:tc>
          <w:tcPr>
            <w:tcW w:type="dxa" w:w="1872"/>
          </w:tcPr>
          <w:p>
            <w:r>
              <w:t>Large: 45%</w:t>
            </w:r>
          </w:p>
        </w:tc>
        <w:tc>
          <w:tcPr>
            <w:tcW w:type="dxa" w:w="1872"/>
          </w:tcPr>
          <w:p>
            <w:r>
              <w:t>Small: 70%</w:t>
            </w:r>
          </w:p>
        </w:tc>
        <w:tc>
          <w:tcPr>
            <w:tcW w:type="dxa" w:w="2880"/>
          </w:tcPr>
          <w:p>
            <w:r>
              <w:t>Utilities, healthcare, consumer staples</w:t>
            </w:r>
          </w:p>
        </w:tc>
      </w:tr>
      <w:tr>
        <w:tc>
          <w:tcPr>
            <w:tcW w:type="dxa" w:w="2880"/>
          </w:tcPr>
          <w:p>
            <w:r>
              <w:t>Financials</w:t>
            </w:r>
          </w:p>
        </w:tc>
        <w:tc>
          <w:tcPr>
            <w:tcW w:type="dxa" w:w="1872"/>
          </w:tcPr>
          <w:p>
            <w:r>
              <w:t>Large: 55%</w:t>
            </w:r>
          </w:p>
        </w:tc>
        <w:tc>
          <w:tcPr>
            <w:tcW w:type="dxa" w:w="1872"/>
          </w:tcPr>
          <w:p>
            <w:r>
              <w:t>Small: 70%</w:t>
            </w:r>
          </w:p>
        </w:tc>
        <w:tc>
          <w:tcPr>
            <w:tcW w:type="dxa" w:w="2880"/>
          </w:tcPr>
          <w:p>
            <w:r>
              <w:t>Banks, insurance, real estate</w:t>
            </w:r>
          </w:p>
        </w:tc>
      </w:tr>
      <w:tr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1872"/>
          </w:tcPr>
          <w:p>
            <w:r>
              <w:t>Large: 30%</w:t>
            </w:r>
          </w:p>
        </w:tc>
        <w:tc>
          <w:tcPr>
            <w:tcW w:type="dxa" w:w="1872"/>
          </w:tcPr>
          <w:p>
            <w:r>
              <w:t>Small: 70%</w:t>
            </w:r>
          </w:p>
        </w:tc>
        <w:tc>
          <w:tcPr>
            <w:tcW w:type="dxa" w:w="2880"/>
          </w:tcPr>
          <w:p>
            <w:r>
              <w:t>Lower systematic risk; sector-specific vol</w:t>
            </w:r>
          </w:p>
        </w:tc>
      </w:tr>
      <w:tr>
        <w:tc>
          <w:tcPr>
            <w:tcW w:type="dxa" w:w="2880"/>
          </w:tcPr>
          <w:p>
            <w:r>
              <w:t>Other</w:t>
            </w:r>
          </w:p>
        </w:tc>
        <w:tc>
          <w:tcPr>
            <w:tcW w:type="dxa" w:w="1872"/>
          </w:tcPr>
          <w:p>
            <w:r>
              <w:t>Large: 50%</w:t>
            </w:r>
          </w:p>
        </w:tc>
        <w:tc>
          <w:tcPr>
            <w:tcW w:type="dxa" w:w="1872"/>
          </w:tcPr>
          <w:p>
            <w:r>
              <w:t>Small: 70%</w:t>
            </w:r>
          </w:p>
        </w:tc>
        <w:tc>
          <w:tcPr>
            <w:tcW w:type="dxa" w:w="2880"/>
          </w:tcPr>
          <w:p>
            <w:r>
              <w:t>Catch-all bucket</w:t>
            </w:r>
          </w:p>
        </w:tc>
      </w:tr>
    </w:tbl>
    <w:p/>
    <w:p>
      <w:r>
        <w:rPr>
          <w:b/>
        </w:rPr>
        <w:t xml:space="preserve">Why Large-Cap vs. Small-Cap? </w:t>
      </w:r>
      <w:r>
        <w:t>Small-cap equities exhibit 1.4-1.5× higher realized volatility and lower liquidity. Uniform 70% RW reflects limited historical differentiation by sector for small-caps. Large-cap sector granularity captures beta differences (tech ~0.9 vs. financials ~1.3).</w:t>
      </w:r>
    </w:p>
    <w:p>
      <w:r>
        <w:br w:type="page"/>
      </w:r>
    </w:p>
    <w:p>
      <w:pPr>
        <w:pStyle w:val="Heading2"/>
      </w:pPr>
      <w:r>
        <w:t>5.3 Correlation Parameters</w:t>
      </w:r>
    </w:p>
    <w:p>
      <w:r>
        <w:t>Correlations govern diversification benefits across risk factors. MAR21.58-60 (intra-bucket) and MAR21.61-96 (inter-bucket) provide prescribed values. The CorrelationModel class implements these formulas.</w:t>
      </w:r>
    </w:p>
    <w:p>
      <w:pPr>
        <w:pStyle w:val="Heading3"/>
      </w:pPr>
      <w:r>
        <w:t>5.3.1 Intra-Bucket Correlations</w:t>
      </w:r>
    </w:p>
    <w:p>
      <w:r>
        <w:t>Intra-bucket ρ applies to sensitivities within the same regulatory bucket (e.g., same currency, same sector). Higher values mean stronger diversification offset.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Risk 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ρ (intra)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Formula / Reference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Economic Rationale</w:t>
            </w:r>
          </w:p>
        </w:tc>
      </w:tr>
      <w:tr>
        <w:tc>
          <w:tcPr>
            <w:tcW w:type="dxa" w:w="2160"/>
          </w:tcPr>
          <w:p>
            <w:r>
              <w:t>GIRR (nominal)</w:t>
            </w:r>
          </w:p>
        </w:tc>
        <w:tc>
          <w:tcPr>
            <w:tcW w:type="dxa" w:w="2160"/>
          </w:tcPr>
          <w:p>
            <w:r>
              <w:t>99.9%</w:t>
            </w:r>
          </w:p>
        </w:tc>
        <w:tc>
          <w:tcPr>
            <w:tcW w:type="dxa" w:w="2160"/>
          </w:tcPr>
          <w:p>
            <w:r>
              <w:t>MAR21.58: ρ(t₁,t₂) = exp(-0.03×|ln(t₁/t₂)|)</w:t>
            </w:r>
          </w:p>
        </w:tc>
        <w:tc>
          <w:tcPr>
            <w:tcW w:type="dxa" w:w="2160"/>
          </w:tcPr>
          <w:p>
            <w:r>
              <w:t>Near-perfect correlation across yield curve; parallel shifts dominate</w:t>
            </w:r>
          </w:p>
        </w:tc>
      </w:tr>
      <w:tr>
        <w:tc>
          <w:tcPr>
            <w:tcW w:type="dxa" w:w="2160"/>
          </w:tcPr>
          <w:p>
            <w:r>
              <w:t>GIRR (inflation)</w:t>
            </w:r>
          </w:p>
        </w:tc>
        <w:tc>
          <w:tcPr>
            <w:tcW w:type="dxa" w:w="2160"/>
          </w:tcPr>
          <w:p>
            <w:r>
              <w:t>40%</w:t>
            </w:r>
          </w:p>
        </w:tc>
        <w:tc>
          <w:tcPr>
            <w:tcW w:type="dxa" w:w="2160"/>
          </w:tcPr>
          <w:p>
            <w:r>
              <w:t>MAR21.60: Inflation vs. nominal within same currency</w:t>
            </w:r>
          </w:p>
        </w:tc>
        <w:tc>
          <w:tcPr>
            <w:tcW w:type="dxa" w:w="2160"/>
          </w:tcPr>
          <w:p>
            <w:r>
              <w:t>Decoupling during QE periods</w:t>
            </w:r>
          </w:p>
        </w:tc>
      </w:tr>
      <w:tr>
        <w:tc>
          <w:tcPr>
            <w:tcW w:type="dxa" w:w="2160"/>
          </w:tcPr>
          <w:p>
            <w:r>
              <w:t>CSR Non-Sec</w:t>
            </w:r>
          </w:p>
        </w:tc>
        <w:tc>
          <w:tcPr>
            <w:tcW w:type="dxa" w:w="2160"/>
          </w:tcPr>
          <w:p>
            <w:r>
              <w:t>65%</w:t>
            </w:r>
          </w:p>
        </w:tc>
        <w:tc>
          <w:tcPr>
            <w:tcW w:type="dxa" w:w="2160"/>
          </w:tcPr>
          <w:p>
            <w:r>
              <w:t>MAR21.71: Same sector and rating bucket</w:t>
            </w:r>
          </w:p>
        </w:tc>
        <w:tc>
          <w:tcPr>
            <w:tcW w:type="dxa" w:w="2160"/>
          </w:tcPr>
          <w:p>
            <w:r>
              <w:t>Idiosyncratic credit risk reduces correlation</w:t>
            </w:r>
          </w:p>
        </w:tc>
      </w:tr>
      <w:tr>
        <w:tc>
          <w:tcPr>
            <w:tcW w:type="dxa" w:w="2160"/>
          </w:tcPr>
          <w:p>
            <w:r>
              <w:t>CSR Securitization</w:t>
            </w:r>
          </w:p>
        </w:tc>
        <w:tc>
          <w:tcPr>
            <w:tcW w:type="dxa" w:w="2160"/>
          </w:tcPr>
          <w:p>
            <w:r>
              <w:t>99%</w:t>
            </w:r>
          </w:p>
        </w:tc>
        <w:tc>
          <w:tcPr>
            <w:tcW w:type="dxa" w:w="2160"/>
          </w:tcPr>
          <w:p>
            <w:r>
              <w:t>MAR21.73: Senior tranches of same collateral pool</w:t>
            </w:r>
          </w:p>
        </w:tc>
        <w:tc>
          <w:tcPr>
            <w:tcW w:type="dxa" w:w="2160"/>
          </w:tcPr>
          <w:p>
            <w:r>
              <w:t>Common underlying asset pool drives correlation</w:t>
            </w:r>
          </w:p>
        </w:tc>
      </w:tr>
      <w:tr>
        <w:tc>
          <w:tcPr>
            <w:tcW w:type="dxa" w:w="2160"/>
          </w:tcPr>
          <w:p>
            <w:r>
              <w:t>Equity Large-Cap</w:t>
            </w:r>
          </w:p>
        </w:tc>
        <w:tc>
          <w:tcPr>
            <w:tcW w:type="dxa" w:w="2160"/>
          </w:tcPr>
          <w:p>
            <w:r>
              <w:t>15%</w:t>
            </w:r>
          </w:p>
        </w:tc>
        <w:tc>
          <w:tcPr>
            <w:tcW w:type="dxa" w:w="2160"/>
          </w:tcPr>
          <w:p>
            <w:r>
              <w:t>MAR21.80: Same sector, different issuers</w:t>
            </w:r>
          </w:p>
        </w:tc>
        <w:tc>
          <w:tcPr>
            <w:tcW w:type="dxa" w:w="2160"/>
          </w:tcPr>
          <w:p>
            <w:r>
              <w:t>Company-specific factors dominate</w:t>
            </w:r>
          </w:p>
        </w:tc>
      </w:tr>
      <w:tr>
        <w:tc>
          <w:tcPr>
            <w:tcW w:type="dxa" w:w="2160"/>
          </w:tcPr>
          <w:p>
            <w:r>
              <w:t>Equity Small-Cap</w:t>
            </w:r>
          </w:p>
        </w:tc>
        <w:tc>
          <w:tcPr>
            <w:tcW w:type="dxa" w:w="2160"/>
          </w:tcPr>
          <w:p>
            <w:r>
              <w:t>7.5%</w:t>
            </w:r>
          </w:p>
        </w:tc>
        <w:tc>
          <w:tcPr>
            <w:tcW w:type="dxa" w:w="2160"/>
          </w:tcPr>
          <w:p>
            <w:r>
              <w:t>MAR21.80: Lower liquidity, higher idiosyncratic risk</w:t>
            </w:r>
          </w:p>
        </w:tc>
        <w:tc>
          <w:tcPr>
            <w:tcW w:type="dxa" w:w="2160"/>
          </w:tcPr>
          <w:p>
            <w:r>
              <w:t>Less co-movement than large-cap</w:t>
            </w:r>
          </w:p>
        </w:tc>
      </w:tr>
      <w:tr>
        <w:tc>
          <w:tcPr>
            <w:tcW w:type="dxa" w:w="2160"/>
          </w:tcPr>
          <w:p>
            <w:r>
              <w:t>FX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MAR21.90: All FX pairs within bucket</w:t>
            </w:r>
          </w:p>
        </w:tc>
        <w:tc>
          <w:tcPr>
            <w:tcW w:type="dxa" w:w="2160"/>
          </w:tcPr>
          <w:p>
            <w:r>
              <w:t>Supervisory simplification; triangular arbitrage</w:t>
            </w:r>
          </w:p>
        </w:tc>
      </w:tr>
      <w:tr>
        <w:tc>
          <w:tcPr>
            <w:tcW w:type="dxa" w:w="2160"/>
          </w:tcPr>
          <w:p>
            <w:r>
              <w:t>Commodity</w:t>
            </w:r>
          </w:p>
        </w:tc>
        <w:tc>
          <w:tcPr>
            <w:tcW w:type="dxa" w:w="2160"/>
          </w:tcPr>
          <w:p>
            <w:r>
              <w:t>55%</w:t>
            </w:r>
          </w:p>
        </w:tc>
        <w:tc>
          <w:tcPr>
            <w:tcW w:type="dxa" w:w="2160"/>
          </w:tcPr>
          <w:p>
            <w:r>
              <w:t>MAR21.94: Same commodity type (e.g., energy, metals)</w:t>
            </w:r>
          </w:p>
        </w:tc>
        <w:tc>
          <w:tcPr>
            <w:tcW w:type="dxa" w:w="2160"/>
          </w:tcPr>
          <w:p>
            <w:r>
              <w:t>Supply-demand shocks are commodity-specific</w:t>
            </w:r>
          </w:p>
        </w:tc>
      </w:tr>
    </w:tbl>
    <w:p/>
    <w:p>
      <w:pPr>
        <w:pStyle w:val="Heading3"/>
      </w:pPr>
      <w:r>
        <w:t>5.3.2 Inter-Bucket Correlations (γ)</w:t>
      </w:r>
    </w:p>
    <w:p>
      <w:r>
        <w:t>Inter-bucket γ applies across different buckets (e.g., different currencies, sectors, asset classes). Lower than intra-bucket correlations to reflect structural differences.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Risk 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γ (inter)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Reference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Rationale</w:t>
            </w:r>
          </w:p>
        </w:tc>
      </w:tr>
      <w:tr>
        <w:tc>
          <w:tcPr>
            <w:tcW w:type="dxa" w:w="2160"/>
          </w:tcPr>
          <w:p>
            <w:r>
              <w:t>GIRR</w:t>
            </w:r>
          </w:p>
        </w:tc>
        <w:tc>
          <w:tcPr>
            <w:tcW w:type="dxa" w:w="2160"/>
          </w:tcPr>
          <w:p>
            <w:r>
              <w:t>50%</w:t>
            </w:r>
          </w:p>
        </w:tc>
        <w:tc>
          <w:tcPr>
            <w:tcW w:type="dxa" w:w="2160"/>
          </w:tcPr>
          <w:p>
            <w:r>
              <w:t>MAR21.60: Cross-currency correlation</w:t>
            </w:r>
          </w:p>
        </w:tc>
        <w:tc>
          <w:tcPr>
            <w:tcW w:type="dxa" w:w="2160"/>
          </w:tcPr>
          <w:p>
            <w:r>
              <w:t>Central bank policy divergence, but global rate cycle linkage</w:t>
            </w:r>
          </w:p>
        </w:tc>
      </w:tr>
      <w:tr>
        <w:tc>
          <w:tcPr>
            <w:tcW w:type="dxa" w:w="2160"/>
          </w:tcPr>
          <w:p>
            <w:r>
              <w:t>CSR Non-Sec</w:t>
            </w:r>
          </w:p>
        </w:tc>
        <w:tc>
          <w:tcPr>
            <w:tcW w:type="dxa" w:w="2160"/>
          </w:tcPr>
          <w:p>
            <w:r>
              <w:t>0-50%</w:t>
            </w:r>
          </w:p>
        </w:tc>
        <w:tc>
          <w:tcPr>
            <w:tcW w:type="dxa" w:w="2160"/>
          </w:tcPr>
          <w:p>
            <w:r>
              <w:t>MAR21.76: Sector-dependent; same-sector IG 35%, cross-sector can be 0%</w:t>
            </w:r>
          </w:p>
        </w:tc>
        <w:tc>
          <w:tcPr>
            <w:tcW w:type="dxa" w:w="2160"/>
          </w:tcPr>
          <w:p>
            <w:r>
              <w:t>Corporate correlation matrix based on empirical equity correlation</w:t>
            </w:r>
          </w:p>
        </w:tc>
      </w:tr>
      <w:tr>
        <w:tc>
          <w:tcPr>
            <w:tcW w:type="dxa" w:w="2160"/>
          </w:tcPr>
          <w:p>
            <w:r>
              <w:t>Equity</w:t>
            </w:r>
          </w:p>
        </w:tc>
        <w:tc>
          <w:tcPr>
            <w:tcW w:type="dxa" w:w="2160"/>
          </w:tcPr>
          <w:p>
            <w:r>
              <w:t>15%</w:t>
            </w:r>
          </w:p>
        </w:tc>
        <w:tc>
          <w:tcPr>
            <w:tcW w:type="dxa" w:w="2160"/>
          </w:tcPr>
          <w:p>
            <w:r>
              <w:t>MAR21.82: Cross-sector within same market</w:t>
            </w:r>
          </w:p>
        </w:tc>
        <w:tc>
          <w:tcPr>
            <w:tcW w:type="dxa" w:w="2160"/>
          </w:tcPr>
          <w:p>
            <w:r>
              <w:t>Market factor explains ~15-20% of variance (Fama-French)</w:t>
            </w:r>
          </w:p>
        </w:tc>
      </w:tr>
      <w:tr>
        <w:tc>
          <w:tcPr>
            <w:tcW w:type="dxa" w:w="2160"/>
          </w:tcPr>
          <w:p>
            <w:r>
              <w:t>FX</w:t>
            </w:r>
          </w:p>
        </w:tc>
        <w:tc>
          <w:tcPr>
            <w:tcW w:type="dxa" w:w="2160"/>
          </w:tcPr>
          <w:p>
            <w:r>
              <w:t>60%</w:t>
            </w:r>
          </w:p>
        </w:tc>
        <w:tc>
          <w:tcPr>
            <w:tcW w:type="dxa" w:w="2160"/>
          </w:tcPr>
          <w:p>
            <w:r>
              <w:t>MAR21.90: Different currency pairs</w:t>
            </w:r>
          </w:p>
        </w:tc>
        <w:tc>
          <w:tcPr>
            <w:tcW w:type="dxa" w:w="2160"/>
          </w:tcPr>
          <w:p>
            <w:r>
              <w:t>USD common factor; EM pairs show higher correlation</w:t>
            </w:r>
          </w:p>
        </w:tc>
      </w:tr>
      <w:tr>
        <w:tc>
          <w:tcPr>
            <w:tcW w:type="dxa" w:w="2160"/>
          </w:tcPr>
          <w:p>
            <w:r>
              <w:t>Commodity</w:t>
            </w:r>
          </w:p>
        </w:tc>
        <w:tc>
          <w:tcPr>
            <w:tcW w:type="dxa" w:w="2160"/>
          </w:tcPr>
          <w:p>
            <w:r>
              <w:t>20%</w:t>
            </w:r>
          </w:p>
        </w:tc>
        <w:tc>
          <w:tcPr>
            <w:tcW w:type="dxa" w:w="2160"/>
          </w:tcPr>
          <w:p>
            <w:r>
              <w:t>MAR21.96: Different commodity types (energy vs. metals)</w:t>
            </w:r>
          </w:p>
        </w:tc>
        <w:tc>
          <w:tcPr>
            <w:tcW w:type="dxa" w:w="2160"/>
          </w:tcPr>
          <w:p>
            <w:r>
              <w:t>Low correlation; different supply chains</w:t>
            </w:r>
          </w:p>
        </w:tc>
      </w:tr>
    </w:tbl>
    <w:p/>
    <w:p>
      <w:r>
        <w:rPr>
          <w:b/>
        </w:rPr>
        <w:t xml:space="preserve">Critical Note: </w:t>
      </w:r>
      <w:r>
        <w:t>MAR21.60 specifies that GIRR_INFLATION and GIRR_XCCY_BASIS receive γ=0 against nominal GIRR curves within the same currency. This sub-curve zero-correlation cannot be represented by a single scalar. The implementation treats these as separate risk_class entries to preserve regulatory accuracy.</w:t>
      </w:r>
    </w:p>
    <w:p>
      <w:pPr>
        <w:pStyle w:val="Heading3"/>
      </w:pPr>
      <w:r>
        <w:t>5.3.3 Three-Scenario Aggregation (MAR21.6)</w:t>
      </w:r>
    </w:p>
    <w:p>
      <w:r>
        <w:t>To capture tail correlation behavior, MAR21.6 requires calculating capital under three correlation scenarios and taking the maximum:</w:t>
      </w:r>
    </w:p>
    <w:p>
      <w:r>
        <w:t>Scenario 1: Base correlations (ρ, γ as configured)</w:t>
      </w:r>
    </w:p>
    <w:p>
      <w:r>
        <w:t>Scenario 2: High correlations - ρ_high = ρ + 0.25×(1-ρ), γ_high = γ + 0.25×(1-γ)</w:t>
      </w:r>
    </w:p>
    <w:p>
      <w:r>
        <w:t>Scenario 3: Low correlations - ρ_low = max(2ρ-1, 0), γ_low = max(2γ-1, 0)</w:t>
      </w:r>
    </w:p>
    <w:p/>
    <w:p>
      <w:r>
        <w:rPr>
          <w:b/>
        </w:rPr>
        <w:t xml:space="preserve">Rationale: </w:t>
      </w:r>
      <w:r>
        <w:t>Correlation is unstable and model-dependent. The three scenarios ensure capital adequacy across plausible correlation regimes. High scenario captures contagion/crisis (correlation →1). Low scenario captures hedge effectiveness uncertainty. Maximum of three provides conservative buffer.</w:t>
      </w:r>
    </w:p>
    <w:p>
      <w:r>
        <w:br w:type="page"/>
      </w:r>
    </w:p>
    <w:p>
      <w:pPr>
        <w:pStyle w:val="Heading1"/>
      </w:pPr>
      <w:r>
        <w:rPr>
          <w:color w:val="003366"/>
        </w:rPr>
        <w:t>6. Process Workflows</w:t>
      </w:r>
    </w:p>
    <w:p>
      <w:pPr>
        <w:pStyle w:val="Heading2"/>
      </w:pPr>
      <w:r>
        <w:t>6.1 Daily Capital Calculation Workflow</w:t>
      </w:r>
    </w:p>
    <w:p>
      <w:r>
        <w:t>Standard daily production run for regulatory reporting (MAR99).</w:t>
      </w:r>
    </w:p>
    <w:p/>
    <w:p>
      <w:pPr>
        <w:pStyle w:val="NoSpacing"/>
      </w:pPr>
      <w:r>
        <w:rPr>
          <w:rFonts w:ascii="Courier New" w:hAnsi="Courier New"/>
        </w:rPr>
        <w:br/>
        <w:t xml:space="preserve">    1. DATA INGESTION</w:t>
        <w:br/>
        <w:t xml:space="preserve">       ├─ Extract trade sensitivities from front-office systems (delta, vega, gamma)</w:t>
        <w:br/>
        <w:t xml:space="preserve">       ├─ Retrieve 250-day P&amp;L history from data warehouse</w:t>
        <w:br/>
        <w:t xml:space="preserve">       ├─ Fetch current market data (MarketDataFeed.get_current_conditions())</w:t>
        <w:br/>
        <w:t xml:space="preserve">       │  └─ Three-tier fetch: Bloomberg → FRED → yfinance → fallback</w:t>
        <w:br/>
        <w:t xml:space="preserve">       └─ Load DRC positions (credit names, notionals, ratings, maturities)</w:t>
        <w:br/>
        <w:t xml:space="preserve">    </w:t>
        <w:br/>
        <w:t xml:space="preserve">    2. DATA VALIDATION</w:t>
        <w:br/>
        <w:t xml:space="preserve">       ├─ Check sensitivity completeness (all risk factors mapped to buckets)</w:t>
        <w:br/>
        <w:t xml:space="preserve">       ├─ Validate P&amp;L series (no gaps, outliers flagged)</w:t>
        <w:br/>
        <w:t xml:space="preserve">       ├─ Verify market data freshness (timestamp &lt; 24h)</w:t>
        <w:br/>
        <w:t xml:space="preserve">       └─ Confirm desk eligibility for IMA (approved trading desks only)</w:t>
        <w:br/>
        <w:t xml:space="preserve">    </w:t>
        <w:br/>
        <w:t xml:space="preserve">    3. SBM CALCULATION (MAR21-23)</w:t>
        <w:br/>
        <w:t xml:space="preserve">       ├─ Aggregate sensitivities by risk class and bucket</w:t>
        <w:br/>
        <w:t xml:space="preserve">       ├─ Apply risk weights from FRTBConfig.delta_rw</w:t>
        <w:br/>
        <w:t xml:space="preserve">       ├─ Compute weighted sensitivities (WS = sensitivity × RW)</w:t>
        <w:br/>
        <w:t xml:space="preserve">       ├─ Build correlation matrices (intra-bucket ρ, inter-bucket γ)</w:t>
        <w:br/>
        <w:t xml:space="preserve">       ├─ Three-scenario aggregation:</w:t>
        <w:br/>
        <w:t xml:space="preserve">       │  ├─ Scenario 1 (base): K_base = √(WS' × Σ_base × WS)</w:t>
        <w:br/>
        <w:t xml:space="preserve">       │  ├─ Scenario 2 (high): K_high = √(WS' × Σ_high × WS)</w:t>
        <w:br/>
        <w:t xml:space="preserve">       │  └─ Scenario 3 (low):  K_low  = √(WS' × Σ_low  × WS)</w:t>
        <w:br/>
        <w:t xml:space="preserve">       ├─ Delta charge = max(K_base, K_high, K_low)</w:t>
        <w:br/>
        <w:t xml:space="preserve">       ├─ Vega charge (same methodology for vega sensitivities)</w:t>
        <w:br/>
        <w:t xml:space="preserve">       ├─ Curvature charge (CVR = max(CVR_up, CVR_dn) per MAR21.8)</w:t>
        <w:br/>
        <w:t xml:space="preserve">       ├─ DRC (jump-to-default + migration, MAR22)</w:t>
        <w:br/>
        <w:t xml:space="preserve">       ├─ RRAO (exotic/residual risks, MAR23.5)</w:t>
        <w:br/>
        <w:t xml:space="preserve">       └─ Total SBM = Delta + Vega + Curvature + DRC + RRAO</w:t>
        <w:br/>
        <w:t xml:space="preserve">    </w:t>
        <w:br/>
        <w:t xml:space="preserve">    4. IMA CALCULATION (MAR31-33)</w:t>
        <w:br/>
        <w:t xml:space="preserve">       ├─ Filter P&amp;L to eligible desk scope</w:t>
        <w:br/>
        <w:t xml:space="preserve">       ├─ Compute Expected Shortfall at 97.5% confidence:</w:t>
        <w:br/>
        <w:t xml:space="preserve">       │  ├─ Sort P&amp;L in ascending order</w:t>
        <w:br/>
        <w:t xml:space="preserve">       │  ├─ Tail index = ceil(0.025 × n_observations)</w:t>
        <w:br/>
        <w:t xml:space="preserve">       │  └─ ES = -mean(P&amp;L[1:tail_index])  [note: negative of losses]</w:t>
        <w:br/>
        <w:t xml:space="preserve">       ├─ Liquidity horizon adjustments (MAR33.4):</w:t>
        <w:br/>
        <w:t xml:space="preserve">       │  └─ ES_LH = ES × √(LH_days / 10)  [separate ES per risk class, then aggregate]</w:t>
        <w:br/>
        <w:t xml:space="preserve">       ├─ Stressed ES (P&amp;L from 12-month stressed period, MAR33.6):</w:t>
        <w:br/>
        <w:t xml:space="preserve">       │  └─ Stressed_ES = max(ES_current_data, ES_stressed_period)</w:t>
        <w:br/>
        <w:t xml:space="preserve">       ├─ Apply IMA multiplier (MAR33.9):</w:t>
        <w:br/>
        <w:t xml:space="preserve">       │  └─ mc = 1.5 + addon(backtesting_exceptions)  [1.5 to 2.0 range]</w:t>
        <w:br/>
        <w:t xml:space="preserve">       └─ IMA Capital = mc × max(ES_LH, Stressed_ES)</w:t>
        <w:br/>
        <w:t xml:space="preserve">    </w:t>
        <w:br/>
        <w:t xml:space="preserve">    5. CAPITAL DETERMINATION</w:t>
        <w:br/>
        <w:t xml:space="preserve">       ├─ Regulatory capital = max(SBM, IMA)  [MAR33.8]</w:t>
        <w:br/>
        <w:t xml:space="preserve">       ├─ Apply capital floor: capital ≥ 0.72 × SBM  [MAR99 transitional floor]</w:t>
        <w:br/>
        <w:t xml:space="preserve">       └─ Aggregate across trading desks</w:t>
        <w:br/>
        <w:t xml:space="preserve">    </w:t>
        <w:br/>
        <w:t xml:space="preserve">    6. OUTPUT &amp; REPORTING</w:t>
        <w:br/>
        <w:t xml:space="preserve">       ├─ Generate FRTBResult object with full breakdown</w:t>
        <w:br/>
        <w:t xml:space="preserve">       ├─ Store to database (audit trail, time series)</w:t>
        <w:br/>
        <w:t xml:space="preserve">       ├─ Publish to risk dashboard</w:t>
        <w:br/>
        <w:t xml:space="preserve">       ├─ Trigger alerts if limits breached</w:t>
        <w:br/>
        <w:t xml:space="preserve">       └─ Prepare regulatory templates (MAR99 reporting)</w:t>
        <w:br/>
        <w:t xml:space="preserve">    </w:t>
      </w:r>
    </w:p>
    <w:p>
      <w:pPr>
        <w:pStyle w:val="NoSpacing"/>
      </w:pPr>
      <w:r>
        <w:rPr>
          <w:sz w:val="18"/>
        </w:rPr>
        <w:br/>
        <w:t xml:space="preserve">    1. DATA INGESTION</w:t>
        <w:br/>
        <w:t xml:space="preserve">       ├─ Extract trade sensitivities from front-office systems (delta, vega, gamma)</w:t>
        <w:br/>
        <w:t xml:space="preserve">       ├─ Retrieve 250-day P&amp;L history from data warehouse</w:t>
        <w:br/>
        <w:t xml:space="preserve">       ├─ Fetch current market data (MarketDataFeed.get_current_conditions())</w:t>
        <w:br/>
        <w:t xml:space="preserve">       │  └─ Three-tier fetch: Bloomberg → FRED → yfinance → fallback</w:t>
        <w:br/>
        <w:t xml:space="preserve">       └─ Load DRC positions (credit names, notionals, ratings, maturities)</w:t>
        <w:br/>
        <w:t xml:space="preserve">    </w:t>
        <w:br/>
        <w:t xml:space="preserve">    2. DATA VALIDATION</w:t>
        <w:br/>
        <w:t xml:space="preserve">       ├─ Check sensitivity completeness (all risk factors mapped to buckets)</w:t>
        <w:br/>
        <w:t xml:space="preserve">       ├─ Validate P&amp;L series (no gaps, outliers flagged)</w:t>
        <w:br/>
        <w:t xml:space="preserve">       ├─ Verify market data freshness (timestamp &lt; 24h)</w:t>
        <w:br/>
        <w:t xml:space="preserve">       └─ Confirm desk eligibility for IMA (approved trading desks only)</w:t>
        <w:br/>
        <w:t xml:space="preserve">    </w:t>
        <w:br/>
        <w:t xml:space="preserve">    3. SBM CALCULATION (MAR21-23)</w:t>
        <w:br/>
        <w:t xml:space="preserve">       ├─ Aggregate sensitivities by risk class and bucket</w:t>
        <w:br/>
        <w:t xml:space="preserve">       ├─ Apply risk weights from FRTBConfig.delta_rw</w:t>
        <w:br/>
        <w:t xml:space="preserve">       ├─ Compute weighted sensitivities (WS = sensitivity × RW)</w:t>
        <w:br/>
        <w:t xml:space="preserve">       ├─ Build correlation matrices (intra-bucket ρ, inter-bucket γ)</w:t>
        <w:br/>
        <w:t xml:space="preserve">       ├─ Three-scenario aggregation:</w:t>
        <w:br/>
        <w:t xml:space="preserve">       │  ├─ Scenario 1 (base): K_base = √(WS' × Σ_base × WS)</w:t>
        <w:br/>
        <w:t xml:space="preserve">       │  ├─ Scenario 2 (high): K_high = √(WS' × Σ_high × WS)</w:t>
        <w:br/>
        <w:t xml:space="preserve">       │  └─ Scenario 3 (low):  K_low  = √(WS' × Σ_low  × WS)</w:t>
        <w:br/>
        <w:t xml:space="preserve">       ├─ Delta charge = max(K_base, K_high, K_low)</w:t>
        <w:br/>
        <w:t xml:space="preserve">       ├─ Vega charge (same methodology for vega sensitivities)</w:t>
        <w:br/>
        <w:t xml:space="preserve">       ├─ Curvature charge (CVR = max(CVR_up, CVR_dn) per MAR21.8)</w:t>
        <w:br/>
        <w:t xml:space="preserve">       ├─ DRC (jump-to-default + migration, MAR22)</w:t>
        <w:br/>
        <w:t xml:space="preserve">       ├─ RRAO (exotic/residual risks, MAR23.5)</w:t>
        <w:br/>
        <w:t xml:space="preserve">       └─ Total SBM = Delta + Vega + Curvature + DRC + RRAO</w:t>
        <w:br/>
        <w:t xml:space="preserve">    </w:t>
        <w:br/>
        <w:t xml:space="preserve">    4. IMA CALCULATION (MAR31-33)</w:t>
        <w:br/>
        <w:t xml:space="preserve">       ├─ Filter P&amp;L to eligible desk scope</w:t>
        <w:br/>
        <w:t xml:space="preserve">       ├─ Compute Expected Shortfall at 97.5% confidence:</w:t>
        <w:br/>
        <w:t xml:space="preserve">       │  ├─ Sort P&amp;L in ascending order</w:t>
        <w:br/>
        <w:t xml:space="preserve">       │  ├─ Tail index = ceil(0.025 × n_observations)</w:t>
        <w:br/>
        <w:t xml:space="preserve">       │  └─ ES = -mean(P&amp;L[1:tail_index])  [note: negative of losses]</w:t>
        <w:br/>
        <w:t xml:space="preserve">       ├─ Liquidity horizon adjustments (MAR33.4):</w:t>
        <w:br/>
        <w:t xml:space="preserve">       │  └─ ES_LH = ES × √(LH_days / 10)  [separate ES per risk class, then aggregate]</w:t>
        <w:br/>
        <w:t xml:space="preserve">       ├─ Stressed ES (P&amp;L from 12-month stressed period, MAR33.6):</w:t>
        <w:br/>
        <w:t xml:space="preserve">       │  └─ Stressed_ES = max(ES_current_data, ES_stressed_period)</w:t>
        <w:br/>
        <w:t xml:space="preserve">       ├─ Apply IMA multiplier (MAR33.9):</w:t>
        <w:br/>
        <w:t xml:space="preserve">       │  └─ mc = 1.5 + addon(backtesting_exceptions)  [1.5 to 2.0 range]</w:t>
        <w:br/>
        <w:t xml:space="preserve">       └─ IMA Capital = mc × max(ES_LH, Stressed_ES)</w:t>
        <w:br/>
        <w:t xml:space="preserve">    </w:t>
        <w:br/>
        <w:t xml:space="preserve">    5. CAPITAL DETERMINATION</w:t>
        <w:br/>
        <w:t xml:space="preserve">       ├─ Regulatory capital = max(SBM, IMA)  [MAR33.8]</w:t>
        <w:br/>
        <w:t xml:space="preserve">       ├─ Apply capital floor: capital ≥ 0.72 × SBM  [MAR99 transitional floor]</w:t>
        <w:br/>
        <w:t xml:space="preserve">       └─ Aggregate across trading desks</w:t>
        <w:br/>
        <w:t xml:space="preserve">    </w:t>
        <w:br/>
        <w:t xml:space="preserve">    6. OUTPUT &amp; REPORTING</w:t>
        <w:br/>
        <w:t xml:space="preserve">       ├─ Generate FRTBResult object with full breakdown</w:t>
        <w:br/>
        <w:t xml:space="preserve">       ├─ Store to database (audit trail, time series)</w:t>
        <w:br/>
        <w:t xml:space="preserve">       ├─ Publish to risk dashboard</w:t>
        <w:br/>
        <w:t xml:space="preserve">       ├─ Trigger alerts if limits breached</w:t>
        <w:br/>
        <w:t xml:space="preserve">       └─ Prepare regulatory templates (MAR99 reporting)</w:t>
        <w:br/>
        <w:t xml:space="preserve">    </w:t>
      </w:r>
    </w:p>
    <w:p>
      <w:r>
        <w:br w:type="page"/>
      </w:r>
    </w:p>
    <w:p>
      <w:pPr>
        <w:pStyle w:val="Heading2"/>
      </w:pPr>
      <w:r>
        <w:t>6.2 Market Data Refresh Workflow</w:t>
      </w:r>
    </w:p>
    <w:p>
      <w:r>
        <w:t>The MarketDataFeed implements a three-tier fallback strategy with caching. This workflow ensures data is always available even during source outages.</w:t>
      </w:r>
    </w:p>
    <w:p>
      <w:pPr>
        <w:pStyle w:val="NoSpacing"/>
      </w:pPr>
      <w:r>
        <w:rPr>
          <w:rFonts w:ascii="Courier New" w:hAnsi="Courier New"/>
          <w:sz w:val="18"/>
        </w:rPr>
        <w:br/>
        <w:t xml:space="preserve">    MarketDataFeed.get_current_conditions(force_refresh=False)</w:t>
        <w:br/>
        <w:t xml:space="preserve">    │</w:t>
        <w:br/>
        <w:t xml:space="preserve">    ├─ Check in-memory cache</w:t>
        <w:br/>
        <w:t xml:space="preserve">    │  └─ If valid (age &lt; TTL): return cached MarketConditions ✓</w:t>
        <w:br/>
        <w:t xml:space="preserve">    │</w:t>
        <w:br/>
        <w:t xml:space="preserve">    ├─ TIER 1: Bloomberg / Refinitiv (if configured)</w:t>
        <w:br/>
        <w:t xml:space="preserve">    │  ├─ Try Bloomberg BSAPI (blpapi.Session)</w:t>
        <w:br/>
        <w:t xml:space="preserve">    │  │  └─ Tickers: VIX Index, LF98OAS Index, MOVE Index, etc.</w:t>
        <w:br/>
        <w:t xml:space="preserve">    │  ├─ Try Refinitiv Data API (refinitiv.data)</w:t>
        <w:br/>
        <w:t xml:space="preserve">    │  │  └─ RICs: .VIX, .MOVE, etc.</w:t>
        <w:br/>
        <w:t xml:space="preserve">    │  └─ If successful: transform &amp; cache → return ✓</w:t>
        <w:br/>
        <w:t xml:space="preserve">    │</w:t>
        <w:br/>
        <w:t xml:space="preserve">    ├─ TIER 2: FRED / yfinance (public sources)</w:t>
        <w:br/>
        <w:t xml:space="preserve">    │  ├─ Try FRED JSON API (if FRED_API_KEY set)</w:t>
        <w:br/>
        <w:t xml:space="preserve">    │  │  └─ Series: VIXCLS, BAMLH0A0HYM2, MOVE, etc.</w:t>
        <w:br/>
        <w:t xml:space="preserve">    │  ├─ Fallback to FRED CSV endpoint (no auth)</w:t>
        <w:br/>
        <w:t xml:space="preserve">    │  │  └─ URL: https://fred.stlouisfed.org/graph/fredgraph.csv?id={series}</w:t>
        <w:br/>
        <w:t xml:space="preserve">    │  ├─ Try yfinance (for VIX, commodity vol)</w:t>
        <w:br/>
        <w:t xml:space="preserve">    │  │  └─ Tickers: ^VIX, CL=F (with realized vol calculation)</w:t>
        <w:br/>
        <w:t xml:space="preserve">    │  └─ If successful: transform &amp; cache → return ✓</w:t>
        <w:br/>
        <w:t xml:space="preserve">    │</w:t>
        <w:br/>
        <w:t xml:space="preserve">    ├─ TIER 3: Hardcoded Conservative Fallbacks</w:t>
        <w:br/>
        <w:t xml:space="preserve">    │  └─ Return MarketConditions with _FALLBACK values</w:t>
        <w:br/>
        <w:t xml:space="preserve">    │     (slightly above historical medians → conservative for capital)</w:t>
        <w:br/>
        <w:t xml:space="preserve">    │</w:t>
        <w:br/>
        <w:t xml:space="preserve">    └─ Cache result (in-memory + optional disk JSON)</w:t>
        <w:br/>
        <w:t xml:space="preserve">       ├─ In-memory: protected by threading.RLock</w:t>
        <w:br/>
        <w:t xml:space="preserve">       └─ Disk: /tmp/frtb_market_cache.json (shareable across processes)</w:t>
        <w:br/>
        <w:t xml:space="preserve">    </w:t>
      </w:r>
    </w:p>
    <w:p/>
    <w:p>
      <w:r>
        <w:rPr>
          <w:b/>
        </w:rPr>
        <w:t xml:space="preserve">Design Rationale: </w:t>
      </w:r>
      <w:r>
        <w:t>The three-tier design ensures 100% uptime. Even complete network failure produces valid output (conservative fallbacks). Tier ordering prioritizes accuracy (Bloomberg real-time) over cost (free FRED), with built-in redundancy.</w:t>
      </w:r>
    </w:p>
    <w:p>
      <w:r>
        <w:br w:type="page"/>
      </w:r>
    </w:p>
    <w:p>
      <w:pPr>
        <w:pStyle w:val="Heading1"/>
      </w:pPr>
      <w:r>
        <w:rPr>
          <w:color w:val="003366"/>
        </w:rPr>
        <w:t>7. Key Equations and Formulas</w:t>
      </w:r>
    </w:p>
    <w:p>
      <w:pPr>
        <w:pStyle w:val="Heading2"/>
      </w:pPr>
      <w:r>
        <w:t>7.1 SBM Delta Risk Aggregation (MAR21.3-6)</w:t>
      </w:r>
    </w:p>
    <w:p>
      <w:r>
        <w:t>For a single risk class with B buckets:</w:t>
      </w:r>
    </w:p>
    <w:p>
      <w:r>
        <w:t>Step 1: Weighted Sensitivity for factor k in bucket b</w:t>
      </w:r>
    </w:p>
    <w:p>
      <w:r>
        <w:t xml:space="preserve">    WS_bk = s_bk × RW_k</w:t>
      </w:r>
    </w:p>
    <w:p>
      <w:r>
        <w:t xml:space="preserve">    where s_bk = net sensitivity, RW_k = risk weight</w:t>
      </w:r>
    </w:p>
    <w:p/>
    <w:p>
      <w:r>
        <w:t>Step 2: Bucket-level capital charge (intra-bucket aggregation)</w:t>
      </w:r>
    </w:p>
    <w:p>
      <w:r>
        <w:t xml:space="preserve">    K_b = √(Σ_k WS_bk² + Σ_k Σ_l≠k ρ_kl × WS_bk × WS_bl)</w:t>
      </w:r>
    </w:p>
    <w:p>
      <w:r>
        <w:t xml:space="preserve">    where ρ_kl = intra-bucket correlation between factors k and l</w:t>
      </w:r>
    </w:p>
    <w:p/>
    <w:p>
      <w:r>
        <w:t>Step 3: Risk class capital (inter-bucket aggregation)</w:t>
      </w:r>
    </w:p>
    <w:p>
      <w:r>
        <w:t xml:space="preserve">    K = √(Σ_b K_b² + Σ_b Σ_c≠b γ_bc × S_b × S_c)</w:t>
      </w:r>
    </w:p>
    <w:p>
      <w:r>
        <w:t xml:space="preserve">    where γ_bc = inter-bucket correlation, S_b = Σ_k WS_bk (bucket sensitivity sum)</w:t>
      </w:r>
    </w:p>
    <w:p/>
    <w:p>
      <w:r>
        <w:t>Step 4: Three-scenario maximum (MAR21.6)</w:t>
      </w:r>
    </w:p>
    <w:p>
      <w:r>
        <w:t xml:space="preserve">    Delta_risk_class = max(K_base, K_high, K_low)</w:t>
      </w:r>
    </w:p>
    <w:p>
      <w:r>
        <w:t xml:space="preserve">    where each K uses adjusted correlations per scenario</w:t>
      </w:r>
    </w:p>
    <w:p/>
    <w:p>
      <w:r>
        <w:rPr>
          <w:b/>
        </w:rPr>
        <w:t xml:space="preserve">Implementation: </w:t>
      </w:r>
      <w:r>
        <w:t>SBMCalculator._aggregate_buckets() builds the full covariance matrix Σ with intra-bucket ρ on off-diagonals within each bucket, and inter-bucket γ across buckets. Three matrices (base, high, low) are constructed with correlation adjustments, then capital is computed as √(WS' × Σ × WS) for each scenario.</w:t>
      </w:r>
    </w:p>
    <w:p>
      <w:r>
        <w:br w:type="page"/>
      </w:r>
    </w:p>
    <w:p>
      <w:pPr>
        <w:pStyle w:val="Heading2"/>
      </w:pPr>
      <w:r>
        <w:t>7.2 Curvature Risk (MAR21.8-10)</w:t>
      </w:r>
    </w:p>
    <w:p>
      <w:r>
        <w:t>Curvature captures convexity (gamma) risk not reflected in delta.</w:t>
      </w:r>
    </w:p>
    <w:p>
      <w:r>
        <w:t>For each risk factor k:</w:t>
      </w:r>
    </w:p>
    <w:p>
      <w:r>
        <w:t xml:space="preserve">    CVR_k = -min(Σ_i V_i(x_k + Δx_k) - V_i(x_k), Σ_i V_i(x_k - Δx_k) - V_i(x_k))</w:t>
      </w:r>
    </w:p>
    <w:p>
      <w:r>
        <w:t xml:space="preserve">    where:</w:t>
      </w:r>
    </w:p>
    <w:p>
      <w:r>
        <w:t xml:space="preserve">        V_i(x) = trade i value at risk factor level x</w:t>
      </w:r>
    </w:p>
    <w:p>
      <w:r>
        <w:t xml:space="preserve">        Δx_k   = risk weight shock to factor k</w:t>
      </w:r>
    </w:p>
    <w:p>
      <w:r>
        <w:t xml:space="preserve">        CVR_k  = worst-case loss (upside move vs. downside move)</w:t>
      </w:r>
    </w:p>
    <w:p/>
    <w:p>
      <w:r>
        <w:t>Aggregation formula (MAR21.9):</w:t>
      </w:r>
    </w:p>
    <w:p>
      <w:r>
        <w:t xml:space="preserve">    Ξ_b = Σ_k Ψ_k(CVR_k) + Σ_k Σ_l≠k ρ_kl × Ψ_k(CVR_k) × Ψ_l(CVR_l)</w:t>
      </w:r>
    </w:p>
    <w:p>
      <w:r>
        <w:t xml:space="preserve">    where Ψ_k(x) = sign(x) × √|x|  (theta function for smooth aggregation)</w:t>
      </w:r>
    </w:p>
    <w:p/>
    <w:p>
      <w:r>
        <w:t>Final curvature charge:</w:t>
      </w:r>
    </w:p>
    <w:p>
      <w:r>
        <w:t xml:space="preserve">    Curvature = √(Σ_b Ξ_b² + Σ_b Σ_c≠b γ_bc × Ξ_b × Ξ_c)</w:t>
      </w:r>
    </w:p>
    <w:p/>
    <w:p>
      <w:r>
        <w:rPr>
          <w:b/>
        </w:rPr>
        <w:t xml:space="preserve">FIX-02 Note: </w:t>
      </w:r>
      <w:r>
        <w:t>Previous implementation erroneously applied a final sqrt() to the curvature charge. MAR23.6 specifies that Ξ_s (aggregated curvature) is already in dollar capital units. The extra sqrt() was removed in April 2026 code review.</w:t>
      </w:r>
    </w:p>
    <w:p>
      <w:r>
        <w:br w:type="page"/>
      </w:r>
    </w:p>
    <w:p>
      <w:pPr>
        <w:pStyle w:val="Heading2"/>
      </w:pPr>
      <w:r>
        <w:t>7.3 Expected Shortfall (MAR31.5)</w:t>
      </w:r>
    </w:p>
    <w:p>
      <w:r>
        <w:t>ES measures average loss in the tail beyond the 97.5% quantile.</w:t>
      </w:r>
    </w:p>
    <w:p>
      <w:r>
        <w:t>Historical simulation approach:</w:t>
      </w:r>
    </w:p>
    <w:p>
      <w:r>
        <w:t>1. Sort 1-day P&amp;L history in ascending order (worst to best)</w:t>
      </w:r>
    </w:p>
    <w:p>
      <w:r>
        <w:t>2. Tail index = ceil(2.5% × n_observations)</w:t>
      </w:r>
    </w:p>
    <w:p>
      <w:r>
        <w:t>3. ES = -mean(P&amp;L[1 : tail_index])</w:t>
      </w:r>
    </w:p>
    <w:p>
      <w:r>
        <w:t xml:space="preserve">   (negative because P&amp;L is stated as profit; ES is a loss measure)</w:t>
      </w:r>
    </w:p>
    <w:p/>
    <w:p>
      <w:r>
        <w:t>Liquidity horizon adjustment (MAR33.4):</w:t>
      </w:r>
    </w:p>
    <w:p>
      <w:r>
        <w:t xml:space="preserve">    ES_LH(risk_class) = ES_10day(risk_class) × √(LH_days / 10)</w:t>
      </w:r>
    </w:p>
    <w:p>
      <w:r>
        <w:t xml:space="preserve">    where LH_days ∈ {10, 20, 40, 60, 120} per MAR33 Table 1</w:t>
      </w:r>
    </w:p>
    <w:p/>
    <w:p>
      <w:r>
        <w:t>Aggregation across risk classes (MAR33.5):</w:t>
      </w:r>
    </w:p>
    <w:p>
      <w:r>
        <w:t xml:space="preserve">    ES_total = √(Σ_rc ES_LH(rc)² + 2 × Σ_rc Σ_sc≠rc ρ_rc,sc × ES_LH(rc) × ES_LH(sc))</w:t>
      </w:r>
    </w:p>
    <w:p>
      <w:r>
        <w:t xml:space="preserve">    where ρ_rc,sc = inter-risk-class correlation from IMCC calculation</w:t>
      </w:r>
    </w:p>
    <w:p/>
    <w:p>
      <w:r>
        <w:t>Final IMA capital (MAR33.8):</w:t>
      </w:r>
    </w:p>
    <w:p>
      <w:r>
        <w:t xml:space="preserve">    IMA = mc × max(ES_total, Stressed_ES, 60d_avg_IMCC)</w:t>
      </w:r>
    </w:p>
    <w:p>
      <w:r>
        <w:t xml:space="preserve">    where mc = 1.5 + addon(backtesting_exceptions)  [1.5 to 2.0]</w:t>
      </w:r>
    </w:p>
    <w:p/>
    <w:p>
      <w:r>
        <w:rPr>
          <w:b/>
        </w:rPr>
        <w:t xml:space="preserve">FIX-04 Note: </w:t>
      </w:r>
      <w:r>
        <w:t>Tail index calculation changed from int(0.025 × n) to ceil(0.025 × n) per MAR33.8. Using int() systematically understated ES by excluding one tail observation. For n=250, this means 7 observations instead of 6, correcting a ~14% bias.</w:t>
      </w:r>
    </w:p>
    <w:p>
      <w:r>
        <w:br w:type="page"/>
      </w:r>
    </w:p>
    <w:p>
      <w:pPr>
        <w:pStyle w:val="Heading2"/>
      </w:pPr>
      <w:r>
        <w:t>7.4 Dynamic Risk Weight Adjustment (Pillar 2)</w:t>
      </w:r>
    </w:p>
    <w:p>
      <w:r>
        <w:t>Dynamic adjustment is an INTERNAL tool for stress testing and ICAAP. It is NEVER applied to regulatory SBM capital (which uses prescribed MAR21 weights unchanged).</w:t>
      </w:r>
    </w:p>
    <w:p>
      <w:r>
        <w:t>Risk class-specific scaling formulas:</w:t>
      </w:r>
    </w:p>
    <w:p/>
    <w:p>
      <w:r>
        <w:t>Equity risk class:</w:t>
      </w:r>
    </w:p>
    <w:p>
      <w:r>
        <w:t xml:space="preserve">    scaling = 0.75 + 0.75 × (equity_vol_index / 20.0)</w:t>
      </w:r>
    </w:p>
    <w:p>
      <w:r>
        <w:t xml:space="preserve">    Example: vol=30% → scaling=1.875× (severe stress)</w:t>
      </w:r>
    </w:p>
    <w:p>
      <w:r>
        <w:t xml:space="preserve">            vol=15% → scaling=1.313× (moderate)</w:t>
      </w:r>
    </w:p>
    <w:p/>
    <w:p>
      <w:r>
        <w:t>Credit risk class (CSR):</w:t>
      </w:r>
    </w:p>
    <w:p>
      <w:r>
        <w:t xml:space="preserve">    scaling = 0.80 + 0.60 × (credit_spread_hy / 400.0)</w:t>
      </w:r>
    </w:p>
    <w:p>
      <w:r>
        <w:t xml:space="preserve">    Example: HY=800bp → scaling=2.00× (crisis)</w:t>
      </w:r>
    </w:p>
    <w:p>
      <w:r>
        <w:t xml:space="preserve">            HY=400bp → scaling=1.40× (normal)</w:t>
      </w:r>
    </w:p>
    <w:p/>
    <w:p>
      <w:r>
        <w:t>Crisis amplification (if stress_index &gt; 0.65):</w:t>
      </w:r>
    </w:p>
    <w:p>
      <w:r>
        <w:t xml:space="preserve">    scaling ← scaling × (1.0 + 0.5 × (stress - 0.65) / 0.35)</w:t>
      </w:r>
    </w:p>
    <w:p>
      <w:r>
        <w:t xml:space="preserve">    Capped at 3.0× to prevent unrealistic capital levels</w:t>
      </w:r>
    </w:p>
    <w:p/>
    <w:p>
      <w:r>
        <w:rPr>
          <w:b/>
        </w:rPr>
        <w:t xml:space="preserve">Rationale: </w:t>
      </w:r>
      <w:r>
        <w:t>Volatility regime shifts are mean-reverting but persistent (GARCH effects). Historical 1Y average vol has 60% correlation with forward 1Y realized vol (Christensen &amp; Prabhala 1998). Scaling factors are calibrated to historical crisis episodes (1998 LTCM, 2008 Lehman, 2020 COVID).</w:t>
      </w:r>
    </w:p>
    <w:p>
      <w:r>
        <w:br w:type="page"/>
      </w:r>
    </w:p>
    <w:p>
      <w:pPr>
        <w:pStyle w:val="Heading1"/>
      </w:pPr>
      <w:r>
        <w:rPr>
          <w:color w:val="003366"/>
        </w:rPr>
        <w:t>8. Glossary of Terms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Term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Full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Definition / Context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FRTB</w:t>
            </w:r>
          </w:p>
        </w:tc>
        <w:tc>
          <w:tcPr>
            <w:tcW w:type="dxa" w:w="2880"/>
          </w:tcPr>
          <w:p>
            <w:r>
              <w:t>Fundamental Review of the Trading Book</w:t>
            </w:r>
          </w:p>
        </w:tc>
        <w:tc>
          <w:tcPr>
            <w:tcW w:type="dxa" w:w="2880"/>
          </w:tcPr>
          <w:p>
            <w:r>
              <w:t>Basel Committee's revised market risk framework (2016/2019)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SBM</w:t>
            </w:r>
          </w:p>
        </w:tc>
        <w:tc>
          <w:tcPr>
            <w:tcW w:type="dxa" w:w="2880"/>
          </w:tcPr>
          <w:p>
            <w:r>
              <w:t>Sensitivities-Based Method</w:t>
            </w:r>
          </w:p>
        </w:tc>
        <w:tc>
          <w:tcPr>
            <w:tcW w:type="dxa" w:w="2880"/>
          </w:tcPr>
          <w:p>
            <w:r>
              <w:t>Standardized approach using regulatory risk weights and sensitivities (MAR21)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IMA</w:t>
            </w:r>
          </w:p>
        </w:tc>
        <w:tc>
          <w:tcPr>
            <w:tcW w:type="dxa" w:w="2880"/>
          </w:tcPr>
          <w:p>
            <w:r>
              <w:t>Internal Models Approach</w:t>
            </w:r>
          </w:p>
        </w:tc>
        <w:tc>
          <w:tcPr>
            <w:tcW w:type="dxa" w:w="2880"/>
          </w:tcPr>
          <w:p>
            <w:r>
              <w:t>Bank-specific models using Expected Shortfall (MAR31-33)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ES</w:t>
            </w:r>
          </w:p>
        </w:tc>
        <w:tc>
          <w:tcPr>
            <w:tcW w:type="dxa" w:w="2880"/>
          </w:tcPr>
          <w:p>
            <w:r>
              <w:t>Expected Shortfall</w:t>
            </w:r>
          </w:p>
        </w:tc>
        <w:tc>
          <w:tcPr>
            <w:tcW w:type="dxa" w:w="2880"/>
          </w:tcPr>
          <w:p>
            <w:r>
              <w:t>Average loss in the tail beyond 97.5% VaR; ES_{97.5%} = E[Loss | Loss &gt; VaR_{97.5%}]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VaR</w:t>
            </w:r>
          </w:p>
        </w:tc>
        <w:tc>
          <w:tcPr>
            <w:tcW w:type="dxa" w:w="2880"/>
          </w:tcPr>
          <w:p>
            <w:r>
              <w:t>Value-at-Risk</w:t>
            </w:r>
          </w:p>
        </w:tc>
        <w:tc>
          <w:tcPr>
            <w:tcW w:type="dxa" w:w="2880"/>
          </w:tcPr>
          <w:p>
            <w:r>
              <w:t>Quantile-based risk measure; replaced by ES in FRTB due to sub-additivity concerns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DRC</w:t>
            </w:r>
          </w:p>
        </w:tc>
        <w:tc>
          <w:tcPr>
            <w:tcW w:type="dxa" w:w="2880"/>
          </w:tcPr>
          <w:p>
            <w:r>
              <w:t>Default Risk Charge</w:t>
            </w:r>
          </w:p>
        </w:tc>
        <w:tc>
          <w:tcPr>
            <w:tcW w:type="dxa" w:w="2880"/>
          </w:tcPr>
          <w:p>
            <w:r>
              <w:t>Capital for jump-to-default and credit migration risk (MAR22)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RRAO</w:t>
            </w:r>
          </w:p>
        </w:tc>
        <w:tc>
          <w:tcPr>
            <w:tcW w:type="dxa" w:w="2880"/>
          </w:tcPr>
          <w:p>
            <w:r>
              <w:t>Residual Risk Add-On</w:t>
            </w:r>
          </w:p>
        </w:tc>
        <w:tc>
          <w:tcPr>
            <w:tcW w:type="dxa" w:w="2880"/>
          </w:tcPr>
          <w:p>
            <w:r>
              <w:t>Capital for exotic risks not captured in sensitivity framework (MAR23.5)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GIRR</w:t>
            </w:r>
          </w:p>
        </w:tc>
        <w:tc>
          <w:tcPr>
            <w:tcW w:type="dxa" w:w="2880"/>
          </w:tcPr>
          <w:p>
            <w:r>
              <w:t>General Interest Rate Risk</w:t>
            </w:r>
          </w:p>
        </w:tc>
        <w:tc>
          <w:tcPr>
            <w:tcW w:type="dxa" w:w="2880"/>
          </w:tcPr>
          <w:p>
            <w:r>
              <w:t>MAR21 risk class covering yield curve, inflation, basis risks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CSR</w:t>
            </w:r>
          </w:p>
        </w:tc>
        <w:tc>
          <w:tcPr>
            <w:tcW w:type="dxa" w:w="2880"/>
          </w:tcPr>
          <w:p>
            <w:r>
              <w:t>Credit Spread Risk</w:t>
            </w:r>
          </w:p>
        </w:tc>
        <w:tc>
          <w:tcPr>
            <w:tcW w:type="dxa" w:w="2880"/>
          </w:tcPr>
          <w:p>
            <w:r>
              <w:t>MAR21 risk class: CSR_NS (non-securitization), CSR_SEC, CSR_CTP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CSR_NS</w:t>
            </w:r>
          </w:p>
        </w:tc>
        <w:tc>
          <w:tcPr>
            <w:tcW w:type="dxa" w:w="2880"/>
          </w:tcPr>
          <w:p>
            <w:r>
              <w:t>Credit Spread Risk - Non-Securitization</w:t>
            </w:r>
          </w:p>
        </w:tc>
        <w:tc>
          <w:tcPr>
            <w:tcW w:type="dxa" w:w="2880"/>
          </w:tcPr>
          <w:p>
            <w:r>
              <w:t>Sovereign and corporate bonds/CDS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CSR_SEC</w:t>
            </w:r>
          </w:p>
        </w:tc>
        <w:tc>
          <w:tcPr>
            <w:tcW w:type="dxa" w:w="2880"/>
          </w:tcPr>
          <w:p>
            <w:r>
              <w:t>Credit Spread Risk - Securitization</w:t>
            </w:r>
          </w:p>
        </w:tc>
        <w:tc>
          <w:tcPr>
            <w:tcW w:type="dxa" w:w="2880"/>
          </w:tcPr>
          <w:p>
            <w:r>
              <w:t>RMBS, CMBS, ABS, CLO tranches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CSR_CTP</w:t>
            </w:r>
          </w:p>
        </w:tc>
        <w:tc>
          <w:tcPr>
            <w:tcW w:type="dxa" w:w="2880"/>
          </w:tcPr>
          <w:p>
            <w:r>
              <w:t>Credit Spread Risk - Correlation Trading Portfolio</w:t>
            </w:r>
          </w:p>
        </w:tc>
        <w:tc>
          <w:tcPr>
            <w:tcW w:type="dxa" w:w="2880"/>
          </w:tcPr>
          <w:p>
            <w:r>
              <w:t>CDX/iTraxx index tranches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NMRF</w:t>
            </w:r>
          </w:p>
        </w:tc>
        <w:tc>
          <w:tcPr>
            <w:tcW w:type="dxa" w:w="2880"/>
          </w:tcPr>
          <w:p>
            <w:r>
              <w:t>Non-Modellable Risk Factor</w:t>
            </w:r>
          </w:p>
        </w:tc>
        <w:tc>
          <w:tcPr>
            <w:tcW w:type="dxa" w:w="2880"/>
          </w:tcPr>
          <w:p>
            <w:r>
              <w:t>Risk factor failing modellability test (insufficient data); MAR31.14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P&amp;L Attribution</w:t>
            </w:r>
          </w:p>
        </w:tc>
        <w:tc>
          <w:tcPr>
            <w:tcW w:type="dxa" w:w="2880"/>
          </w:tcPr>
          <w:p>
            <w:r>
              <w:t>Profit and Loss Attribution</w:t>
            </w:r>
          </w:p>
        </w:tc>
        <w:tc>
          <w:tcPr>
            <w:tcW w:type="dxa" w:w="2880"/>
          </w:tcPr>
          <w:p>
            <w:r>
              <w:t>MAR32 test comparing theoretical vs. actual P&amp;L; eligibility criterion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IMCC</w:t>
            </w:r>
          </w:p>
        </w:tc>
        <w:tc>
          <w:tcPr>
            <w:tcW w:type="dxa" w:w="2880"/>
          </w:tcPr>
          <w:p>
            <w:r>
              <w:t>Internal Model Capital Charge</w:t>
            </w:r>
          </w:p>
        </w:tc>
        <w:tc>
          <w:tcPr>
            <w:tcW w:type="dxa" w:w="2880"/>
          </w:tcPr>
          <w:p>
            <w:r>
              <w:t>ES capital from IMA; used in 60-day averaging (MAR33.8)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RW</w:t>
            </w:r>
          </w:p>
        </w:tc>
        <w:tc>
          <w:tcPr>
            <w:tcW w:type="dxa" w:w="2880"/>
          </w:tcPr>
          <w:p>
            <w:r>
              <w:t>Risk Weight</w:t>
            </w:r>
          </w:p>
        </w:tc>
        <w:tc>
          <w:tcPr>
            <w:tcW w:type="dxa" w:w="2880"/>
          </w:tcPr>
          <w:p>
            <w:r>
              <w:t>Prescribed sensitivity shock per MAR21.44-96; e.g., 1.7% for 3m GIRR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WS</w:t>
            </w:r>
          </w:p>
        </w:tc>
        <w:tc>
          <w:tcPr>
            <w:tcW w:type="dxa" w:w="2880"/>
          </w:tcPr>
          <w:p>
            <w:r>
              <w:t>Weighted Sensitivity</w:t>
            </w:r>
          </w:p>
        </w:tc>
        <w:tc>
          <w:tcPr>
            <w:tcW w:type="dxa" w:w="2880"/>
          </w:tcPr>
          <w:p>
            <w:r>
              <w:t>Net sensitivity × risk weight; WS = s × RW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ρ (rho)</w:t>
            </w:r>
          </w:p>
        </w:tc>
        <w:tc>
          <w:tcPr>
            <w:tcW w:type="dxa" w:w="2880"/>
          </w:tcPr>
          <w:p>
            <w:r>
              <w:t>Intra-bucket correlation</w:t>
            </w:r>
          </w:p>
        </w:tc>
        <w:tc>
          <w:tcPr>
            <w:tcW w:type="dxa" w:w="2880"/>
          </w:tcPr>
          <w:p>
            <w:r>
              <w:t>Correlation between risk factors within same bucket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γ (gamma)</w:t>
            </w:r>
          </w:p>
        </w:tc>
        <w:tc>
          <w:tcPr>
            <w:tcW w:type="dxa" w:w="2880"/>
          </w:tcPr>
          <w:p>
            <w:r>
              <w:t>Inter-bucket correlation</w:t>
            </w:r>
          </w:p>
        </w:tc>
        <w:tc>
          <w:tcPr>
            <w:tcW w:type="dxa" w:w="2880"/>
          </w:tcPr>
          <w:p>
            <w:r>
              <w:t>Correlation across different buckets or risk classes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Curvature (CVR)</w:t>
            </w:r>
          </w:p>
        </w:tc>
        <w:tc>
          <w:tcPr>
            <w:tcW w:type="dxa" w:w="2880"/>
          </w:tcPr>
          <w:p>
            <w:r>
              <w:t>Curvature Risk</w:t>
            </w:r>
          </w:p>
        </w:tc>
        <w:tc>
          <w:tcPr>
            <w:tcW w:type="dxa" w:w="2880"/>
          </w:tcPr>
          <w:p>
            <w:r>
              <w:t>Gamma/convexity risk; incremental loss from non-linearity (MAR21.8)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Liquidity Horizon (LH)</w:t>
            </w:r>
          </w:p>
        </w:tc>
        <w:tc>
          <w:tcPr>
            <w:tcW w:type="dxa" w:w="2880"/>
          </w:tcPr>
          <w:p>
            <w:r>
              <w:t>Liquidity Horizon</w:t>
            </w:r>
          </w:p>
        </w:tc>
        <w:tc>
          <w:tcPr>
            <w:tcW w:type="dxa" w:w="2880"/>
          </w:tcPr>
          <w:p>
            <w:r>
              <w:t>Time required to exit or hedge position; MAR33 Table 1 (10-120 days)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Stressed ES</w:t>
            </w:r>
          </w:p>
        </w:tc>
        <w:tc>
          <w:tcPr>
            <w:tcW w:type="dxa" w:w="2880"/>
          </w:tcPr>
          <w:p>
            <w:r>
              <w:t>Stressed Expected Shortfall</w:t>
            </w:r>
          </w:p>
        </w:tc>
        <w:tc>
          <w:tcPr>
            <w:tcW w:type="dxa" w:w="2880"/>
          </w:tcPr>
          <w:p>
            <w:r>
              <w:t>ES calibrated to 12-month stress period; MAR33.6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mc</w:t>
            </w:r>
          </w:p>
        </w:tc>
        <w:tc>
          <w:tcPr>
            <w:tcW w:type="dxa" w:w="2880"/>
          </w:tcPr>
          <w:p>
            <w:r>
              <w:t>IMA Multiplier</w:t>
            </w:r>
          </w:p>
        </w:tc>
        <w:tc>
          <w:tcPr>
            <w:tcW w:type="dxa" w:w="2880"/>
          </w:tcPr>
          <w:p>
            <w:r>
              <w:t>Backtesting add-on; mc = 1.5 + addon (MAR33.9); ranges 1.5-2.0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Backtesting Exception</w:t>
            </w:r>
          </w:p>
        </w:tc>
        <w:tc>
          <w:tcPr>
            <w:tcW w:type="dxa" w:w="2880"/>
          </w:tcPr>
          <w:p>
            <w:r>
              <w:t>Backtesting Exception</w:t>
            </w:r>
          </w:p>
        </w:tc>
        <w:tc>
          <w:tcPr>
            <w:tcW w:type="dxa" w:w="2880"/>
          </w:tcPr>
          <w:p>
            <w:r>
              <w:t>Day when actual loss exceeds VaR forecast; triggers mc increase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Green Zone</w:t>
            </w:r>
          </w:p>
        </w:tc>
        <w:tc>
          <w:tcPr>
            <w:tcW w:type="dxa" w:w="2880"/>
          </w:tcPr>
          <w:p>
            <w:r>
              <w:t>Green Zone</w:t>
            </w:r>
          </w:p>
        </w:tc>
        <w:tc>
          <w:tcPr>
            <w:tcW w:type="dxa" w:w="2880"/>
          </w:tcPr>
          <w:p>
            <w:r>
              <w:t>0-4 exceptions in 250 days; mc = 1.5 (no add-on)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Amber Zone</w:t>
            </w:r>
          </w:p>
        </w:tc>
        <w:tc>
          <w:tcPr>
            <w:tcW w:type="dxa" w:w="2880"/>
          </w:tcPr>
          <w:p>
            <w:r>
              <w:t>Amber Zone</w:t>
            </w:r>
          </w:p>
        </w:tc>
        <w:tc>
          <w:tcPr>
            <w:tcW w:type="dxa" w:w="2880"/>
          </w:tcPr>
          <w:p>
            <w:r>
              <w:t>5-9 exceptions; mc = 1.7-1.92 (graduated add-ons)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Red Zone</w:t>
            </w:r>
          </w:p>
        </w:tc>
        <w:tc>
          <w:tcPr>
            <w:tcW w:type="dxa" w:w="2880"/>
          </w:tcPr>
          <w:p>
            <w:r>
              <w:t>Red Zone</w:t>
            </w:r>
          </w:p>
        </w:tc>
        <w:tc>
          <w:tcPr>
            <w:tcW w:type="dxa" w:w="2880"/>
          </w:tcPr>
          <w:p>
            <w:r>
              <w:t>10+ exceptions; mc = 2.0; model revocation risk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ICAAP</w:t>
            </w:r>
          </w:p>
        </w:tc>
        <w:tc>
          <w:tcPr>
            <w:tcW w:type="dxa" w:w="2880"/>
          </w:tcPr>
          <w:p>
            <w:r>
              <w:t>Internal Capital Adequacy Assessment Process</w:t>
            </w:r>
          </w:p>
        </w:tc>
        <w:tc>
          <w:tcPr>
            <w:tcW w:type="dxa" w:w="2880"/>
          </w:tcPr>
          <w:p>
            <w:r>
              <w:t>Pillar 2 framework; banks' own capital assessment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Pillar 1</w:t>
            </w:r>
          </w:p>
        </w:tc>
        <w:tc>
          <w:tcPr>
            <w:tcW w:type="dxa" w:w="2880"/>
          </w:tcPr>
          <w:p>
            <w:r>
              <w:t>Pillar 1 (Minimum Capital)</w:t>
            </w:r>
          </w:p>
        </w:tc>
        <w:tc>
          <w:tcPr>
            <w:tcW w:type="dxa" w:w="2880"/>
          </w:tcPr>
          <w:p>
            <w:r>
              <w:t>Regulatory minimum per standardized formulas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Pillar 2</w:t>
            </w:r>
          </w:p>
        </w:tc>
        <w:tc>
          <w:tcPr>
            <w:tcW w:type="dxa" w:w="2880"/>
          </w:tcPr>
          <w:p>
            <w:r>
              <w:t>Pillar 2 (Supervisory Review)</w:t>
            </w:r>
          </w:p>
        </w:tc>
        <w:tc>
          <w:tcPr>
            <w:tcW w:type="dxa" w:w="2880"/>
          </w:tcPr>
          <w:p>
            <w:r>
              <w:t>Internal models and stress testing; ICAAP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MAR</w:t>
            </w:r>
          </w:p>
        </w:tc>
        <w:tc>
          <w:tcPr>
            <w:tcW w:type="dxa" w:w="2880"/>
          </w:tcPr>
          <w:p>
            <w:r>
              <w:t>Minimum Capital Requirements for Market Risk</w:t>
            </w:r>
          </w:p>
        </w:tc>
        <w:tc>
          <w:tcPr>
            <w:tcW w:type="dxa" w:w="2880"/>
          </w:tcPr>
          <w:p>
            <w:r>
              <w:t>Basel III market risk standards (MAR10-99)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BCBS</w:t>
            </w:r>
          </w:p>
        </w:tc>
        <w:tc>
          <w:tcPr>
            <w:tcW w:type="dxa" w:w="2880"/>
          </w:tcPr>
          <w:p>
            <w:r>
              <w:t>Basel Committee on Banking Supervision</w:t>
            </w:r>
          </w:p>
        </w:tc>
        <w:tc>
          <w:tcPr>
            <w:tcW w:type="dxa" w:w="2880"/>
          </w:tcPr>
          <w:p>
            <w:r>
              <w:t>International regulatory body; sets global banking standards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9. References and Standards</w:t>
      </w:r>
    </w:p>
    <w:p>
      <w:pPr>
        <w:pStyle w:val="Heading2"/>
      </w:pPr>
      <w:r>
        <w:t>9.1 Regulatory Documents</w:t>
      </w:r>
    </w:p>
    <w:p>
      <w:pPr>
        <w:pStyle w:val="ListBullet"/>
      </w:pPr>
      <w:r>
        <w:t>Basel Committee on Banking Supervision (2019). "Minimum capital requirements for market risk." Bank for International Settlements. (MAR10-99)</w:t>
      </w:r>
    </w:p>
    <w:p>
      <w:pPr>
        <w:pStyle w:val="ListBullet"/>
      </w:pPr>
      <w:r>
        <w:t>Basel Committee on Banking Supervision (2016). "Standards: Minimum capital requirements for market risk." (Original FRTB publication)</w:t>
      </w:r>
    </w:p>
    <w:p>
      <w:pPr>
        <w:pStyle w:val="ListBullet"/>
      </w:pPr>
      <w:r>
        <w:t>Basel Committee on Banking Supervision (2013). "Fundamental review of the trading book: A revised market risk framework." Consultative Document.</w:t>
      </w:r>
    </w:p>
    <w:p>
      <w:pPr>
        <w:pStyle w:val="ListBullet"/>
      </w:pPr>
      <w:r>
        <w:t>European Banking Authority (2020). "Guidelines on the specification of the nature, severity and duration of an economic downturn." (EBA/GL/2020/03)</w:t>
      </w:r>
    </w:p>
    <w:p>
      <w:pPr>
        <w:pStyle w:val="ListBullet"/>
      </w:pPr>
      <w:r>
        <w:t>Bank of England (2021). "The Internal Model Approval Process." Prudential Regulation Authority.</w:t>
      </w:r>
    </w:p>
    <w:p>
      <w:pPr>
        <w:pStyle w:val="Heading2"/>
      </w:pPr>
      <w:r>
        <w:t>9.2 Academic Literature</w:t>
      </w:r>
    </w:p>
    <w:p>
      <w:pPr>
        <w:pStyle w:val="ListBullet"/>
      </w:pPr>
      <w:r>
        <w:t>Christensen, B. J., &amp; Prabhala, N. R. (1998). "The relation between implied and realized volatility." Journal of Financial Economics, 50(2), 125-150.</w:t>
      </w:r>
    </w:p>
    <w:p>
      <w:pPr>
        <w:pStyle w:val="ListBullet"/>
      </w:pPr>
      <w:r>
        <w:t>Forbes, K. J., &amp; Rigobon, R. (2002). "No contagion, only interdependence: measuring stock market comovements." The Journal of Finance, 57(5), 2223-2261.</w:t>
      </w:r>
    </w:p>
    <w:p>
      <w:pPr>
        <w:pStyle w:val="ListBullet"/>
      </w:pPr>
      <w:r>
        <w:t>Gilchrist, S., &amp; Zakrajšek, E. (2012). "Credit spreads and business cycle fluctuations." American Economic Review, 102(4), 1692-1720.</w:t>
      </w:r>
    </w:p>
    <w:p>
      <w:pPr>
        <w:pStyle w:val="ListBullet"/>
      </w:pPr>
      <w:r>
        <w:t>Gordy, M. B., &amp; Howells, B. (2006). "Procyclicality in Basel II: Can we treat the disease without killing the patient?" Journal of Financial Intermediation, 15(3), 395-417.</w:t>
      </w:r>
    </w:p>
    <w:p>
      <w:pPr>
        <w:pStyle w:val="ListBullet"/>
      </w:pPr>
      <w:r>
        <w:t>Whaley, R. E. (2000). "The investor fear gauge." Journal of Portfolio Management, 26(3), 12-17.</w:t>
      </w:r>
    </w:p>
    <w:p>
      <w:pPr>
        <w:pStyle w:val="Heading2"/>
      </w:pPr>
      <w:r>
        <w:t>9.3 Data Sources</w:t>
      </w:r>
    </w:p>
    <w:p>
      <w:pPr>
        <w:pStyle w:val="ListBullet"/>
      </w:pPr>
      <w:r>
        <w:t>Federal Reserve Economic Data (FRED). Federal Reserve Bank of St. Louis. https://fred.stlouisfed.org</w:t>
      </w:r>
    </w:p>
    <w:p>
      <w:pPr>
        <w:pStyle w:val="ListBullet"/>
      </w:pPr>
      <w:r>
        <w:t>Bloomberg L.P. Bloomberg Terminal and Server API (BSAPI). https://www.bloomberg.com/professional/support/api-library/</w:t>
      </w:r>
    </w:p>
    <w:p>
      <w:pPr>
        <w:pStyle w:val="ListBullet"/>
      </w:pPr>
      <w:r>
        <w:t>Refinitiv / LSEG. Refinitiv Data Library for Python. https://developers.refinitiv.com/</w:t>
      </w:r>
    </w:p>
    <w:p>
      <w:pPr>
        <w:pStyle w:val="ListBullet"/>
      </w:pPr>
      <w:r>
        <w:t>yfinance Python Library. Yahoo Finance market data wrapper. https://github.com/ranaroussi/yfinance</w:t>
      </w:r>
    </w:p>
    <w:p>
      <w:pPr>
        <w:pStyle w:val="ListBullet"/>
      </w:pPr>
      <w:r>
        <w:t>CBOE Global Markets. VIX Index Methodology. https://www.cboe.com/tradable_products/vix/</w:t>
      </w:r>
    </w:p>
    <w:p>
      <w:r>
        <w:br w:type="page"/>
      </w:r>
    </w:p>
    <w:p>
      <w:pPr>
        <w:pStyle w:val="Heading1"/>
      </w:pPr>
      <w:r>
        <w:rPr>
          <w:color w:val="003366"/>
        </w:rPr>
        <w:t>10. Document Control</w:t>
      </w:r>
    </w:p>
    <w:p>
      <w:pPr>
        <w:pStyle w:val="Heading2"/>
      </w:pPr>
      <w:r>
        <w:t>10.1 Version 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Author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Changes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April 7, 2026</w:t>
            </w:r>
          </w:p>
        </w:tc>
        <w:tc>
          <w:tcPr>
            <w:tcW w:type="dxa" w:w="2160"/>
          </w:tcPr>
          <w:p>
            <w:r>
              <w:t>Initial release</w:t>
            </w:r>
          </w:p>
        </w:tc>
        <w:tc>
          <w:tcPr>
            <w:tcW w:type="dxa" w:w="2160"/>
          </w:tcPr>
          <w:p>
            <w:r>
              <w:t>Comprehensive FRD covering all FRTB components</w:t>
            </w:r>
          </w:p>
        </w:tc>
      </w:tr>
    </w:tbl>
    <w:p/>
    <w:p>
      <w:pPr>
        <w:pStyle w:val="Heading2"/>
      </w:pPr>
      <w:r>
        <w:t>10.2 Review and Approval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Date / Status</w:t>
            </w:r>
          </w:p>
        </w:tc>
      </w:tr>
      <w:tr>
        <w:tc>
          <w:tcPr>
            <w:tcW w:type="dxa" w:w="2880"/>
          </w:tcPr>
          <w:p>
            <w:r>
              <w:t>Prepared by:</w:t>
            </w:r>
          </w:p>
        </w:tc>
        <w:tc>
          <w:tcPr>
            <w:tcW w:type="dxa" w:w="2880"/>
          </w:tcPr>
          <w:p>
            <w:r>
              <w:t>Risk Technology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Reviewed by:</w:t>
            </w:r>
          </w:p>
        </w:tc>
        <w:tc>
          <w:tcPr>
            <w:tcW w:type="dxa" w:w="2880"/>
          </w:tcPr>
          <w:p>
            <w:r>
              <w:t>Market Risk Management</w:t>
            </w:r>
          </w:p>
        </w:tc>
        <w:tc>
          <w:tcPr>
            <w:tcW w:type="dxa" w:w="2880"/>
          </w:tcPr>
          <w:p>
            <w:r>
              <w:t>[Pending]</w:t>
            </w:r>
          </w:p>
        </w:tc>
      </w:tr>
      <w:tr>
        <w:tc>
          <w:tcPr>
            <w:tcW w:type="dxa" w:w="2880"/>
          </w:tcPr>
          <w:p>
            <w:r>
              <w:t>Approved by:</w:t>
            </w:r>
          </w:p>
        </w:tc>
        <w:tc>
          <w:tcPr>
            <w:tcW w:type="dxa" w:w="2880"/>
          </w:tcPr>
          <w:p>
            <w:r>
              <w:t>Chief Risk Officer</w:t>
            </w:r>
          </w:p>
        </w:tc>
        <w:tc>
          <w:tcPr>
            <w:tcW w:type="dxa" w:w="2880"/>
          </w:tcPr>
          <w:p>
            <w:r>
              <w:t>[Pending]</w:t>
            </w:r>
          </w:p>
        </w:tc>
      </w:tr>
      <w:tr>
        <w:tc>
          <w:tcPr>
            <w:tcW w:type="dxa" w:w="2880"/>
          </w:tcPr>
          <w:p>
            <w:r>
              <w:t>Next Review Date:</w:t>
            </w:r>
          </w:p>
        </w:tc>
        <w:tc>
          <w:tcPr>
            <w:tcW w:type="dxa" w:w="2880"/>
          </w:tcPr>
          <w:p>
            <w:r>
              <w:t>October 2026</w:t>
            </w:r>
          </w:p>
        </w:tc>
        <w:tc>
          <w:tcPr>
            <w:tcW w:type="dxa" w:w="2880"/>
          </w:tcPr>
          <w:p>
            <w:r>
              <w:t>(6-month cycle)</w:t>
            </w:r>
          </w:p>
        </w:tc>
      </w:tr>
    </w:tbl>
    <w:p/>
    <w:p>
      <w:pPr>
        <w:pStyle w:val="Heading2"/>
      </w:pPr>
      <w:r>
        <w:t>10.3 Distribution</w:t>
      </w:r>
    </w:p>
    <w:p>
      <w:r>
        <w:t>This document is distributed to:</w:t>
      </w:r>
    </w:p>
    <w:p>
      <w:pPr>
        <w:pStyle w:val="ListBullet"/>
      </w:pPr>
      <w:r>
        <w:t>• Market Risk Management</w:t>
      </w:r>
    </w:p>
    <w:p>
      <w:pPr>
        <w:pStyle w:val="ListBullet"/>
      </w:pPr>
      <w:r>
        <w:t>• Trading Desk Heads</w:t>
      </w:r>
    </w:p>
    <w:p>
      <w:pPr>
        <w:pStyle w:val="ListBullet"/>
      </w:pPr>
      <w:r>
        <w:t>• Risk Technology / Quantitative Development</w:t>
      </w:r>
    </w:p>
    <w:p>
      <w:pPr>
        <w:pStyle w:val="ListBullet"/>
      </w:pPr>
      <w:r>
        <w:t>• Internal Audit</w:t>
      </w:r>
    </w:p>
    <w:p>
      <w:pPr>
        <w:pStyle w:val="ListBullet"/>
      </w:pPr>
      <w:r>
        <w:t>• Model Validation Group</w:t>
      </w:r>
    </w:p>
    <w:p>
      <w:pPr>
        <w:pStyle w:val="ListBullet"/>
      </w:pPr>
      <w:r>
        <w:t>• Regulatory Reporting</w:t>
      </w:r>
    </w:p>
    <w:p>
      <w:pPr>
        <w:pStyle w:val="Heading2"/>
      </w:pPr>
      <w:r>
        <w:t>10.4 Related Documents</w:t>
      </w:r>
    </w:p>
    <w:p>
      <w:r>
        <w:t>• FRTB Model Validation Report (separate document)</w:t>
      </w:r>
    </w:p>
    <w:p>
      <w:r>
        <w:t>• P&amp;L Attribution Test Results (MAR32 compliance)</w:t>
      </w:r>
    </w:p>
    <w:p>
      <w:r>
        <w:t>• Backtesting Report (MAR99 quarterly submission)</w:t>
      </w:r>
    </w:p>
    <w:p>
      <w:r>
        <w:t>• FRTB Market Data Enhancement Specification (April 2026)</w:t>
      </w:r>
    </w:p>
    <w:p>
      <w:r>
        <w:t>• ICAAP Stress Testing Framework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