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jc w:val="center"/>
      </w:pPr>
      <w:r>
        <w:rPr>
          <w:rFonts w:ascii="Calibri" w:hAnsi="Calibri"/>
          <w:b/>
          <w:color w:val="1E2A3A"/>
          <w:sz w:val="72"/>
        </w:rPr>
        <w:t>PROMETHEUS</w:t>
      </w:r>
    </w:p>
    <w:p>
      <w:pPr>
        <w:jc w:val="center"/>
      </w:pPr>
      <w:r>
        <w:rPr>
          <w:rFonts w:ascii="Calibri" w:hAnsi="Calibri"/>
          <w:b/>
          <w:color w:val="9B111E"/>
          <w:sz w:val="36"/>
        </w:rPr>
        <w:t>RISK MANAGEMENT PLATFORM</w:t>
      </w:r>
    </w:p>
    <w:p/>
    <w:p>
      <w:pPr>
        <w:pBdr>
          <w:bottom w:val="single" w:sz="6" w:space="1" w:color="9B111E"/>
        </w:pBdr>
        <w:spacing w:before="0" w:after="120"/>
      </w:pPr>
    </w:p>
    <w:p/>
    <w:p>
      <w:pPr>
        <w:jc w:val="center"/>
      </w:pPr>
      <w:r>
        <w:rPr>
          <w:rFonts w:ascii="Calibri" w:hAnsi="Calibri"/>
          <w:color w:val="1E2A3A"/>
          <w:sz w:val="32"/>
        </w:rPr>
        <w:t>Internal Models Method (IMM) — Technical Reference Guide</w:t>
      </w:r>
    </w:p>
    <w:p/>
    <w:p>
      <w:pPr>
        <w:jc w:val="center"/>
      </w:pPr>
      <w:r>
        <w:rPr>
          <w:rFonts w:ascii="Calibri" w:hAnsi="Calibri"/>
          <w:color w:val="4A5A6A"/>
          <w:sz w:val="26"/>
        </w:rPr>
        <w:t>EPE, EEPE &amp; All Functional Terms</w:t>
      </w:r>
    </w:p>
    <w:p/>
    <w:tbl>
      <w:tblPr>
        <w:tblW w:type="auto" w:w="0"/>
        <w:jc w:val="center"/>
        <w:tblLook w:firstColumn="1" w:firstRow="1" w:lastColumn="0" w:lastRow="0" w:noHBand="0" w:noVBand="1" w:val="04A0"/>
      </w:tblPr>
      <w:tblGrid>
        <w:gridCol w:w="4370"/>
        <w:gridCol w:w="4370"/>
      </w:tblGrid>
      <w:tr>
        <w:tc>
          <w:tcPr>
            <w:tcW w:type="dxa" w:w="3168"/>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0"/>
              </w:rPr>
              <w:t>Document Reference</w:t>
            </w:r>
          </w:p>
        </w:tc>
        <w:tc>
          <w:tcPr>
            <w:tcW w:type="dxa" w:w="5472"/>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color w:val="1E2A3A"/>
                <w:sz w:val="20"/>
              </w:rPr>
              <w:t>PROMETHEUS-IMM-TRG-v1.0</w:t>
            </w:r>
          </w:p>
        </w:tc>
      </w:tr>
      <w:tr>
        <w:tc>
          <w:tcPr>
            <w:tcW w:type="dxa" w:w="3168"/>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0"/>
              </w:rPr>
              <w:t>Version</w:t>
            </w:r>
          </w:p>
        </w:tc>
        <w:tc>
          <w:tcPr>
            <w:tcW w:type="dxa" w:w="5472"/>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color w:val="1E2A3A"/>
                <w:sz w:val="20"/>
              </w:rPr>
              <w:t>1.0</w:t>
            </w:r>
          </w:p>
        </w:tc>
      </w:tr>
      <w:tr>
        <w:tc>
          <w:tcPr>
            <w:tcW w:type="dxa" w:w="3168"/>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0"/>
              </w:rPr>
              <w:t>Date</w:t>
            </w:r>
          </w:p>
        </w:tc>
        <w:tc>
          <w:tcPr>
            <w:tcW w:type="dxa" w:w="5472"/>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color w:val="1E2A3A"/>
                <w:sz w:val="20"/>
              </w:rPr>
              <w:t>April 2026</w:t>
            </w:r>
          </w:p>
        </w:tc>
      </w:tr>
      <w:tr>
        <w:tc>
          <w:tcPr>
            <w:tcW w:type="dxa" w:w="3168"/>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0"/>
              </w:rPr>
              <w:t>Regulatory Basis</w:t>
            </w:r>
          </w:p>
        </w:tc>
        <w:tc>
          <w:tcPr>
            <w:tcW w:type="dxa" w:w="5472"/>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color w:val="1E2A3A"/>
                <w:sz w:val="20"/>
              </w:rPr>
              <w:t>Basel III CRE53 (effective January 2023)</w:t>
            </w:r>
          </w:p>
        </w:tc>
      </w:tr>
      <w:tr>
        <w:tc>
          <w:tcPr>
            <w:tcW w:type="dxa" w:w="3168"/>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0"/>
              </w:rPr>
              <w:t>Engine File</w:t>
            </w:r>
          </w:p>
        </w:tc>
        <w:tc>
          <w:tcPr>
            <w:tcW w:type="dxa" w:w="5472"/>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color w:val="1E2A3A"/>
                <w:sz w:val="20"/>
              </w:rPr>
              <w:t>backend/engines/imm.py</w:t>
            </w:r>
          </w:p>
        </w:tc>
      </w:tr>
      <w:tr>
        <w:tc>
          <w:tcPr>
            <w:tcW w:type="dxa" w:w="3168"/>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0"/>
              </w:rPr>
              <w:t>Classification</w:t>
            </w:r>
          </w:p>
        </w:tc>
        <w:tc>
          <w:tcPr>
            <w:tcW w:type="dxa" w:w="5472"/>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color w:val="1E2A3A"/>
                <w:sz w:val="20"/>
              </w:rPr>
              <w:t>Internal Use — Confidential</w:t>
            </w:r>
          </w:p>
        </w:tc>
      </w:tr>
      <w:tr>
        <w:tc>
          <w:tcPr>
            <w:tcW w:type="dxa" w:w="3168"/>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0"/>
              </w:rPr>
              <w:t>Status</w:t>
            </w:r>
          </w:p>
        </w:tc>
        <w:tc>
          <w:tcPr>
            <w:tcW w:type="dxa" w:w="5472"/>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color w:val="1E2A3A"/>
                <w:sz w:val="20"/>
              </w:rPr>
              <w:t>Final</w:t>
            </w:r>
          </w:p>
        </w:tc>
      </w:tr>
      <w:tr>
        <w:tc>
          <w:tcPr>
            <w:tcW w:type="dxa" w:w="3168"/>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0"/>
              </w:rPr>
              <w:t>Prepared By</w:t>
            </w:r>
          </w:p>
        </w:tc>
        <w:tc>
          <w:tcPr>
            <w:tcW w:type="dxa" w:w="5472"/>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color w:val="1E2A3A"/>
                <w:sz w:val="20"/>
              </w:rPr>
              <w:t>Risk Technology — Lead Developer</w:t>
            </w:r>
          </w:p>
        </w:tc>
      </w:tr>
    </w:tbl>
    <w:p>
      <w:r>
        <w:br w:type="page"/>
      </w:r>
    </w:p>
    <w:p>
      <w:pPr>
        <w:pStyle w:val="Heading2"/>
      </w:pPr>
      <w:r>
        <w:t>Table of Contents</w:t>
      </w:r>
    </w:p>
    <w:p>
      <w:pPr>
        <w:pStyle w:val="ListNumber"/>
        <w:spacing w:before="20" w:after="40"/>
        <w:ind w:left="360"/>
      </w:pPr>
      <w:r>
        <w:rPr>
          <w:color w:val="4A5A6A"/>
          <w:sz w:val="21"/>
        </w:rPr>
        <w:t>What Is IMM?</w:t>
      </w:r>
    </w:p>
    <w:p>
      <w:pPr>
        <w:pStyle w:val="ListNumber"/>
        <w:spacing w:before="20" w:after="40"/>
        <w:ind w:left="360"/>
      </w:pPr>
      <w:r>
        <w:rPr>
          <w:color w:val="4A5A6A"/>
          <w:sz w:val="21"/>
        </w:rPr>
        <w:t>The IMM Calculation Pipeline</w:t>
      </w:r>
    </w:p>
    <w:p>
      <w:pPr>
        <w:pStyle w:val="ListNumber"/>
        <w:spacing w:before="20" w:after="40"/>
        <w:ind w:left="360"/>
      </w:pPr>
      <w:r>
        <w:rPr>
          <w:color w:val="4A5A6A"/>
          <w:sz w:val="21"/>
        </w:rPr>
        <w:t>Monte Carlo Simulation Framework</w:t>
      </w:r>
    </w:p>
    <w:p>
      <w:pPr>
        <w:pStyle w:val="ListNumber"/>
        <w:spacing w:before="20" w:after="40"/>
        <w:ind w:left="360"/>
      </w:pPr>
      <w:r>
        <w:rPr>
          <w:color w:val="4A5A6A"/>
          <w:sz w:val="21"/>
        </w:rPr>
        <w:t>All Exposure Metrics — Definitions &amp; Formulas</w:t>
      </w:r>
    </w:p>
    <w:p>
      <w:pPr>
        <w:pStyle w:val="ListNumber"/>
        <w:spacing w:before="20" w:after="40"/>
        <w:ind w:left="360"/>
      </w:pPr>
      <w:r>
        <w:rPr>
          <w:color w:val="4A5A6A"/>
          <w:sz w:val="21"/>
        </w:rPr>
        <w:t>Stochastic Process Models</w:t>
      </w:r>
    </w:p>
    <w:p>
      <w:pPr>
        <w:pStyle w:val="ListNumber"/>
        <w:spacing w:before="20" w:after="40"/>
        <w:ind w:left="360"/>
      </w:pPr>
      <w:r>
        <w:rPr>
          <w:color w:val="4A5A6A"/>
          <w:sz w:val="21"/>
        </w:rPr>
        <w:t>Correlation &amp; Factor Model</w:t>
      </w:r>
    </w:p>
    <w:p>
      <w:pPr>
        <w:pStyle w:val="ListNumber"/>
        <w:spacing w:before="20" w:after="40"/>
        <w:ind w:left="360"/>
      </w:pPr>
      <w:r>
        <w:rPr>
          <w:color w:val="4A5A6A"/>
          <w:sz w:val="21"/>
        </w:rPr>
        <w:t>Stressed EEPE — 2007–2009 Calibration</w:t>
      </w:r>
    </w:p>
    <w:p>
      <w:pPr>
        <w:pStyle w:val="ListNumber"/>
        <w:spacing w:before="20" w:after="40"/>
        <w:ind w:left="360"/>
      </w:pPr>
      <w:r>
        <w:rPr>
          <w:color w:val="4A5A6A"/>
          <w:sz w:val="21"/>
        </w:rPr>
        <w:t>CSA / Collateral Adjustment</w:t>
      </w:r>
    </w:p>
    <w:p>
      <w:pPr>
        <w:pStyle w:val="ListNumber"/>
        <w:spacing w:before="20" w:after="40"/>
        <w:ind w:left="360"/>
      </w:pPr>
      <w:r>
        <w:rPr>
          <w:color w:val="4A5A6A"/>
          <w:sz w:val="21"/>
        </w:rPr>
        <w:t>Credit Valuation Adjustment (CVA)</w:t>
      </w:r>
    </w:p>
    <w:p>
      <w:pPr>
        <w:pStyle w:val="ListNumber"/>
        <w:spacing w:before="20" w:after="40"/>
        <w:ind w:left="360"/>
      </w:pPr>
      <w:r>
        <w:rPr>
          <w:color w:val="4A5A6A"/>
          <w:sz w:val="21"/>
        </w:rPr>
        <w:t>Dynamic Initial Margin (DIM)</w:t>
      </w:r>
    </w:p>
    <w:p>
      <w:pPr>
        <w:pStyle w:val="ListNumber"/>
        <w:spacing w:before="20" w:after="40"/>
        <w:ind w:left="360"/>
      </w:pPr>
      <w:r>
        <w:rPr>
          <w:color w:val="4A5A6A"/>
          <w:sz w:val="21"/>
        </w:rPr>
        <w:t>FRTB Counterparty Risk Add-On</w:t>
      </w:r>
    </w:p>
    <w:p>
      <w:pPr>
        <w:pStyle w:val="ListNumber"/>
        <w:spacing w:before="20" w:after="40"/>
        <w:ind w:left="360"/>
      </w:pPr>
      <w:r>
        <w:rPr>
          <w:color w:val="4A5A6A"/>
          <w:sz w:val="21"/>
        </w:rPr>
        <w:t>Sensitivity Analysis — Greeks</w:t>
      </w:r>
    </w:p>
    <w:p>
      <w:pPr>
        <w:pStyle w:val="ListNumber"/>
        <w:spacing w:before="20" w:after="40"/>
        <w:ind w:left="360"/>
      </w:pPr>
      <w:r>
        <w:rPr>
          <w:color w:val="4A5A6A"/>
          <w:sz w:val="21"/>
        </w:rPr>
        <w:t>Incremental &amp; Marginal Risk</w:t>
      </w:r>
    </w:p>
    <w:p>
      <w:pPr>
        <w:pStyle w:val="ListNumber"/>
        <w:spacing w:before="20" w:after="40"/>
        <w:ind w:left="360"/>
      </w:pPr>
      <w:r>
        <w:rPr>
          <w:color w:val="4A5A6A"/>
          <w:sz w:val="21"/>
        </w:rPr>
        <w:t>Stress Test Scenarios</w:t>
      </w:r>
    </w:p>
    <w:p>
      <w:pPr>
        <w:pStyle w:val="ListNumber"/>
        <w:spacing w:before="20" w:after="40"/>
        <w:ind w:left="360"/>
      </w:pPr>
      <w:r>
        <w:rPr>
          <w:color w:val="4A5A6A"/>
          <w:sz w:val="21"/>
        </w:rPr>
        <w:t>RWA Derivation</w:t>
      </w:r>
    </w:p>
    <w:p>
      <w:pPr>
        <w:pStyle w:val="ListNumber"/>
        <w:spacing w:before="20" w:after="40"/>
        <w:ind w:left="360"/>
      </w:pPr>
      <w:r>
        <w:rPr>
          <w:color w:val="4A5A6A"/>
          <w:sz w:val="21"/>
        </w:rPr>
        <w:t>Configuration Parameters</w:t>
      </w:r>
    </w:p>
    <w:p>
      <w:pPr>
        <w:pStyle w:val="ListNumber"/>
        <w:spacing w:before="20" w:after="40"/>
        <w:ind w:left="360"/>
      </w:pPr>
      <w:r>
        <w:rPr>
          <w:color w:val="4A5A6A"/>
          <w:sz w:val="21"/>
        </w:rPr>
        <w:t>Complete Glossary of All Terms</w:t>
      </w:r>
    </w:p>
    <w:p>
      <w:pPr>
        <w:pBdr>
          <w:bottom w:val="single" w:sz="6" w:space="1" w:color="9B111E"/>
        </w:pBdr>
        <w:spacing w:before="0" w:after="120"/>
      </w:pPr>
    </w:p>
    <w:p>
      <w:pPr>
        <w:pStyle w:val="Heading2"/>
      </w:pPr>
      <w:r>
        <w:t>1. What Is IMM?</w:t>
      </w:r>
    </w:p>
    <w:p>
      <w:pPr>
        <w:spacing w:before="40" w:after="80"/>
      </w:pPr>
      <w:r>
        <w:rPr>
          <w:color w:val="4A5A6A"/>
          <w:sz w:val="21"/>
        </w:rPr>
        <w:t xml:space="preserve">The </w:t>
      </w:r>
      <w:r>
        <w:rPr>
          <w:b/>
          <w:color w:val="4A5A6A"/>
          <w:sz w:val="21"/>
        </w:rPr>
        <w:t>Internal Models Method (IMM)</w:t>
      </w:r>
      <w:r>
        <w:rPr>
          <w:color w:val="4A5A6A"/>
          <w:sz w:val="21"/>
        </w:rPr>
        <w:t xml:space="preserve"> is the most advanced of the three Basel III approaches for computing </w:t>
      </w:r>
      <w:r>
        <w:rPr>
          <w:b/>
          <w:color w:val="4A5A6A"/>
          <w:sz w:val="21"/>
        </w:rPr>
        <w:t>Exposure at Default (EAD)</w:t>
      </w:r>
      <w:r>
        <w:rPr>
          <w:color w:val="4A5A6A"/>
          <w:sz w:val="21"/>
        </w:rPr>
        <w:t xml:space="preserve"> for OTC derivatives and securities financing transactions (SFTs). It replaces the simple SA-CCR look-up tables with a full Monte Carlo simulation of future market states.</w:t>
      </w:r>
    </w:p>
    <w:p>
      <w:pPr>
        <w:pStyle w:val="Heading3"/>
      </w:pPr>
      <w:r>
        <w:t>Why Banks Use IMM</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Approach</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EAD Method</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Capital Relief vs. SA-CCR</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Current Exposure Method (CEM)</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Notional × add-on factor</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None (legacy)</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SA-CCR</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RC + PFE (supervisory deltas)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Moderate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IMM</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α × EEPE (simulated)</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Highest — up to 40–60% lower capital</w:t>
            </w:r>
            <w:r>
              <w:rPr>
                <w:color w:val="4A5A6A"/>
                <w:sz w:val="19"/>
              </w:rPr>
            </w:r>
          </w:p>
        </w:tc>
      </w:tr>
    </w:tbl>
    <w:p/>
    <w:p>
      <w:pPr>
        <w:spacing w:before="40" w:after="80"/>
      </w:pPr>
      <w:r>
        <w:rPr>
          <w:color w:val="4A5A6A"/>
          <w:sz w:val="21"/>
        </w:rPr>
        <w:t>IMM approval requires explicit supervisory sign-off (CRE53.1–53.5). G-SIBs typically run IMM alongside SA-CCR for validation.</w:t>
      </w:r>
    </w:p>
    <w:p>
      <w:pPr>
        <w:pBdr>
          <w:bottom w:val="single" w:sz="6" w:space="1" w:color="9B111E"/>
        </w:pBdr>
        <w:spacing w:before="0" w:after="120"/>
      </w:pPr>
    </w:p>
    <w:p>
      <w:pPr>
        <w:pStyle w:val="Heading2"/>
      </w:pPr>
      <w:r>
        <w:t>2. The IMM Calculation Pipeline</w:t>
      </w:r>
    </w:p>
    <w:p>
      <w:pPr>
        <w:spacing w:before="40" w:after="80"/>
      </w:pPr>
      <w:r>
        <w:rPr>
          <w:color w:val="4A5A6A"/>
          <w:sz w:val="21"/>
        </w:rPr>
        <w:t>Every IMM run flows through these exact steps in the PROMETHEUS engine:</w:t>
      </w:r>
    </w:p>
    <w:p>
      <w:pPr>
        <w:spacing w:before="0" w:after="0"/>
        <w:ind w:left="432"/>
        <w:shd w:val="clear" w:color="auto" w:fill="F4F4F4"/>
      </w:pPr>
      <w:r>
        <w:rPr>
          <w:rFonts w:ascii="Courier New" w:hAnsi="Courier New"/>
          <w:color w:val="2D2D2D"/>
          <w:sz w:val="17"/>
        </w:rPr>
        <w:t>Trades (N instruments)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Step 1: Monte Carlo Path Generation        │</w:t>
      </w:r>
    </w:p>
    <w:p>
      <w:pPr>
        <w:spacing w:before="0" w:after="0"/>
        <w:ind w:left="432"/>
        <w:shd w:val="clear" w:color="auto" w:fill="F4F4F4"/>
      </w:pPr>
      <w:r>
        <w:rPr>
          <w:rFonts w:ascii="Courier New" w:hAnsi="Courier New"/>
          <w:color w:val="2D2D2D"/>
          <w:sz w:val="17"/>
        </w:rPr>
        <w:t>│   • GBM for EQ, FX, CMDTY                   │</w:t>
      </w:r>
    </w:p>
    <w:p>
      <w:pPr>
        <w:spacing w:before="0" w:after="0"/>
        <w:ind w:left="432"/>
        <w:shd w:val="clear" w:color="auto" w:fill="F4F4F4"/>
      </w:pPr>
      <w:r>
        <w:rPr>
          <w:rFonts w:ascii="Courier New" w:hAnsi="Courier New"/>
          <w:color w:val="2D2D2D"/>
          <w:sz w:val="17"/>
        </w:rPr>
        <w:t>│   • Hull-White 1F for IR                    │</w:t>
      </w:r>
    </w:p>
    <w:p>
      <w:pPr>
        <w:spacing w:before="0" w:after="0"/>
        <w:ind w:left="432"/>
        <w:shd w:val="clear" w:color="auto" w:fill="F4F4F4"/>
      </w:pPr>
      <w:r>
        <w:rPr>
          <w:rFonts w:ascii="Courier New" w:hAnsi="Courier New"/>
          <w:color w:val="2D2D2D"/>
          <w:sz w:val="17"/>
        </w:rPr>
        <w:t>│   • Antithetic variance reduction (2× paths)│</w:t>
      </w:r>
    </w:p>
    <w:p>
      <w:pPr>
        <w:spacing w:before="0" w:after="0"/>
        <w:ind w:left="432"/>
        <w:shd w:val="clear" w:color="auto" w:fill="F4F4F4"/>
      </w:pPr>
      <w:r>
        <w:rPr>
          <w:rFonts w:ascii="Courier New" w:hAnsi="Courier New"/>
          <w:color w:val="2D2D2D"/>
          <w:sz w:val="17"/>
        </w:rPr>
        <w:t>│   • Correlated draws via Cholesky factoring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  (N_eff × T) paths per risk factor</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Step 2: MtM Valuation at Each Time Step   │</w:t>
      </w:r>
    </w:p>
    <w:p>
      <w:pPr>
        <w:spacing w:before="0" w:after="0"/>
        <w:ind w:left="432"/>
        <w:shd w:val="clear" w:color="auto" w:fill="F4F4F4"/>
      </w:pPr>
      <w:r>
        <w:rPr>
          <w:rFonts w:ascii="Courier New" w:hAnsi="Courier New"/>
          <w:color w:val="2D2D2D"/>
          <w:sz w:val="17"/>
        </w:rPr>
        <w:t>│   • MtM(t) = notional × direction × Δprice │</w:t>
      </w:r>
    </w:p>
    <w:p>
      <w:pPr>
        <w:spacing w:before="0" w:after="0"/>
        <w:ind w:left="432"/>
        <w:shd w:val="clear" w:color="auto" w:fill="F4F4F4"/>
      </w:pPr>
      <w:r>
        <w:rPr>
          <w:rFonts w:ascii="Courier New" w:hAnsi="Courier New"/>
          <w:color w:val="2D2D2D"/>
          <w:sz w:val="17"/>
        </w:rPr>
        <w:t>│   • Bond pricing w/ convexity for IR trades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Step 3: Netting Set Aggregation           │</w:t>
      </w:r>
    </w:p>
    <w:p>
      <w:pPr>
        <w:spacing w:before="0" w:after="0"/>
        <w:ind w:left="432"/>
        <w:shd w:val="clear" w:color="auto" w:fill="F4F4F4"/>
      </w:pPr>
      <w:r>
        <w:rPr>
          <w:rFonts w:ascii="Courier New" w:hAnsi="Courier New"/>
          <w:color w:val="2D2D2D"/>
          <w:sz w:val="17"/>
        </w:rPr>
        <w:t>│   • Net MtM = Σ MtM(trade i) per scenario   │</w:t>
      </w:r>
    </w:p>
    <w:p>
      <w:pPr>
        <w:spacing w:before="0" w:after="0"/>
        <w:ind w:left="432"/>
        <w:shd w:val="clear" w:color="auto" w:fill="F4F4F4"/>
      </w:pPr>
      <w:r>
        <w:rPr>
          <w:rFonts w:ascii="Courier New" w:hAnsi="Courier New"/>
          <w:color w:val="2D2D2D"/>
          <w:sz w:val="17"/>
        </w:rPr>
        <w:t>│   • Exposure = max(Net MtM, 0)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  Exposure matrix: (N_eff × 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Step 4: Exposure Profile Construction     │</w:t>
      </w:r>
    </w:p>
    <w:p>
      <w:pPr>
        <w:spacing w:before="0" w:after="0"/>
        <w:ind w:left="432"/>
        <w:shd w:val="clear" w:color="auto" w:fill="F4F4F4"/>
      </w:pPr>
      <w:r>
        <w:rPr>
          <w:rFonts w:ascii="Courier New" w:hAnsi="Courier New"/>
          <w:color w:val="2D2D2D"/>
          <w:sz w:val="17"/>
        </w:rPr>
        <w:t>│   • EE(t)  = mean across scenarios          │</w:t>
      </w:r>
    </w:p>
    <w:p>
      <w:pPr>
        <w:spacing w:before="0" w:after="0"/>
        <w:ind w:left="432"/>
        <w:shd w:val="clear" w:color="auto" w:fill="F4F4F4"/>
      </w:pPr>
      <w:r>
        <w:rPr>
          <w:rFonts w:ascii="Courier New" w:hAnsi="Courier New"/>
          <w:color w:val="2D2D2D"/>
          <w:sz w:val="17"/>
        </w:rPr>
        <w:t>│   • EEE(t) = max(EE(t), EEE(t-1))          │  ← non-decreasing</w:t>
      </w:r>
    </w:p>
    <w:p>
      <w:pPr>
        <w:spacing w:before="0" w:after="0"/>
        <w:ind w:left="432"/>
        <w:shd w:val="clear" w:color="auto" w:fill="F4F4F4"/>
      </w:pPr>
      <w:r>
        <w:rPr>
          <w:rFonts w:ascii="Courier New" w:hAnsi="Courier New"/>
          <w:color w:val="2D2D2D"/>
          <w:sz w:val="17"/>
        </w:rPr>
        <w:t>│   • PFE(t) = 95th percentile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Step 5: Regulatory Metrics                │</w:t>
      </w:r>
    </w:p>
    <w:p>
      <w:pPr>
        <w:spacing w:before="0" w:after="0"/>
        <w:ind w:left="432"/>
        <w:shd w:val="clear" w:color="auto" w:fill="F4F4F4"/>
      </w:pPr>
      <w:r>
        <w:rPr>
          <w:rFonts w:ascii="Courier New" w:hAnsi="Courier New"/>
          <w:color w:val="2D2D2D"/>
          <w:sz w:val="17"/>
        </w:rPr>
        <w:t>│   • EPE  = avg(EE)  over [0, 1yr]           │</w:t>
      </w:r>
    </w:p>
    <w:p>
      <w:pPr>
        <w:spacing w:before="0" w:after="0"/>
        <w:ind w:left="432"/>
        <w:shd w:val="clear" w:color="auto" w:fill="F4F4F4"/>
      </w:pPr>
      <w:r>
        <w:rPr>
          <w:rFonts w:ascii="Courier New" w:hAnsi="Courier New"/>
          <w:color w:val="2D2D2D"/>
          <w:sz w:val="17"/>
        </w:rPr>
        <w:t>│   • EEPE = avg(EEE) over [0, 1yr]           │</w:t>
      </w:r>
    </w:p>
    <w:p>
      <w:pPr>
        <w:spacing w:before="0" w:after="0"/>
        <w:ind w:left="432"/>
        <w:shd w:val="clear" w:color="auto" w:fill="F4F4F4"/>
      </w:pPr>
      <w:r>
        <w:rPr>
          <w:rFonts w:ascii="Courier New" w:hAnsi="Courier New"/>
          <w:color w:val="2D2D2D"/>
          <w:sz w:val="17"/>
        </w:rPr>
        <w:t>│   • EAD  = α × EEPE    (α = 1.4)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Step 6: Stressed EEPE (parallel run)      │</w:t>
      </w:r>
    </w:p>
    <w:p>
      <w:pPr>
        <w:spacing w:before="0" w:after="0"/>
        <w:ind w:left="432"/>
        <w:shd w:val="clear" w:color="auto" w:fill="F4F4F4"/>
      </w:pPr>
      <w:r>
        <w:rPr>
          <w:rFonts w:ascii="Courier New" w:hAnsi="Courier New"/>
          <w:color w:val="2D2D2D"/>
          <w:sz w:val="17"/>
        </w:rPr>
        <w:t>│   • Re-simulate with 2007–09 stressed vols  │</w:t>
      </w:r>
    </w:p>
    <w:p>
      <w:pPr>
        <w:spacing w:before="0" w:after="0"/>
        <w:ind w:left="432"/>
        <w:shd w:val="clear" w:color="auto" w:fill="F4F4F4"/>
      </w:pPr>
      <w:r>
        <w:rPr>
          <w:rFonts w:ascii="Courier New" w:hAnsi="Courier New"/>
          <w:color w:val="2D2D2D"/>
          <w:sz w:val="17"/>
        </w:rPr>
        <w:t>│   • Stressed EAD = α × Stressed EEPE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Step 7: CSA / Collateral Adjustment       │</w:t>
      </w:r>
    </w:p>
    <w:p>
      <w:pPr>
        <w:spacing w:before="0" w:after="0"/>
        <w:ind w:left="432"/>
        <w:shd w:val="clear" w:color="auto" w:fill="F4F4F4"/>
      </w:pPr>
      <w:r>
        <w:rPr>
          <w:rFonts w:ascii="Courier New" w:hAnsi="Courier New"/>
          <w:color w:val="2D2D2D"/>
          <w:sz w:val="17"/>
        </w:rPr>
        <w:t>│   • RC_csa = max(V - C, TH + MTA - NICA, 0)│</w:t>
      </w:r>
    </w:p>
    <w:p>
      <w:pPr>
        <w:spacing w:before="0" w:after="0"/>
        <w:ind w:left="432"/>
        <w:shd w:val="clear" w:color="auto" w:fill="F4F4F4"/>
      </w:pPr>
      <w:r>
        <w:rPr>
          <w:rFonts w:ascii="Courier New" w:hAnsi="Courier New"/>
          <w:color w:val="2D2D2D"/>
          <w:sz w:val="17"/>
        </w:rPr>
        <w:t>│   • EEPE_mpor = EEPE × √(MPOR / 250)        │</w:t>
      </w:r>
    </w:p>
    <w:p>
      <w:pPr>
        <w:spacing w:before="0" w:after="0"/>
        <w:ind w:left="432"/>
        <w:shd w:val="clear" w:color="auto" w:fill="F4F4F4"/>
      </w:pPr>
      <w:r>
        <w:rPr>
          <w:rFonts w:ascii="Courier New" w:hAnsi="Courier New"/>
          <w:color w:val="2D2D2D"/>
          <w:sz w:val="17"/>
        </w:rPr>
        <w:t>│   • EAD_csa = α × (RC_csa + EEPE_mpor)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CVA / DIM / FRTB add-ons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RWA = EAD × RW × 12.5 × 8%</w:t>
      </w:r>
    </w:p>
    <w:p>
      <w:pPr>
        <w:spacing w:after="80"/>
      </w:pPr>
    </w:p>
    <w:p>
      <w:pPr>
        <w:pBdr>
          <w:bottom w:val="single" w:sz="6" w:space="1" w:color="9B111E"/>
        </w:pBdr>
        <w:spacing w:before="0" w:after="120"/>
      </w:pPr>
    </w:p>
    <w:p>
      <w:pPr>
        <w:pStyle w:val="Heading2"/>
      </w:pPr>
      <w:r>
        <w:t>3. Monte Carlo Simulation Framework</w:t>
      </w:r>
    </w:p>
    <w:p>
      <w:pPr>
        <w:pStyle w:val="Heading3"/>
      </w:pPr>
      <w:r>
        <w:t>3.1 Scenario Parameters</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Parameter</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Value</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Description</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num_scenarios</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2,000 base</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Base simulation paths</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Effective scenarios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4,000</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Doubled by antithetic sampling</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time_steps</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52</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Weekly steps over 1 year</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time_horizon_years</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1.0</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1-year horizon</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dt</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1/52 ≈ 0.0192 yr</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Time step size</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Memory footprint</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~40 MB</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Safe for 8 GB RAM</w:t>
            </w:r>
          </w:p>
        </w:tc>
      </w:tr>
    </w:tbl>
    <w:p/>
    <w:p>
      <w:pPr>
        <w:pStyle w:val="Heading3"/>
      </w:pPr>
      <w:r>
        <w:t>3.2 Antithetic Variance Reduction</w:t>
      </w:r>
    </w:p>
    <w:p>
      <w:pPr>
        <w:spacing w:before="40" w:after="80"/>
      </w:pPr>
      <w:r>
        <w:rPr>
          <w:color w:val="4A5A6A"/>
          <w:sz w:val="21"/>
        </w:rPr>
        <w:t xml:space="preserve">For each base set of random draws </w:t>
      </w:r>
      <w:r>
        <w:rPr>
          <w:b/>
          <w:color w:val="4A5A6A"/>
          <w:sz w:val="21"/>
        </w:rPr>
        <w:t>Z</w:t>
      </w:r>
      <w:r>
        <w:rPr>
          <w:color w:val="4A5A6A"/>
          <w:sz w:val="21"/>
        </w:rPr>
        <w:t xml:space="preserve">, a second set </w:t>
      </w:r>
      <w:r>
        <w:rPr>
          <w:b/>
          <w:color w:val="4A5A6A"/>
          <w:sz w:val="21"/>
        </w:rPr>
        <w:t>−Z</w:t>
      </w:r>
      <w:r>
        <w:rPr>
          <w:color w:val="4A5A6A"/>
          <w:sz w:val="21"/>
        </w:rPr>
        <w:t xml:space="preserve"> is generated. The two sets are stacked:</w:t>
      </w:r>
    </w:p>
    <w:p>
      <w:pPr>
        <w:spacing w:before="0" w:after="0"/>
        <w:ind w:left="432"/>
        <w:shd w:val="clear" w:color="auto" w:fill="F4F4F4"/>
      </w:pPr>
      <w:r>
        <w:rPr>
          <w:rFonts w:ascii="Courier New" w:hAnsi="Courier New"/>
          <w:color w:val="2D2D2D"/>
          <w:sz w:val="17"/>
        </w:rPr>
        <w:t>Base paths:       S(t) = S₀ × exp((μ - σ²/2)dt + σ√dt × Z)</w:t>
      </w:r>
    </w:p>
    <w:p>
      <w:pPr>
        <w:spacing w:before="0" w:after="0"/>
        <w:ind w:left="432"/>
        <w:shd w:val="clear" w:color="auto" w:fill="F4F4F4"/>
      </w:pPr>
      <w:r>
        <w:rPr>
          <w:rFonts w:ascii="Courier New" w:hAnsi="Courier New"/>
          <w:color w:val="2D2D2D"/>
          <w:sz w:val="17"/>
        </w:rPr>
        <w:t>Antithetic paths: S(t) = S₀ × exp((μ - σ²/2)dt − σ√dt × Z)</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Final path matrix: [Base paths; Antithetic paths]  → shape (4000, 52)</w:t>
      </w:r>
    </w:p>
    <w:p>
      <w:pPr>
        <w:spacing w:after="80"/>
      </w:pPr>
    </w:p>
    <w:p>
      <w:pPr>
        <w:spacing w:before="40" w:after="80"/>
      </w:pPr>
      <w:r>
        <w:rPr>
          <w:color w:val="4A5A6A"/>
          <w:sz w:val="21"/>
        </w:rPr>
      </w:r>
      <w:r>
        <w:rPr>
          <w:b/>
          <w:color w:val="4A5A6A"/>
          <w:sz w:val="21"/>
        </w:rPr>
        <w:t>Why it matters:</w:t>
      </w:r>
      <w:r>
        <w:rPr>
          <w:color w:val="4A5A6A"/>
          <w:sz w:val="21"/>
        </w:rPr>
        <w:t xml:space="preserve"> Antithetic sampling halves the variance of the EE estimator with no extra computational cost — the positive bias in one set is cancelled by the negative bias in the other. This is a regulatory best-practice technique (CRE53.21).</w:t>
      </w:r>
    </w:p>
    <w:p>
      <w:pPr>
        <w:pStyle w:val="Heading3"/>
      </w:pPr>
      <w:r>
        <w:t>3.3 Path Caching</w:t>
      </w:r>
    </w:p>
    <w:p>
      <w:pPr>
        <w:spacing w:before="40" w:after="80"/>
      </w:pPr>
      <w:r>
        <w:rPr>
          <w:color w:val="4A5A6A"/>
          <w:sz w:val="21"/>
        </w:rPr>
        <w:t>Within a single netting-set run, paths for the same risk factor are generated once and reused across all trades sharing that asset class. This avoids redundant simulation and ensures internal consistency in the netting aggregation.</w:t>
      </w:r>
    </w:p>
    <w:p>
      <w:pPr>
        <w:spacing w:before="40" w:after="80"/>
      </w:pPr>
      <w:r>
        <w:rPr>
          <w:color w:val="4A5A6A"/>
          <w:sz w:val="21"/>
        </w:rPr>
        <w:t xml:space="preserve">&gt; </w:t>
      </w:r>
      <w:r>
        <w:rPr>
          <w:b/>
          <w:color w:val="4A5A6A"/>
          <w:sz w:val="21"/>
        </w:rPr>
        <w:t>Stressed runs do NOT use the base cache</w:t>
      </w:r>
      <w:r>
        <w:rPr>
          <w:color w:val="4A5A6A"/>
          <w:sz w:val="21"/>
        </w:rPr>
        <w:t xml:space="preserve"> — a separate fresh set of paths is generated with stressed volatility parameters. This ensures stress EAD genuinely reflects a different market environment.</w:t>
      </w:r>
    </w:p>
    <w:p>
      <w:pPr>
        <w:pBdr>
          <w:bottom w:val="single" w:sz="6" w:space="1" w:color="9B111E"/>
        </w:pBdr>
        <w:spacing w:before="0" w:after="120"/>
      </w:pPr>
    </w:p>
    <w:p>
      <w:pPr>
        <w:pStyle w:val="Heading2"/>
      </w:pPr>
      <w:r>
        <w:t>4. All Exposure Metrics — Definitions &amp; Formulas</w:t>
      </w:r>
    </w:p>
    <w:p>
      <w:pPr>
        <w:pStyle w:val="Heading3"/>
      </w:pPr>
      <w:r>
        <w:t>4.1 Mark-to-Market (MtM)</w:t>
      </w:r>
    </w:p>
    <w:p>
      <w:pPr>
        <w:spacing w:before="40" w:after="80"/>
      </w:pPr>
      <w:r>
        <w:rPr>
          <w:color w:val="4A5A6A"/>
          <w:sz w:val="21"/>
        </w:rPr>
        <w:t>The current fair value of a trade from the bank's perspective.</w:t>
      </w:r>
    </w:p>
    <w:p>
      <w:pPr>
        <w:spacing w:before="0" w:after="0"/>
        <w:ind w:left="432"/>
        <w:shd w:val="clear" w:color="auto" w:fill="F4F4F4"/>
      </w:pPr>
      <w:r>
        <w:rPr>
          <w:rFonts w:ascii="Courier New" w:hAnsi="Courier New"/>
          <w:color w:val="2D2D2D"/>
          <w:sz w:val="17"/>
        </w:rPr>
        <w:t>MtM(t, scenario i) = Notional × Direction × (Price(t,i) / Price(0) − 1)</w:t>
      </w:r>
    </w:p>
    <w:p>
      <w:pPr>
        <w:spacing w:after="80"/>
      </w:pPr>
    </w:p>
    <w:p>
      <w:pPr>
        <w:pStyle w:val="ListBullet"/>
        <w:spacing w:before="20" w:after="40"/>
        <w:ind w:left="360"/>
      </w:pPr>
      <w:r>
        <w:rPr>
          <w:color w:val="4A5A6A"/>
          <w:sz w:val="21"/>
        </w:rPr>
      </w:r>
      <w:r>
        <w:rPr>
          <w:rFonts w:ascii="Courier New" w:hAnsi="Courier New"/>
          <w:color w:val="C7254E"/>
          <w:sz w:val="18"/>
        </w:rPr>
        <w:t>Direction</w:t>
      </w:r>
      <w:r>
        <w:rPr>
          <w:color w:val="4A5A6A"/>
          <w:sz w:val="21"/>
        </w:rPr>
        <w:t xml:space="preserve"> = +1 for long/receive-fixed, −1 for short/pay-fixed</w:t>
      </w:r>
    </w:p>
    <w:p>
      <w:pPr>
        <w:pStyle w:val="ListBullet"/>
        <w:spacing w:before="20" w:after="40"/>
        <w:ind w:left="360"/>
      </w:pPr>
      <w:r>
        <w:rPr>
          <w:color w:val="4A5A6A"/>
          <w:sz w:val="21"/>
        </w:rPr>
        <w:t xml:space="preserve">For interest rate trades: uses </w:t>
      </w:r>
      <w:r>
        <w:rPr>
          <w:b/>
          <w:color w:val="1E2A3A"/>
        </w:rPr>
        <w:t>bond pricing with convexity</w:t>
      </w:r>
      <w:r>
        <w:rPr>
          <w:color w:val="4A5A6A"/>
          <w:sz w:val="21"/>
        </w:rPr>
        <w:t xml:space="preserve"> (see §5.2)</w:t>
      </w:r>
    </w:p>
    <w:p>
      <w:pPr>
        <w:pStyle w:val="ListBullet"/>
        <w:spacing w:before="20" w:after="40"/>
        <w:ind w:left="360"/>
      </w:pPr>
      <w:r>
        <w:rPr>
          <w:color w:val="4A5A6A"/>
          <w:sz w:val="21"/>
        </w:rPr>
        <w:t xml:space="preserve">For CDS (credit): </w:t>
      </w:r>
      <w:r>
        <w:rPr>
          <w:rFonts w:ascii="Courier New" w:hAnsi="Courier New"/>
          <w:color w:val="C7254E"/>
          <w:sz w:val="18"/>
        </w:rPr>
        <w:t>MtM = Notional × Duration × (spread(t) − spread(0))</w:t>
      </w:r>
      <w:r>
        <w:rPr>
          <w:color w:val="4A5A6A"/>
          <w:sz w:val="21"/>
        </w:rPr>
      </w:r>
    </w:p>
    <w:p>
      <w:pPr>
        <w:pStyle w:val="Heading3"/>
      </w:pPr>
      <w:r>
        <w:t>4.2 Exposure (E)</w:t>
      </w:r>
    </w:p>
    <w:p>
      <w:pPr>
        <w:spacing w:before="40" w:after="80"/>
      </w:pPr>
      <w:r>
        <w:rPr>
          <w:color w:val="4A5A6A"/>
          <w:sz w:val="21"/>
        </w:rPr>
        <w:t xml:space="preserve">The </w:t>
      </w:r>
      <w:r>
        <w:rPr>
          <w:b/>
          <w:color w:val="4A5A6A"/>
          <w:sz w:val="21"/>
        </w:rPr>
        <w:t>loss</w:t>
      </w:r>
      <w:r>
        <w:rPr>
          <w:color w:val="4A5A6A"/>
          <w:sz w:val="21"/>
        </w:rPr>
        <w:t xml:space="preserve"> the bank would suffer if the counterparty defaulted. Since the bank only loses when the position is in-the-money:</w:t>
      </w:r>
    </w:p>
    <w:p>
      <w:pPr>
        <w:spacing w:before="0" w:after="0"/>
        <w:ind w:left="432"/>
        <w:shd w:val="clear" w:color="auto" w:fill="F4F4F4"/>
      </w:pPr>
      <w:r>
        <w:rPr>
          <w:rFonts w:ascii="Courier New" w:hAnsi="Courier New"/>
          <w:color w:val="2D2D2D"/>
          <w:sz w:val="17"/>
        </w:rPr>
        <w:t>Exposure(t, scenario i) = max(MtM(t, scenario i), 0)</w:t>
      </w:r>
    </w:p>
    <w:p>
      <w:pPr>
        <w:spacing w:after="80"/>
      </w:pPr>
    </w:p>
    <w:p>
      <w:pPr>
        <w:spacing w:before="40" w:after="80"/>
      </w:pPr>
      <w:r>
        <w:rPr>
          <w:color w:val="4A5A6A"/>
          <w:sz w:val="21"/>
        </w:rPr>
        <w:t>Floored at zero — the bank does not pay the counterparty if MtM is negative.</w:t>
      </w:r>
    </w:p>
    <w:p>
      <w:pPr>
        <w:pStyle w:val="Heading3"/>
      </w:pPr>
      <w:r>
        <w:t>4.3 Netting Set Exposure</w:t>
      </w:r>
    </w:p>
    <w:p>
      <w:pPr>
        <w:spacing w:before="40" w:after="80"/>
      </w:pPr>
      <w:r>
        <w:rPr>
          <w:color w:val="4A5A6A"/>
          <w:sz w:val="21"/>
        </w:rPr>
        <w:t>Within a legally enforceable netting agreement, MtMs across all trades are summed before taking the floor:</w:t>
      </w:r>
    </w:p>
    <w:p>
      <w:pPr>
        <w:spacing w:before="0" w:after="0"/>
        <w:ind w:left="432"/>
        <w:shd w:val="clear" w:color="auto" w:fill="F4F4F4"/>
      </w:pPr>
      <w:r>
        <w:rPr>
          <w:rFonts w:ascii="Courier New" w:hAnsi="Courier New"/>
          <w:color w:val="2D2D2D"/>
          <w:sz w:val="17"/>
        </w:rPr>
        <w:t>Net MtM(t, i)    = Σⱼ MtM(trade j, t, scenario i)</w:t>
      </w:r>
    </w:p>
    <w:p>
      <w:pPr>
        <w:spacing w:before="0" w:after="0"/>
        <w:ind w:left="432"/>
        <w:shd w:val="clear" w:color="auto" w:fill="F4F4F4"/>
      </w:pPr>
      <w:r>
        <w:rPr>
          <w:rFonts w:ascii="Courier New" w:hAnsi="Courier New"/>
          <w:color w:val="2D2D2D"/>
          <w:sz w:val="17"/>
        </w:rPr>
        <w:t>Exposure(t, i)   = max(Net MtM(t, i), 0)</w:t>
      </w:r>
    </w:p>
    <w:p>
      <w:pPr>
        <w:spacing w:after="80"/>
      </w:pPr>
    </w:p>
    <w:p>
      <w:pPr>
        <w:spacing w:before="40" w:after="80"/>
      </w:pPr>
      <w:r>
        <w:rPr>
          <w:color w:val="4A5A6A"/>
          <w:sz w:val="21"/>
        </w:rPr>
        <w:t>This is the key capital benefit of bilateral netting: in-the-money and out-of-the-money trades offset each other.</w:t>
      </w:r>
    </w:p>
    <w:p>
      <w:pPr>
        <w:pStyle w:val="Heading3"/>
      </w:pPr>
      <w:r>
        <w:t>4.4 Expected Exposure (EE)</w:t>
      </w:r>
    </w:p>
    <w:p>
      <w:pPr>
        <w:spacing w:before="40" w:after="80"/>
      </w:pPr>
      <w:r>
        <w:rPr>
          <w:color w:val="4A5A6A"/>
          <w:sz w:val="21"/>
        </w:rPr>
        <w:t xml:space="preserve">The </w:t>
      </w:r>
      <w:r>
        <w:rPr>
          <w:b/>
          <w:color w:val="4A5A6A"/>
          <w:sz w:val="21"/>
        </w:rPr>
        <w:t>average exposure across all scenarios</w:t>
      </w:r>
      <w:r>
        <w:rPr>
          <w:color w:val="4A5A6A"/>
          <w:sz w:val="21"/>
        </w:rPr>
        <w:t xml:space="preserve"> at time </w:t>
      </w:r>
      <w:r>
        <w:rPr>
          <w:i/>
          <w:color w:val="4A5A6A"/>
          <w:sz w:val="21"/>
        </w:rPr>
        <w:t>t</w:t>
      </w:r>
      <w:r>
        <w:rPr>
          <w:color w:val="4A5A6A"/>
          <w:sz w:val="21"/>
        </w:rPr>
        <w:t>:</w:t>
      </w:r>
    </w:p>
    <w:p>
      <w:pPr>
        <w:spacing w:before="0" w:after="0"/>
        <w:ind w:left="432"/>
        <w:shd w:val="clear" w:color="auto" w:fill="F4F4F4"/>
      </w:pPr>
      <w:r>
        <w:rPr>
          <w:rFonts w:ascii="Courier New" w:hAnsi="Courier New"/>
          <w:color w:val="2D2D2D"/>
          <w:sz w:val="17"/>
        </w:rPr>
        <w:t>EE(t) = (1 / N_eff) × Σᵢ Exposure(t, scenario i)</w:t>
      </w:r>
    </w:p>
    <w:p>
      <w:pPr>
        <w:spacing w:before="0" w:after="0"/>
        <w:ind w:left="432"/>
        <w:shd w:val="clear" w:color="auto" w:fill="F4F4F4"/>
      </w:pPr>
      <w:r>
        <w:rPr>
          <w:rFonts w:ascii="Courier New" w:hAnsi="Courier New"/>
          <w:color w:val="2D2D2D"/>
          <w:sz w:val="17"/>
        </w:rPr>
        <w:t xml:space="preserve">       = mean over scenarios of max(MtM, 0) at each time step</w:t>
      </w:r>
    </w:p>
    <w:p>
      <w:pPr>
        <w:spacing w:after="80"/>
      </w:pPr>
    </w:p>
    <w:p>
      <w:pPr>
        <w:pStyle w:val="ListBullet"/>
        <w:spacing w:before="20" w:after="40"/>
        <w:ind w:left="360"/>
      </w:pPr>
      <w:r>
        <w:rPr>
          <w:color w:val="4A5A6A"/>
          <w:sz w:val="21"/>
        </w:rPr>
        <w:t>Shape: vector of length T (one value per time step)</w:t>
      </w:r>
    </w:p>
    <w:p>
      <w:pPr>
        <w:pStyle w:val="ListBullet"/>
        <w:spacing w:before="20" w:after="40"/>
        <w:ind w:left="360"/>
      </w:pPr>
      <w:r>
        <w:rPr>
          <w:color w:val="4A5A6A"/>
          <w:sz w:val="21"/>
        </w:rPr>
        <w:t xml:space="preserve">Analogous to the expected loss given counterparty default at time </w:t>
      </w:r>
      <w:r>
        <w:rPr>
          <w:color w:val="4A5A6A"/>
          <w:sz w:val="21"/>
        </w:rPr>
        <w:t>*t*</w:t>
      </w:r>
      <w:r>
        <w:rPr>
          <w:color w:val="4A5A6A"/>
          <w:sz w:val="21"/>
        </w:rPr>
      </w:r>
    </w:p>
    <w:p>
      <w:pPr>
        <w:pStyle w:val="ListBullet"/>
        <w:spacing w:before="20" w:after="40"/>
        <w:ind w:left="360"/>
      </w:pPr>
      <w:r>
        <w:rPr>
          <w:color w:val="4A5A6A"/>
          <w:sz w:val="21"/>
        </w:rPr>
        <w:t xml:space="preserve">Regulatory reference: </w:t>
      </w:r>
      <w:r>
        <w:rPr>
          <w:b/>
          <w:color w:val="1E2A3A"/>
        </w:rPr>
        <w:t>CRE53.13</w:t>
      </w:r>
      <w:r>
        <w:rPr>
          <w:color w:val="4A5A6A"/>
          <w:sz w:val="21"/>
        </w:rPr>
      </w:r>
    </w:p>
    <w:p>
      <w:pPr>
        <w:spacing w:before="40" w:after="80"/>
      </w:pPr>
      <w:r>
        <w:rPr>
          <w:color w:val="4A5A6A"/>
          <w:sz w:val="21"/>
        </w:rPr>
      </w:r>
      <w:r>
        <w:rPr>
          <w:b/>
          <w:color w:val="4A5A6A"/>
          <w:sz w:val="21"/>
        </w:rPr>
        <w:t>Key property:</w:t>
      </w:r>
      <w:r>
        <w:rPr>
          <w:color w:val="4A5A6A"/>
          <w:sz w:val="21"/>
        </w:rPr>
        <w:t xml:space="preserve"> EE(t) can decrease over time as trades mature. This is why the regulatory framework uses EEE instead for capital purposes.</w:t>
      </w:r>
    </w:p>
    <w:p>
      <w:pPr>
        <w:pStyle w:val="Heading3"/>
      </w:pPr>
      <w:r>
        <w:t>4.5 Effective Expected Exposure (EEE)</w:t>
      </w:r>
    </w:p>
    <w:p>
      <w:pPr>
        <w:spacing w:before="40" w:after="80"/>
      </w:pPr>
      <w:r>
        <w:rPr>
          <w:color w:val="4A5A6A"/>
          <w:sz w:val="21"/>
        </w:rPr>
        <w:t xml:space="preserve">A </w:t>
      </w:r>
      <w:r>
        <w:rPr>
          <w:b/>
          <w:color w:val="4A5A6A"/>
          <w:sz w:val="21"/>
        </w:rPr>
        <w:t>non-decreasing version</w:t>
      </w:r>
      <w:r>
        <w:rPr>
          <w:color w:val="4A5A6A"/>
          <w:sz w:val="21"/>
        </w:rPr>
        <w:t xml:space="preserve"> of the EE profile — it cannot fall below the previous time-step's value:</w:t>
      </w:r>
    </w:p>
    <w:p>
      <w:pPr>
        <w:spacing w:before="0" w:after="0"/>
        <w:ind w:left="432"/>
        <w:shd w:val="clear" w:color="auto" w:fill="F4F4F4"/>
      </w:pPr>
      <w:r>
        <w:rPr>
          <w:rFonts w:ascii="Courier New" w:hAnsi="Courier New"/>
          <w:color w:val="2D2D2D"/>
          <w:sz w:val="17"/>
        </w:rPr>
        <w:t>EEE(t₀) = EE(t₀)</w:t>
      </w:r>
    </w:p>
    <w:p>
      <w:pPr>
        <w:spacing w:before="0" w:after="0"/>
        <w:ind w:left="432"/>
        <w:shd w:val="clear" w:color="auto" w:fill="F4F4F4"/>
      </w:pPr>
      <w:r>
        <w:rPr>
          <w:rFonts w:ascii="Courier New" w:hAnsi="Courier New"/>
          <w:color w:val="2D2D2D"/>
          <w:sz w:val="17"/>
        </w:rPr>
        <w:t>EEE(tₙ) = max(EE(tₙ), EEE(tₙ₋₁))    for n = 1, 2, ..., T</w:t>
      </w:r>
    </w:p>
    <w:p>
      <w:pPr>
        <w:spacing w:after="80"/>
      </w:pPr>
    </w:p>
    <w:p>
      <w:pPr>
        <w:spacing w:before="40" w:after="80"/>
      </w:pPr>
      <w:r>
        <w:rPr>
          <w:color w:val="4A5A6A"/>
          <w:sz w:val="21"/>
        </w:rPr>
      </w:r>
      <w:r>
        <w:rPr>
          <w:b/>
          <w:color w:val="4A5A6A"/>
          <w:sz w:val="21"/>
        </w:rPr>
        <w:t>Why non-decreasing?</w:t>
      </w:r>
      <w:r>
        <w:rPr>
          <w:color w:val="4A5A6A"/>
          <w:sz w:val="21"/>
        </w:rPr>
        <w:t xml:space="preserve"> It captures the regulatory concern that banks may opportunistically close profitable trades before the computation date, leaving only unfavourable positions. The non-decreasing constraint is a conservatism that prevents this "cherry-picking" benefit.</w:t>
      </w:r>
    </w:p>
    <w:p>
      <w:pPr>
        <w:spacing w:before="40" w:after="80"/>
      </w:pPr>
      <w:r>
        <w:rPr>
          <w:color w:val="4A5A6A"/>
          <w:sz w:val="21"/>
        </w:rPr>
      </w:r>
      <w:r>
        <w:rPr>
          <w:b/>
          <w:color w:val="4A5A6A"/>
          <w:sz w:val="21"/>
        </w:rPr>
        <w:t>Implementation in code:</w:t>
      </w:r>
      <w:r>
        <w:rPr>
          <w:color w:val="4A5A6A"/>
          <w:sz w:val="21"/>
        </w:rPr>
      </w:r>
    </w:p>
    <w:p>
      <w:pPr>
        <w:spacing w:before="0" w:after="0"/>
        <w:ind w:left="432"/>
        <w:shd w:val="clear" w:color="auto" w:fill="F4F4F4"/>
      </w:pPr>
      <w:r>
        <w:rPr>
          <w:rFonts w:ascii="Courier New" w:hAnsi="Courier New"/>
          <w:color w:val="2D2D2D"/>
          <w:sz w:val="17"/>
        </w:rPr>
        <w:t>def _effective_ee(self, ee: np.ndarray) -&gt; np.ndarray:</w:t>
      </w:r>
    </w:p>
    <w:p>
      <w:pPr>
        <w:spacing w:before="0" w:after="0"/>
        <w:ind w:left="432"/>
        <w:shd w:val="clear" w:color="auto" w:fill="F4F4F4"/>
      </w:pPr>
      <w:r>
        <w:rPr>
          <w:rFonts w:ascii="Courier New" w:hAnsi="Courier New"/>
          <w:color w:val="2D2D2D"/>
          <w:sz w:val="17"/>
        </w:rPr>
        <w:t xml:space="preserve">    eee = np.zeros_like(ee)</w:t>
      </w:r>
    </w:p>
    <w:p>
      <w:pPr>
        <w:spacing w:before="0" w:after="0"/>
        <w:ind w:left="432"/>
        <w:shd w:val="clear" w:color="auto" w:fill="F4F4F4"/>
      </w:pPr>
      <w:r>
        <w:rPr>
          <w:rFonts w:ascii="Courier New" w:hAnsi="Courier New"/>
          <w:color w:val="2D2D2D"/>
          <w:sz w:val="17"/>
        </w:rPr>
        <w:t xml:space="preserve">    eee[0] = ee[0]</w:t>
      </w:r>
    </w:p>
    <w:p>
      <w:pPr>
        <w:spacing w:before="0" w:after="0"/>
        <w:ind w:left="432"/>
        <w:shd w:val="clear" w:color="auto" w:fill="F4F4F4"/>
      </w:pPr>
      <w:r>
        <w:rPr>
          <w:rFonts w:ascii="Courier New" w:hAnsi="Courier New"/>
          <w:color w:val="2D2D2D"/>
          <w:sz w:val="17"/>
        </w:rPr>
        <w:t xml:space="preserve">    for t in range(1, len(ee)):</w:t>
      </w:r>
    </w:p>
    <w:p>
      <w:pPr>
        <w:spacing w:before="0" w:after="0"/>
        <w:ind w:left="432"/>
        <w:shd w:val="clear" w:color="auto" w:fill="F4F4F4"/>
      </w:pPr>
      <w:r>
        <w:rPr>
          <w:rFonts w:ascii="Courier New" w:hAnsi="Courier New"/>
          <w:color w:val="2D2D2D"/>
          <w:sz w:val="17"/>
        </w:rPr>
        <w:t xml:space="preserve">        eee[t] = max(ee[t], eee[t-1])</w:t>
      </w:r>
    </w:p>
    <w:p>
      <w:pPr>
        <w:spacing w:before="0" w:after="0"/>
        <w:ind w:left="432"/>
        <w:shd w:val="clear" w:color="auto" w:fill="F4F4F4"/>
      </w:pPr>
      <w:r>
        <w:rPr>
          <w:rFonts w:ascii="Courier New" w:hAnsi="Courier New"/>
          <w:color w:val="2D2D2D"/>
          <w:sz w:val="17"/>
        </w:rPr>
        <w:t xml:space="preserve">    return eee</w:t>
      </w:r>
    </w:p>
    <w:p>
      <w:pPr>
        <w:spacing w:after="80"/>
      </w:pPr>
    </w:p>
    <w:p>
      <w:pPr>
        <w:pStyle w:val="Heading3"/>
      </w:pPr>
      <w:r>
        <w:t>4.6 Expected Positive Exposure (EPE)</w:t>
      </w:r>
    </w:p>
    <w:p>
      <w:pPr>
        <w:spacing w:before="40" w:after="80"/>
      </w:pPr>
      <w:r>
        <w:rPr>
          <w:color w:val="4A5A6A"/>
          <w:sz w:val="21"/>
        </w:rPr>
        <w:t xml:space="preserve">The </w:t>
      </w:r>
      <w:r>
        <w:rPr>
          <w:b/>
          <w:color w:val="4A5A6A"/>
          <w:sz w:val="21"/>
        </w:rPr>
        <w:t>time-average of the EE profile</w:t>
      </w:r>
      <w:r>
        <w:rPr>
          <w:color w:val="4A5A6A"/>
          <w:sz w:val="21"/>
        </w:rPr>
        <w:t xml:space="preserve"> over the first year:</w:t>
      </w:r>
    </w:p>
    <w:p>
      <w:pPr>
        <w:spacing w:before="0" w:after="0"/>
        <w:ind w:left="432"/>
        <w:shd w:val="clear" w:color="auto" w:fill="F4F4F4"/>
      </w:pPr>
      <w:r>
        <w:rPr>
          <w:rFonts w:ascii="Courier New" w:hAnsi="Courier New"/>
          <w:color w:val="2D2D2D"/>
          <w:sz w:val="17"/>
        </w:rPr>
        <w:t>EPE = (1/T) × Σₜ EE(t)   for t ∈ [0, 1yr]</w:t>
      </w:r>
    </w:p>
    <w:p>
      <w:pPr>
        <w:spacing w:before="0" w:after="0"/>
        <w:ind w:left="432"/>
        <w:shd w:val="clear" w:color="auto" w:fill="F4F4F4"/>
      </w:pPr>
      <w:r>
        <w:rPr>
          <w:rFonts w:ascii="Courier New" w:hAnsi="Courier New"/>
          <w:color w:val="2D2D2D"/>
          <w:sz w:val="17"/>
        </w:rPr>
        <w:t xml:space="preserve">    = mean(EE vector)</w:t>
      </w:r>
    </w:p>
    <w:p>
      <w:pPr>
        <w:spacing w:after="80"/>
      </w:pPr>
    </w:p>
    <w:p>
      <w:pPr>
        <w:pStyle w:val="ListBullet"/>
        <w:spacing w:before="20" w:after="40"/>
        <w:ind w:left="360"/>
      </w:pPr>
      <w:r>
        <w:rPr>
          <w:color w:val="4A5A6A"/>
          <w:sz w:val="21"/>
        </w:rPr>
        <w:t>A single scalar value</w:t>
      </w:r>
    </w:p>
    <w:p>
      <w:pPr>
        <w:pStyle w:val="ListBullet"/>
        <w:spacing w:before="20" w:after="40"/>
        <w:ind w:left="360"/>
      </w:pPr>
      <w:r>
        <w:rPr>
          <w:color w:val="4A5A6A"/>
          <w:sz w:val="21"/>
        </w:rPr>
        <w:t xml:space="preserve">Commonly used for pricing (CVA) but </w:t>
      </w:r>
      <w:r>
        <w:rPr>
          <w:b/>
          <w:color w:val="1E2A3A"/>
        </w:rPr>
        <w:t>NOT</w:t>
      </w:r>
      <w:r>
        <w:rPr>
          <w:color w:val="4A5A6A"/>
          <w:sz w:val="21"/>
        </w:rPr>
        <w:t xml:space="preserve"> used for regulatory capital under IMM</w:t>
      </w:r>
    </w:p>
    <w:p>
      <w:pPr>
        <w:pStyle w:val="ListBullet"/>
        <w:spacing w:before="20" w:after="40"/>
        <w:ind w:left="360"/>
      </w:pPr>
      <w:r>
        <w:rPr>
          <w:color w:val="4A5A6A"/>
          <w:sz w:val="21"/>
        </w:rPr>
        <w:t>The capital metric is EEPE (see below)</w:t>
      </w:r>
    </w:p>
    <w:p>
      <w:pPr>
        <w:pStyle w:val="ListBullet"/>
        <w:spacing w:before="20" w:after="40"/>
        <w:ind w:left="360"/>
      </w:pPr>
      <w:r>
        <w:rPr>
          <w:color w:val="4A5A6A"/>
          <w:sz w:val="21"/>
        </w:rPr>
        <w:t xml:space="preserve">Regulatory reference: </w:t>
      </w:r>
      <w:r>
        <w:rPr>
          <w:b/>
          <w:color w:val="1E2A3A"/>
        </w:rPr>
        <w:t>CRE53.14</w:t>
      </w:r>
      <w:r>
        <w:rPr>
          <w:color w:val="4A5A6A"/>
          <w:sz w:val="21"/>
        </w:rPr>
      </w:r>
    </w:p>
    <w:p>
      <w:pPr>
        <w:pStyle w:val="Heading3"/>
      </w:pPr>
      <w:r>
        <w:t>4.7 Effective Expected Positive Exposure (EEPE)</w:t>
      </w:r>
    </w:p>
    <w:p>
      <w:pPr>
        <w:spacing w:before="40" w:after="80"/>
      </w:pPr>
      <w:r>
        <w:rPr>
          <w:color w:val="4A5A6A"/>
          <w:sz w:val="21"/>
        </w:rPr>
        <w:t xml:space="preserve">The </w:t>
      </w:r>
      <w:r>
        <w:rPr>
          <w:b/>
          <w:color w:val="4A5A6A"/>
          <w:sz w:val="21"/>
        </w:rPr>
        <w:t>time-average of the EEE profile</w:t>
      </w:r>
      <w:r>
        <w:rPr>
          <w:color w:val="4A5A6A"/>
          <w:sz w:val="21"/>
        </w:rPr>
        <w:t xml:space="preserve"> over the first year — this is the </w:t>
      </w:r>
      <w:r>
        <w:rPr>
          <w:b/>
          <w:color w:val="4A5A6A"/>
          <w:sz w:val="21"/>
        </w:rPr>
        <w:t>primary regulatory capital driver</w:t>
      </w:r>
      <w:r>
        <w:rPr>
          <w:color w:val="4A5A6A"/>
          <w:sz w:val="21"/>
        </w:rPr>
        <w:t xml:space="preserve"> under IMM:</w:t>
      </w:r>
    </w:p>
    <w:p>
      <w:pPr>
        <w:spacing w:before="0" w:after="0"/>
        <w:ind w:left="432"/>
        <w:shd w:val="clear" w:color="auto" w:fill="F4F4F4"/>
      </w:pPr>
      <w:r>
        <w:rPr>
          <w:rFonts w:ascii="Courier New" w:hAnsi="Courier New"/>
          <w:color w:val="2D2D2D"/>
          <w:sz w:val="17"/>
        </w:rPr>
        <w:t>EEPE = (1/T) × Σₜ EEE(t)   for t ∈ [0, 1yr]</w:t>
      </w:r>
    </w:p>
    <w:p>
      <w:pPr>
        <w:spacing w:before="0" w:after="0"/>
        <w:ind w:left="432"/>
        <w:shd w:val="clear" w:color="auto" w:fill="F4F4F4"/>
      </w:pPr>
      <w:r>
        <w:rPr>
          <w:rFonts w:ascii="Courier New" w:hAnsi="Courier New"/>
          <w:color w:val="2D2D2D"/>
          <w:sz w:val="17"/>
        </w:rPr>
        <w:t xml:space="preserve">      = mean(EEE vector)</w:t>
      </w:r>
    </w:p>
    <w:p>
      <w:pPr>
        <w:spacing w:after="80"/>
      </w:pPr>
    </w:p>
    <w:p>
      <w:pPr>
        <w:pStyle w:val="ListBullet"/>
        <w:spacing w:before="20" w:after="40"/>
        <w:ind w:left="360"/>
      </w:pPr>
      <w:r>
        <w:rPr>
          <w:color w:val="4A5A6A"/>
          <w:sz w:val="21"/>
        </w:rPr>
        <w:t>Single scalar</w:t>
      </w:r>
    </w:p>
    <w:p>
      <w:pPr>
        <w:pStyle w:val="ListBullet"/>
        <w:spacing w:before="20" w:after="40"/>
        <w:ind w:left="360"/>
      </w:pPr>
      <w:r>
        <w:rPr>
          <w:color w:val="4A5A6A"/>
          <w:sz w:val="21"/>
        </w:rPr>
        <w:t>EEPE ≥ EPE always (because EEE ≥ EE at every time step)</w:t>
      </w:r>
    </w:p>
    <w:p>
      <w:pPr>
        <w:pStyle w:val="ListBullet"/>
        <w:spacing w:before="20" w:after="40"/>
        <w:ind w:left="360"/>
      </w:pPr>
      <w:r>
        <w:rPr>
          <w:color w:val="4A5A6A"/>
          <w:sz w:val="21"/>
        </w:rPr>
        <w:t xml:space="preserve">The time-averaging is only over the </w:t>
      </w:r>
      <w:r>
        <w:rPr>
          <w:b/>
          <w:color w:val="1E2A3A"/>
        </w:rPr>
        <w:t>first year</w:t>
      </w:r>
      <w:r>
        <w:rPr>
          <w:color w:val="4A5A6A"/>
          <w:sz w:val="21"/>
        </w:rPr>
        <w:t xml:space="preserve"> even for longer-dated trades</w:t>
      </w:r>
    </w:p>
    <w:p>
      <w:pPr>
        <w:pStyle w:val="ListBullet"/>
        <w:spacing w:before="20" w:after="40"/>
        <w:ind w:left="360"/>
      </w:pPr>
      <w:r>
        <w:rPr>
          <w:color w:val="4A5A6A"/>
          <w:sz w:val="21"/>
        </w:rPr>
        <w:t xml:space="preserve">Regulatory reference: </w:t>
      </w:r>
      <w:r>
        <w:rPr>
          <w:b/>
          <w:color w:val="1E2A3A"/>
        </w:rPr>
        <w:t>CRE53.15</w:t>
      </w:r>
      <w:r>
        <w:rPr>
          <w:color w:val="4A5A6A"/>
          <w:sz w:val="21"/>
        </w:rPr>
      </w:r>
    </w:p>
    <w:p>
      <w:pPr>
        <w:spacing w:before="40" w:after="80"/>
      </w:pPr>
      <w:r>
        <w:rPr>
          <w:color w:val="4A5A6A"/>
          <w:sz w:val="21"/>
        </w:rPr>
      </w:r>
      <w:r>
        <w:rPr>
          <w:b/>
          <w:color w:val="4A5A6A"/>
          <w:sz w:val="21"/>
        </w:rPr>
        <w:t>The difference between EPE and EEPE:</w:t>
      </w:r>
      <w:r>
        <w:rPr>
          <w:color w:val="4A5A6A"/>
          <w:sz w:val="21"/>
        </w:rPr>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Metric</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Based On</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Can Decrease?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Used For</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EPE</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EE (raw average)</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Yes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CVA pricing, internal benchmarking</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EEPE</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EEE (non-decreasing)</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No</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Regulatory capital (EAD_IMM)</w:t>
            </w:r>
            <w:r>
              <w:rPr>
                <w:color w:val="4A5A6A"/>
                <w:sz w:val="19"/>
              </w:rPr>
            </w:r>
          </w:p>
        </w:tc>
      </w:tr>
    </w:tbl>
    <w:p/>
    <w:p>
      <w:pPr>
        <w:pStyle w:val="Heading3"/>
      </w:pPr>
      <w:r>
        <w:t>4.8 Exposure at Default (EAD) — IMM Method</w:t>
      </w:r>
    </w:p>
    <w:p>
      <w:pPr>
        <w:spacing w:before="40" w:after="80"/>
      </w:pPr>
      <w:r>
        <w:rPr>
          <w:color w:val="4A5A6A"/>
          <w:sz w:val="21"/>
        </w:rPr>
        <w:t>The regulatory capital exposure under IMM:</w:t>
      </w:r>
    </w:p>
    <w:p>
      <w:pPr>
        <w:spacing w:before="0" w:after="0"/>
        <w:ind w:left="432"/>
        <w:shd w:val="clear" w:color="auto" w:fill="F4F4F4"/>
      </w:pPr>
      <w:r>
        <w:rPr>
          <w:rFonts w:ascii="Courier New" w:hAnsi="Courier New"/>
          <w:color w:val="2D2D2D"/>
          <w:sz w:val="17"/>
        </w:rPr>
        <w:t>EAD_IMM = α × EEPE</w:t>
      </w:r>
    </w:p>
    <w:p>
      <w:pPr>
        <w:spacing w:after="80"/>
      </w:pPr>
    </w:p>
    <w:p>
      <w:pPr>
        <w:spacing w:before="40" w:after="80"/>
      </w:pPr>
      <w:r>
        <w:rPr>
          <w:color w:val="4A5A6A"/>
          <w:sz w:val="21"/>
        </w:rPr>
        <w:t>Where:</w:t>
      </w:r>
    </w:p>
    <w:p>
      <w:pPr>
        <w:pStyle w:val="ListBullet"/>
        <w:spacing w:before="20" w:after="40"/>
        <w:ind w:left="360"/>
      </w:pPr>
      <w:r>
        <w:rPr>
          <w:color w:val="4A5A6A"/>
          <w:sz w:val="21"/>
        </w:rPr>
      </w:r>
      <w:r>
        <w:rPr>
          <w:b/>
          <w:color w:val="1E2A3A"/>
        </w:rPr>
        <w:t>α = 1.4</w:t>
      </w:r>
      <w:r>
        <w:rPr>
          <w:color w:val="4A5A6A"/>
          <w:sz w:val="21"/>
        </w:rPr>
        <w:t xml:space="preserve"> — the regulatory supervisory alpha factor (CRE53.16)</w:t>
      </w:r>
    </w:p>
    <w:p>
      <w:pPr>
        <w:pStyle w:val="ListBullet"/>
        <w:spacing w:before="20" w:after="40"/>
        <w:ind w:left="360"/>
      </w:pPr>
      <w:r>
        <w:rPr>
          <w:color w:val="4A5A6A"/>
          <w:sz w:val="21"/>
        </w:rPr>
        <w:t>This 40% loading reflects model uncertainty, wrong-way risk not captured in EEPE, and the possibility that actual loss-given-default exceeds the average exposure</w:t>
      </w:r>
    </w:p>
    <w:p>
      <w:pPr>
        <w:spacing w:before="40" w:after="80"/>
      </w:pPr>
      <w:r>
        <w:rPr>
          <w:color w:val="4A5A6A"/>
          <w:sz w:val="21"/>
        </w:rPr>
        <w:t>The alpha of 1.4 was set by the Basel Committee based on empirical studies of the ratio of actual CCR losses to model-predicted EEPE. Banks may apply to use a lower firm-specific alpha if approved by their supervisor (minimum floor: 1.2).</w:t>
      </w:r>
    </w:p>
    <w:p>
      <w:pPr>
        <w:pStyle w:val="Heading3"/>
      </w:pPr>
      <w:r>
        <w:t>4.9 Potential Future Exposure (PFE)</w:t>
      </w:r>
    </w:p>
    <w:p>
      <w:pPr>
        <w:spacing w:before="40" w:after="80"/>
      </w:pPr>
      <w:r>
        <w:rPr>
          <w:color w:val="4A5A6A"/>
          <w:sz w:val="21"/>
        </w:rPr>
        <w:t xml:space="preserve">The </w:t>
      </w:r>
      <w:r>
        <w:rPr>
          <w:b/>
          <w:color w:val="4A5A6A"/>
          <w:sz w:val="21"/>
        </w:rPr>
        <w:t>95th percentile exposure</w:t>
      </w:r>
      <w:r>
        <w:rPr>
          <w:color w:val="4A5A6A"/>
          <w:sz w:val="21"/>
        </w:rPr>
        <w:t xml:space="preserve"> across scenarios at each time step:</w:t>
      </w:r>
    </w:p>
    <w:p>
      <w:pPr>
        <w:spacing w:before="0" w:after="0"/>
        <w:ind w:left="432"/>
        <w:shd w:val="clear" w:color="auto" w:fill="F4F4F4"/>
      </w:pPr>
      <w:r>
        <w:rPr>
          <w:rFonts w:ascii="Courier New" w:hAnsi="Courier New"/>
          <w:color w:val="2D2D2D"/>
          <w:sz w:val="17"/>
        </w:rPr>
        <w:t>PFE(t) = Percentile₉₅{ Exposure(t, scenario i) : i = 1..N_eff }</w:t>
      </w:r>
    </w:p>
    <w:p>
      <w:pPr>
        <w:spacing w:after="80"/>
      </w:pPr>
    </w:p>
    <w:p>
      <w:pPr>
        <w:pStyle w:val="ListBullet"/>
        <w:spacing w:before="20" w:after="40"/>
        <w:ind w:left="360"/>
      </w:pPr>
      <w:r>
        <w:rPr>
          <w:color w:val="4A5A6A"/>
          <w:sz w:val="21"/>
        </w:rPr>
        <w:t>Represents a worst-case exposure at a given confidence level</w:t>
      </w:r>
    </w:p>
    <w:p>
      <w:pPr>
        <w:pStyle w:val="ListBullet"/>
        <w:spacing w:before="20" w:after="40"/>
        <w:ind w:left="360"/>
      </w:pPr>
      <w:r>
        <w:rPr>
          <w:color w:val="4A5A6A"/>
          <w:sz w:val="21"/>
        </w:rPr>
        <w:t>Used for credit limit monitoring, not regulatory capital</w:t>
      </w:r>
    </w:p>
    <w:p>
      <w:pPr>
        <w:pStyle w:val="ListBullet"/>
        <w:spacing w:before="20" w:after="40"/>
        <w:ind w:left="360"/>
      </w:pPr>
      <w:r>
        <w:rPr>
          <w:color w:val="4A5A6A"/>
          <w:sz w:val="21"/>
        </w:rPr>
        <w:t>Analogous to VaR but for counterparty exposure rather than P&amp;L</w:t>
      </w:r>
    </w:p>
    <w:p>
      <w:pPr>
        <w:pStyle w:val="Heading3"/>
      </w:pPr>
      <w:r>
        <w:t>4.10 Relationship Summary</w:t>
      </w:r>
    </w:p>
    <w:p>
      <w:pPr>
        <w:spacing w:before="0" w:after="0"/>
        <w:ind w:left="432"/>
        <w:shd w:val="clear" w:color="auto" w:fill="F4F4F4"/>
      </w:pPr>
      <w:r>
        <w:rPr>
          <w:rFonts w:ascii="Courier New" w:hAnsi="Courier New"/>
          <w:color w:val="2D2D2D"/>
          <w:sz w:val="17"/>
        </w:rPr>
        <w:t>Scenario paths (N_eff × 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mean(axis=0) ──► EE(t)  ──► mean ──► EPE   (pricing)</w:t>
      </w:r>
    </w:p>
    <w:p>
      <w:pPr>
        <w:spacing w:before="0" w:after="0"/>
        <w:ind w:left="432"/>
        <w:shd w:val="clear" w:color="auto" w:fill="F4F4F4"/>
      </w:pPr>
      <w:r>
        <w:rPr>
          <w:rFonts w:ascii="Courier New" w:hAnsi="Courier New"/>
          <w:color w:val="2D2D2D"/>
          <w:sz w:val="17"/>
        </w:rPr>
        <w:t xml:space="preserve">         │                          │</w:t>
      </w:r>
    </w:p>
    <w:p>
      <w:pPr>
        <w:spacing w:before="0" w:after="0"/>
        <w:ind w:left="432"/>
        <w:shd w:val="clear" w:color="auto" w:fill="F4F4F4"/>
      </w:pPr>
      <w:r>
        <w:rPr>
          <w:rFonts w:ascii="Courier New" w:hAnsi="Courier New"/>
          <w:color w:val="2D2D2D"/>
          <w:sz w:val="17"/>
        </w:rPr>
        <w:t xml:space="preserve">         │                    enforce non-decreasing</w:t>
      </w:r>
    </w:p>
    <w:p>
      <w:pPr>
        <w:spacing w:before="0" w:after="0"/>
        <w:ind w:left="432"/>
        <w:shd w:val="clear" w:color="auto" w:fill="F4F4F4"/>
      </w:pPr>
      <w:r>
        <w:rPr>
          <w:rFonts w:ascii="Courier New" w:hAnsi="Courier New"/>
          <w:color w:val="2D2D2D"/>
          <w:sz w:val="17"/>
        </w:rPr>
        <w:t xml:space="preserve">         │                          │</w:t>
      </w:r>
    </w:p>
    <w:p>
      <w:pPr>
        <w:spacing w:before="0" w:after="0"/>
        <w:ind w:left="432"/>
        <w:shd w:val="clear" w:color="auto" w:fill="F4F4F4"/>
      </w:pPr>
      <w:r>
        <w:rPr>
          <w:rFonts w:ascii="Courier New" w:hAnsi="Courier New"/>
          <w:color w:val="2D2D2D"/>
          <w:sz w:val="17"/>
        </w:rPr>
        <w:t xml:space="preserve">         │                     EEE(t) ──► mean ──► EEPE  ──► ×α ──► EAD_IMM</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percentile(95, axis=0) ──► PFE(t)           (limit management)</w:t>
      </w:r>
    </w:p>
    <w:p>
      <w:pPr>
        <w:spacing w:after="80"/>
      </w:pPr>
    </w:p>
    <w:p>
      <w:pPr>
        <w:pBdr>
          <w:bottom w:val="single" w:sz="6" w:space="1" w:color="9B111E"/>
        </w:pBdr>
        <w:spacing w:before="0" w:after="120"/>
      </w:pPr>
    </w:p>
    <w:p>
      <w:pPr>
        <w:pStyle w:val="Heading2"/>
      </w:pPr>
      <w:r>
        <w:t>5. Stochastic Process Models</w:t>
      </w:r>
    </w:p>
    <w:p>
      <w:pPr>
        <w:pStyle w:val="Heading3"/>
      </w:pPr>
      <w:r>
        <w:t>5.1 Geometric Brownian Motion (GBM) — EQ, FX, CMDTY</w:t>
      </w:r>
    </w:p>
    <w:p>
      <w:pPr>
        <w:spacing w:before="40" w:after="80"/>
      </w:pPr>
      <w:r>
        <w:rPr>
          <w:color w:val="4A5A6A"/>
          <w:sz w:val="21"/>
        </w:rPr>
        <w:t>Used for equities, foreign exchange, and commodity risk factors.</w:t>
      </w:r>
    </w:p>
    <w:p>
      <w:pPr>
        <w:spacing w:before="40" w:after="80"/>
      </w:pPr>
      <w:r>
        <w:rPr>
          <w:color w:val="4A5A6A"/>
          <w:sz w:val="21"/>
        </w:rPr>
      </w:r>
      <w:r>
        <w:rPr>
          <w:b/>
          <w:color w:val="4A5A6A"/>
          <w:sz w:val="21"/>
        </w:rPr>
        <w:t>Continuous-time SDE:</w:t>
      </w:r>
      <w:r>
        <w:rPr>
          <w:color w:val="4A5A6A"/>
          <w:sz w:val="21"/>
        </w:rPr>
      </w:r>
    </w:p>
    <w:p>
      <w:pPr>
        <w:spacing w:before="0" w:after="0"/>
        <w:ind w:left="432"/>
        <w:shd w:val="clear" w:color="auto" w:fill="F4F4F4"/>
      </w:pPr>
      <w:r>
        <w:rPr>
          <w:rFonts w:ascii="Courier New" w:hAnsi="Courier New"/>
          <w:color w:val="2D2D2D"/>
          <w:sz w:val="17"/>
        </w:rPr>
        <w:t>dS/S = μ dt + σ dW</w:t>
      </w:r>
    </w:p>
    <w:p>
      <w:pPr>
        <w:spacing w:after="80"/>
      </w:pPr>
    </w:p>
    <w:p>
      <w:pPr>
        <w:spacing w:before="40" w:after="80"/>
      </w:pPr>
      <w:r>
        <w:rPr>
          <w:color w:val="4A5A6A"/>
          <w:sz w:val="21"/>
        </w:rPr>
      </w:r>
      <w:r>
        <w:rPr>
          <w:b/>
          <w:color w:val="4A5A6A"/>
          <w:sz w:val="21"/>
        </w:rPr>
        <w:t>Discretised (exact log-normal scheme):</w:t>
      </w:r>
      <w:r>
        <w:rPr>
          <w:color w:val="4A5A6A"/>
          <w:sz w:val="21"/>
        </w:rPr>
      </w:r>
    </w:p>
    <w:p>
      <w:pPr>
        <w:spacing w:before="0" w:after="0"/>
        <w:ind w:left="432"/>
        <w:shd w:val="clear" w:color="auto" w:fill="F4F4F4"/>
      </w:pPr>
      <w:r>
        <w:rPr>
          <w:rFonts w:ascii="Courier New" w:hAnsi="Courier New"/>
          <w:color w:val="2D2D2D"/>
          <w:sz w:val="17"/>
        </w:rPr>
        <w:t>S(t + dt) = S(t) × exp[(μ − σ²/2) dt + σ√dt × Z]</w:t>
      </w:r>
    </w:p>
    <w:p>
      <w:pPr>
        <w:spacing w:after="80"/>
      </w:pPr>
    </w:p>
    <w:p>
      <w:pPr>
        <w:spacing w:before="40" w:after="80"/>
      </w:pPr>
      <w:r>
        <w:rPr>
          <w:color w:val="4A5A6A"/>
          <w:sz w:val="21"/>
        </w:rPr>
        <w:t>Where:</w:t>
      </w:r>
    </w:p>
    <w:p>
      <w:pPr>
        <w:pStyle w:val="ListBullet"/>
        <w:spacing w:before="20" w:after="40"/>
        <w:ind w:left="360"/>
      </w:pPr>
      <w:r>
        <w:rPr>
          <w:color w:val="4A5A6A"/>
          <w:sz w:val="21"/>
        </w:rPr>
      </w:r>
      <w:r>
        <w:rPr>
          <w:rFonts w:ascii="Courier New" w:hAnsi="Courier New"/>
          <w:color w:val="C7254E"/>
          <w:sz w:val="18"/>
        </w:rPr>
        <w:t>μ</w:t>
      </w:r>
      <w:r>
        <w:rPr>
          <w:color w:val="4A5A6A"/>
          <w:sz w:val="21"/>
        </w:rPr>
        <w:t xml:space="preserve"> = drift (annual) = 0.05 (5% risk-neutral drift)</w:t>
      </w:r>
    </w:p>
    <w:p>
      <w:pPr>
        <w:pStyle w:val="ListBullet"/>
        <w:spacing w:before="20" w:after="40"/>
        <w:ind w:left="360"/>
      </w:pPr>
      <w:r>
        <w:rPr>
          <w:color w:val="4A5A6A"/>
          <w:sz w:val="21"/>
        </w:rPr>
      </w:r>
      <w:r>
        <w:rPr>
          <w:rFonts w:ascii="Courier New" w:hAnsi="Courier New"/>
          <w:color w:val="C7254E"/>
          <w:sz w:val="18"/>
        </w:rPr>
        <w:t>σ</w:t>
      </w:r>
      <w:r>
        <w:rPr>
          <w:color w:val="4A5A6A"/>
          <w:sz w:val="21"/>
        </w:rPr>
        <w:t xml:space="preserve"> = volatility (annual) = 0.20 base; 0.40 stressed</w:t>
      </w:r>
    </w:p>
    <w:p>
      <w:pPr>
        <w:pStyle w:val="ListBullet"/>
        <w:spacing w:before="20" w:after="40"/>
        <w:ind w:left="360"/>
      </w:pPr>
      <w:r>
        <w:rPr>
          <w:color w:val="4A5A6A"/>
          <w:sz w:val="21"/>
        </w:rPr>
      </w:r>
      <w:r>
        <w:rPr>
          <w:rFonts w:ascii="Courier New" w:hAnsi="Courier New"/>
          <w:color w:val="C7254E"/>
          <w:sz w:val="18"/>
        </w:rPr>
        <w:t>Z ~ N(0,1)</w:t>
      </w:r>
      <w:r>
        <w:rPr>
          <w:color w:val="4A5A6A"/>
          <w:sz w:val="21"/>
        </w:rPr>
        <w:t xml:space="preserve"> = standard normal random draw</w:t>
      </w:r>
    </w:p>
    <w:p>
      <w:pPr>
        <w:pStyle w:val="ListBullet"/>
        <w:spacing w:before="20" w:after="40"/>
        <w:ind w:left="360"/>
      </w:pPr>
      <w:r>
        <w:rPr>
          <w:color w:val="4A5A6A"/>
          <w:sz w:val="21"/>
        </w:rPr>
      </w:r>
      <w:r>
        <w:rPr>
          <w:rFonts w:ascii="Courier New" w:hAnsi="Courier New"/>
          <w:color w:val="C7254E"/>
          <w:sz w:val="18"/>
        </w:rPr>
        <w:t>S₀ = 1.0</w:t>
      </w:r>
      <w:r>
        <w:rPr>
          <w:color w:val="4A5A6A"/>
          <w:sz w:val="21"/>
        </w:rPr>
        <w:t xml:space="preserve"> (normalised; MtM is relative return × notional)</w:t>
      </w:r>
    </w:p>
    <w:p>
      <w:pPr>
        <w:spacing w:before="40" w:after="80"/>
      </w:pPr>
      <w:r>
        <w:rPr>
          <w:color w:val="4A5A6A"/>
          <w:sz w:val="21"/>
        </w:rPr>
      </w:r>
      <w:r>
        <w:rPr>
          <w:b/>
          <w:color w:val="4A5A6A"/>
          <w:sz w:val="21"/>
        </w:rPr>
        <w:t>The `σ²/2` Itô correction</w:t>
      </w:r>
      <w:r>
        <w:rPr>
          <w:color w:val="4A5A6A"/>
          <w:sz w:val="21"/>
        </w:rPr>
        <w:t xml:space="preserve"> prevents upward bias in the expected value that would arise from a naïve Euler scheme. It ensures </w:t>
      </w:r>
      <w:r>
        <w:rPr>
          <w:rFonts w:ascii="Courier New" w:hAnsi="Courier New"/>
          <w:color w:val="4A5A6A"/>
          <w:sz w:val="21"/>
        </w:rPr>
        <w:t>E[S(T)] = S₀ × exp(μT)</w:t>
      </w:r>
      <w:r>
        <w:rPr>
          <w:color w:val="4A5A6A"/>
          <w:sz w:val="21"/>
        </w:rPr>
        <w:t>.</w:t>
      </w:r>
    </w:p>
    <w:p>
      <w:pPr>
        <w:spacing w:before="40" w:after="80"/>
      </w:pPr>
      <w:r>
        <w:rPr>
          <w:color w:val="4A5A6A"/>
          <w:sz w:val="21"/>
        </w:rPr>
      </w:r>
      <w:r>
        <w:rPr>
          <w:b/>
          <w:color w:val="4A5A6A"/>
          <w:sz w:val="21"/>
        </w:rPr>
        <w:t>Antithetic version:</w:t>
      </w:r>
      <w:r>
        <w:rPr>
          <w:color w:val="4A5A6A"/>
          <w:sz w:val="21"/>
        </w:rPr>
      </w:r>
    </w:p>
    <w:p>
      <w:pPr>
        <w:spacing w:before="0" w:after="0"/>
        <w:ind w:left="432"/>
        <w:shd w:val="clear" w:color="auto" w:fill="F4F4F4"/>
      </w:pPr>
      <w:r>
        <w:rPr>
          <w:rFonts w:ascii="Courier New" w:hAnsi="Courier New"/>
          <w:color w:val="2D2D2D"/>
          <w:sz w:val="17"/>
        </w:rPr>
        <w:t>S_anti(t + dt) = S(t) × exp[(μ − σ²/2) dt − σ√dt × Z]</w:t>
      </w:r>
    </w:p>
    <w:p>
      <w:pPr>
        <w:spacing w:after="80"/>
      </w:pPr>
    </w:p>
    <w:p>
      <w:pPr>
        <w:spacing w:before="40" w:after="80"/>
      </w:pPr>
      <w:r>
        <w:rPr>
          <w:color w:val="4A5A6A"/>
          <w:sz w:val="21"/>
        </w:rPr>
        <w:t xml:space="preserve">Uses </w:t>
      </w:r>
      <w:r>
        <w:rPr>
          <w:rFonts w:ascii="Courier New" w:hAnsi="Courier New"/>
          <w:color w:val="4A5A6A"/>
          <w:sz w:val="21"/>
        </w:rPr>
        <w:t>−Z</w:t>
      </w:r>
      <w:r>
        <w:rPr>
          <w:color w:val="4A5A6A"/>
          <w:sz w:val="21"/>
        </w:rPr>
        <w:t xml:space="preserve"> instead of </w:t>
      </w:r>
      <w:r>
        <w:rPr>
          <w:rFonts w:ascii="Courier New" w:hAnsi="Courier New"/>
          <w:color w:val="4A5A6A"/>
          <w:sz w:val="21"/>
        </w:rPr>
        <w:t>+Z</w:t>
      </w:r>
      <w:r>
        <w:rPr>
          <w:color w:val="4A5A6A"/>
          <w:sz w:val="21"/>
        </w:rPr>
        <w:t xml:space="preserve"> — the negative of the same random draw.</w:t>
      </w:r>
    </w:p>
    <w:p>
      <w:pPr>
        <w:pStyle w:val="Heading3"/>
      </w:pPr>
      <w:r>
        <w:t>5.2 Hull-White 1-Factor Model (IR)</w:t>
      </w:r>
    </w:p>
    <w:p>
      <w:pPr>
        <w:spacing w:before="40" w:after="80"/>
      </w:pPr>
      <w:r>
        <w:rPr>
          <w:color w:val="4A5A6A"/>
          <w:sz w:val="21"/>
        </w:rPr>
        <w:t xml:space="preserve">Used for interest rate risk factors. The short rate </w:t>
      </w:r>
      <w:r>
        <w:rPr>
          <w:i/>
          <w:color w:val="4A5A6A"/>
          <w:sz w:val="21"/>
        </w:rPr>
        <w:t>r</w:t>
      </w:r>
      <w:r>
        <w:rPr>
          <w:color w:val="4A5A6A"/>
          <w:sz w:val="21"/>
        </w:rPr>
        <w:t xml:space="preserve"> follows an Ornstein-Uhlenbeck process with mean reversion.</w:t>
      </w:r>
    </w:p>
    <w:p>
      <w:pPr>
        <w:spacing w:before="40" w:after="80"/>
      </w:pPr>
      <w:r>
        <w:rPr>
          <w:color w:val="4A5A6A"/>
          <w:sz w:val="21"/>
        </w:rPr>
      </w:r>
      <w:r>
        <w:rPr>
          <w:b/>
          <w:color w:val="4A5A6A"/>
          <w:sz w:val="21"/>
        </w:rPr>
        <w:t>Continuous-time SDE:</w:t>
      </w:r>
      <w:r>
        <w:rPr>
          <w:color w:val="4A5A6A"/>
          <w:sz w:val="21"/>
        </w:rPr>
      </w:r>
    </w:p>
    <w:p>
      <w:pPr>
        <w:spacing w:before="0" w:after="0"/>
        <w:ind w:left="432"/>
        <w:shd w:val="clear" w:color="auto" w:fill="F4F4F4"/>
      </w:pPr>
      <w:r>
        <w:rPr>
          <w:rFonts w:ascii="Courier New" w:hAnsi="Courier New"/>
          <w:color w:val="2D2D2D"/>
          <w:sz w:val="17"/>
        </w:rPr>
        <w:t>dr = κ(θ − r) dt + σᵣ dW</w:t>
      </w:r>
    </w:p>
    <w:p>
      <w:pPr>
        <w:spacing w:after="80"/>
      </w:pPr>
    </w:p>
    <w:p>
      <w:pPr>
        <w:spacing w:before="40" w:after="80"/>
      </w:pPr>
      <w:r>
        <w:rPr>
          <w:color w:val="4A5A6A"/>
          <w:sz w:val="21"/>
        </w:rPr>
      </w:r>
      <w:r>
        <w:rPr>
          <w:b/>
          <w:color w:val="4A5A6A"/>
          <w:sz w:val="21"/>
        </w:rPr>
        <w:t>Discretised (explicit Euler scheme):</w:t>
      </w:r>
      <w:r>
        <w:rPr>
          <w:color w:val="4A5A6A"/>
          <w:sz w:val="21"/>
        </w:rPr>
      </w:r>
    </w:p>
    <w:p>
      <w:pPr>
        <w:spacing w:before="0" w:after="0"/>
        <w:ind w:left="432"/>
        <w:shd w:val="clear" w:color="auto" w:fill="F4F4F4"/>
      </w:pPr>
      <w:r>
        <w:rPr>
          <w:rFonts w:ascii="Courier New" w:hAnsi="Courier New"/>
          <w:color w:val="2D2D2D"/>
          <w:sz w:val="17"/>
        </w:rPr>
        <w:t>r(t + dt) = r(t) + κ(θ − r(t)) dt + σᵣ√dt × Z</w:t>
      </w:r>
    </w:p>
    <w:p>
      <w:pPr>
        <w:spacing w:after="80"/>
      </w:pPr>
    </w:p>
    <w:p>
      <w:pPr>
        <w:spacing w:before="40" w:after="80"/>
      </w:pPr>
      <w:r>
        <w:rPr>
          <w:color w:val="4A5A6A"/>
          <w:sz w:val="21"/>
        </w:rPr>
        <w:t>Where:</w:t>
      </w:r>
    </w:p>
    <w:p>
      <w:pPr>
        <w:pStyle w:val="ListBullet"/>
        <w:spacing w:before="20" w:after="40"/>
        <w:ind w:left="360"/>
      </w:pPr>
      <w:r>
        <w:rPr>
          <w:color w:val="4A5A6A"/>
          <w:sz w:val="21"/>
        </w:rPr>
      </w:r>
      <w:r>
        <w:rPr>
          <w:rFonts w:ascii="Courier New" w:hAnsi="Courier New"/>
          <w:color w:val="C7254E"/>
          <w:sz w:val="18"/>
        </w:rPr>
        <w:t>κ</w:t>
      </w:r>
      <w:r>
        <w:rPr>
          <w:color w:val="4A5A6A"/>
          <w:sz w:val="21"/>
        </w:rPr>
        <w:t xml:space="preserve"> = mean reversion speed = 0.10 (pulls rate back to θ at rate 10% per year)</w:t>
      </w:r>
    </w:p>
    <w:p>
      <w:pPr>
        <w:pStyle w:val="ListBullet"/>
        <w:spacing w:before="20" w:after="40"/>
        <w:ind w:left="360"/>
      </w:pPr>
      <w:r>
        <w:rPr>
          <w:color w:val="4A5A6A"/>
          <w:sz w:val="21"/>
        </w:rPr>
      </w:r>
      <w:r>
        <w:rPr>
          <w:rFonts w:ascii="Courier New" w:hAnsi="Courier New"/>
          <w:color w:val="C7254E"/>
          <w:sz w:val="18"/>
        </w:rPr>
        <w:t>θ</w:t>
      </w:r>
      <w:r>
        <w:rPr>
          <w:color w:val="4A5A6A"/>
          <w:sz w:val="21"/>
        </w:rPr>
        <w:t xml:space="preserve"> = long-run mean rate = 0.045 (4.5%, calibrated from OIS forward curve)</w:t>
      </w:r>
    </w:p>
    <w:p>
      <w:pPr>
        <w:pStyle w:val="ListBullet"/>
        <w:spacing w:before="20" w:after="40"/>
        <w:ind w:left="360"/>
      </w:pPr>
      <w:r>
        <w:rPr>
          <w:color w:val="4A5A6A"/>
          <w:sz w:val="21"/>
        </w:rPr>
      </w:r>
      <w:r>
        <w:rPr>
          <w:rFonts w:ascii="Courier New" w:hAnsi="Courier New"/>
          <w:color w:val="C7254E"/>
          <w:sz w:val="18"/>
        </w:rPr>
        <w:t>σᵣ</w:t>
      </w:r>
      <w:r>
        <w:rPr>
          <w:color w:val="4A5A6A"/>
          <w:sz w:val="21"/>
        </w:rPr>
        <w:t xml:space="preserve"> = IR volatility = 0.015 base; 0.030 stressed</w:t>
      </w:r>
    </w:p>
    <w:p>
      <w:pPr>
        <w:pStyle w:val="ListBullet"/>
        <w:spacing w:before="20" w:after="40"/>
        <w:ind w:left="360"/>
      </w:pPr>
      <w:r>
        <w:rPr>
          <w:color w:val="4A5A6A"/>
          <w:sz w:val="21"/>
        </w:rPr>
      </w:r>
      <w:r>
        <w:rPr>
          <w:rFonts w:ascii="Courier New" w:hAnsi="Courier New"/>
          <w:color w:val="C7254E"/>
          <w:sz w:val="18"/>
        </w:rPr>
        <w:t>r₀</w:t>
      </w:r>
      <w:r>
        <w:rPr>
          <w:color w:val="4A5A6A"/>
          <w:sz w:val="21"/>
        </w:rPr>
        <w:t xml:space="preserve"> = initial short rate = 0.05 (5%)</w:t>
      </w:r>
    </w:p>
    <w:p>
      <w:pPr>
        <w:spacing w:before="40" w:after="80"/>
      </w:pPr>
      <w:r>
        <w:rPr>
          <w:color w:val="4A5A6A"/>
          <w:sz w:val="21"/>
        </w:rPr>
      </w:r>
      <w:r>
        <w:rPr>
          <w:b/>
          <w:color w:val="4A5A6A"/>
          <w:sz w:val="21"/>
        </w:rPr>
        <w:t>Bond Pricing with Convexity Correction:</w:t>
      </w:r>
      <w:r>
        <w:rPr>
          <w:color w:val="4A5A6A"/>
          <w:sz w:val="21"/>
        </w:rPr>
      </w:r>
    </w:p>
    <w:p>
      <w:pPr>
        <w:spacing w:before="40" w:after="80"/>
      </w:pPr>
      <w:r>
        <w:rPr>
          <w:color w:val="4A5A6A"/>
          <w:sz w:val="21"/>
        </w:rPr>
        <w:t>IR trade MtM is computed as the change in bond price rather than the change in rate directly:</w:t>
      </w:r>
    </w:p>
    <w:p>
      <w:pPr>
        <w:spacing w:before="0" w:after="0"/>
        <w:ind w:left="432"/>
        <w:shd w:val="clear" w:color="auto" w:fill="F4F4F4"/>
      </w:pPr>
      <w:r>
        <w:rPr>
          <w:rFonts w:ascii="Courier New" w:hAnsi="Courier New"/>
          <w:color w:val="2D2D2D"/>
          <w:sz w:val="17"/>
        </w:rPr>
        <w:t>P(r) ≈ 1 − duration × Δr + 0.5 × convexity × (Δr)²</w:t>
      </w:r>
    </w:p>
    <w:p>
      <w:pPr>
        <w:spacing w:after="80"/>
      </w:pPr>
    </w:p>
    <w:p>
      <w:pPr>
        <w:spacing w:before="40" w:after="80"/>
      </w:pPr>
      <w:r>
        <w:rPr>
          <w:color w:val="4A5A6A"/>
          <w:sz w:val="21"/>
        </w:rPr>
        <w:t>Where:</w:t>
      </w:r>
    </w:p>
    <w:p>
      <w:pPr>
        <w:pStyle w:val="ListBullet"/>
        <w:spacing w:before="20" w:after="40"/>
        <w:ind w:left="360"/>
      </w:pPr>
      <w:r>
        <w:rPr>
          <w:color w:val="4A5A6A"/>
          <w:sz w:val="21"/>
        </w:rPr>
      </w:r>
      <w:r>
        <w:rPr>
          <w:rFonts w:ascii="Courier New" w:hAnsi="Courier New"/>
          <w:color w:val="C7254E"/>
          <w:sz w:val="18"/>
        </w:rPr>
        <w:t>Δr = r(t) − r₀</w:t>
      </w:r>
      <w:r>
        <w:rPr>
          <w:color w:val="4A5A6A"/>
          <w:sz w:val="21"/>
        </w:rPr>
        <w:t xml:space="preserve"> = rate change from initial level</w:t>
      </w:r>
    </w:p>
    <w:p>
      <w:pPr>
        <w:pStyle w:val="ListBullet"/>
        <w:spacing w:before="20" w:after="40"/>
        <w:ind w:left="360"/>
      </w:pPr>
      <w:r>
        <w:rPr>
          <w:color w:val="4A5A6A"/>
          <w:sz w:val="21"/>
        </w:rPr>
      </w:r>
      <w:r>
        <w:rPr>
          <w:rFonts w:ascii="Courier New" w:hAnsi="Courier New"/>
          <w:color w:val="C7254E"/>
          <w:sz w:val="18"/>
        </w:rPr>
        <w:t>duration</w:t>
      </w:r>
      <w:r>
        <w:rPr>
          <w:color w:val="4A5A6A"/>
          <w:sz w:val="21"/>
        </w:rPr>
        <w:t xml:space="preserve"> = trade's remaining maturity in years (computed at runtime)</w:t>
      </w:r>
    </w:p>
    <w:p>
      <w:pPr>
        <w:pStyle w:val="ListBullet"/>
        <w:spacing w:before="20" w:after="40"/>
        <w:ind w:left="360"/>
      </w:pPr>
      <w:r>
        <w:rPr>
          <w:color w:val="4A5A6A"/>
          <w:sz w:val="21"/>
        </w:rPr>
      </w:r>
      <w:r>
        <w:rPr>
          <w:rFonts w:ascii="Courier New" w:hAnsi="Courier New"/>
          <w:color w:val="C7254E"/>
          <w:sz w:val="18"/>
        </w:rPr>
        <w:t>convexity</w:t>
      </w:r>
      <w:r>
        <w:rPr>
          <w:color w:val="4A5A6A"/>
          <w:sz w:val="21"/>
        </w:rPr>
        <w:t xml:space="preserve"> = 0.05 × duration² / 100 (approximation)</w:t>
      </w:r>
    </w:p>
    <w:p>
      <w:pPr>
        <w:spacing w:before="40" w:after="80"/>
      </w:pPr>
      <w:r>
        <w:rPr>
          <w:color w:val="4A5A6A"/>
          <w:sz w:val="21"/>
        </w:rPr>
        <w:t xml:space="preserve">The convexity term accounts for the </w:t>
      </w:r>
      <w:r>
        <w:rPr>
          <w:b/>
          <w:color w:val="4A5A6A"/>
          <w:sz w:val="21"/>
        </w:rPr>
        <w:t>positive convexity</w:t>
      </w:r>
      <w:r>
        <w:rPr>
          <w:color w:val="4A5A6A"/>
          <w:sz w:val="21"/>
        </w:rPr>
        <w:t xml:space="preserve"> of bond prices: duration understates the price gain when rates fall and overstates the price loss when rates rise.</w:t>
      </w:r>
    </w:p>
    <w:p>
      <w:pPr>
        <w:spacing w:before="40" w:after="80"/>
      </w:pPr>
      <w:r>
        <w:rPr>
          <w:color w:val="4A5A6A"/>
          <w:sz w:val="21"/>
        </w:rPr>
      </w:r>
      <w:r>
        <w:rPr>
          <w:b/>
          <w:color w:val="4A5A6A"/>
          <w:sz w:val="21"/>
        </w:rPr>
        <w:t>Bond MtM:</w:t>
      </w:r>
      <w:r>
        <w:rPr>
          <w:color w:val="4A5A6A"/>
          <w:sz w:val="21"/>
        </w:rPr>
      </w:r>
    </w:p>
    <w:p>
      <w:pPr>
        <w:spacing w:before="0" w:after="0"/>
        <w:ind w:left="432"/>
        <w:shd w:val="clear" w:color="auto" w:fill="F4F4F4"/>
      </w:pPr>
      <w:r>
        <w:rPr>
          <w:rFonts w:ascii="Courier New" w:hAnsi="Courier New"/>
          <w:color w:val="2D2D2D"/>
          <w:sz w:val="17"/>
        </w:rPr>
        <w:t>MtM_IR(t, i) = Notional × direction × [P(r(t,i)) − 1]</w:t>
      </w:r>
    </w:p>
    <w:p>
      <w:pPr>
        <w:spacing w:after="80"/>
      </w:pPr>
    </w:p>
    <w:p>
      <w:pPr>
        <w:pStyle w:val="Heading3"/>
      </w:pPr>
      <w:r>
        <w:t>5.3 Credit Default Swap (CDS) Exposure</w:t>
      </w:r>
    </w:p>
    <w:p>
      <w:pPr>
        <w:spacing w:before="0" w:after="0"/>
        <w:ind w:left="432"/>
        <w:shd w:val="clear" w:color="auto" w:fill="F4F4F4"/>
      </w:pPr>
      <w:r>
        <w:rPr>
          <w:rFonts w:ascii="Courier New" w:hAnsi="Courier New"/>
          <w:color w:val="2D2D2D"/>
          <w:sz w:val="17"/>
        </w:rPr>
        <w:t>MtM_CR(t, i) = Notional × direction × duration × (spread(t,i) − spread₀)</w:t>
      </w:r>
    </w:p>
    <w:p>
      <w:pPr>
        <w:spacing w:after="80"/>
      </w:pPr>
    </w:p>
    <w:p>
      <w:pPr>
        <w:spacing w:before="40" w:after="80"/>
      </w:pPr>
      <w:r>
        <w:rPr>
          <w:color w:val="4A5A6A"/>
          <w:sz w:val="21"/>
        </w:rPr>
        <w:t>Where spread paths are simulated as GBM with:</w:t>
      </w:r>
    </w:p>
    <w:p>
      <w:pPr>
        <w:pStyle w:val="ListBullet"/>
        <w:spacing w:before="20" w:after="40"/>
        <w:ind w:left="360"/>
      </w:pPr>
      <w:r>
        <w:rPr>
          <w:color w:val="4A5A6A"/>
          <w:sz w:val="21"/>
        </w:rPr>
      </w:r>
      <w:r>
        <w:rPr>
          <w:rFonts w:ascii="Courier New" w:hAnsi="Courier New"/>
          <w:color w:val="C7254E"/>
          <w:sz w:val="18"/>
        </w:rPr>
        <w:t>S₀ = 0.01</w:t>
      </w:r>
      <w:r>
        <w:rPr>
          <w:color w:val="4A5A6A"/>
          <w:sz w:val="21"/>
        </w:rPr>
        <w:t xml:space="preserve"> (100bp initial spread)</w:t>
      </w:r>
    </w:p>
    <w:p>
      <w:pPr>
        <w:pStyle w:val="ListBullet"/>
        <w:spacing w:before="20" w:after="40"/>
        <w:ind w:left="360"/>
      </w:pPr>
      <w:r>
        <w:rPr>
          <w:color w:val="4A5A6A"/>
          <w:sz w:val="21"/>
        </w:rPr>
      </w:r>
      <w:r>
        <w:rPr>
          <w:rFonts w:ascii="Courier New" w:hAnsi="Courier New"/>
          <w:color w:val="C7254E"/>
          <w:sz w:val="18"/>
        </w:rPr>
        <w:t>vol = 0.50</w:t>
      </w:r>
      <w:r>
        <w:rPr>
          <w:color w:val="4A5A6A"/>
          <w:sz w:val="21"/>
        </w:rPr>
        <w:t xml:space="preserve"> (50% spread volatility — high to reflect jump risk)</w:t>
      </w:r>
    </w:p>
    <w:p>
      <w:pPr>
        <w:pStyle w:val="Heading3"/>
      </w:pPr>
      <w:r>
        <w:t>5.4 Model Summary by Asset Class</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Asset Class</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Code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Model</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Key Parameters</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Equity</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EQ</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GBM</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μ=5%, σ=20% (base), 40% (stressed)</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Foreign Exchange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FX</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GBM</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μ=5%, σ=20% (base), 40% (stressed)</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Interest Rate</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IR</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Hull-White 1F</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κ=10%, θ=4.5%, σᵣ=1.5% (base), 3.0% (stressed)</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Credit (CDS)</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CR</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GBM (spread)</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S₀=100bp, vol=50%</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Commodity</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CMDTY</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GBM</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μ=5%, σ=30% (base)</w:t>
            </w:r>
          </w:p>
        </w:tc>
      </w:tr>
    </w:tbl>
    <w:p/>
    <w:p>
      <w:pPr>
        <w:pBdr>
          <w:bottom w:val="single" w:sz="6" w:space="1" w:color="9B111E"/>
        </w:pBdr>
        <w:spacing w:before="0" w:after="120"/>
      </w:pPr>
    </w:p>
    <w:p>
      <w:pPr>
        <w:pStyle w:val="Heading2"/>
      </w:pPr>
      <w:r>
        <w:t>6. Correlation &amp; Factor Model</w:t>
      </w:r>
    </w:p>
    <w:p>
      <w:pPr>
        <w:pStyle w:val="Heading3"/>
      </w:pPr>
      <w:r>
        <w:t>6.1 Factor Structure</w:t>
      </w:r>
    </w:p>
    <w:p>
      <w:pPr>
        <w:spacing w:before="40" w:after="80"/>
      </w:pPr>
      <w:r>
        <w:rPr>
          <w:color w:val="4A5A6A"/>
          <w:sz w:val="21"/>
        </w:rPr>
        <w:t>Six risk factors are modelled with a full correlation matrix:</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Index</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Factor</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Description</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EQ</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Equity risk</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FX</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Foreign exchange risk</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IR</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Interest rate risk</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3</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Credit spread risk</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4</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CMDTY</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Commodity risk</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Systemic / common market factor</w:t>
            </w:r>
          </w:p>
        </w:tc>
      </w:tr>
    </w:tbl>
    <w:p/>
    <w:p>
      <w:pPr>
        <w:pStyle w:val="Heading3"/>
      </w:pPr>
      <w:r>
        <w:t>6.2 Correlation Matrix</w:t>
      </w:r>
    </w:p>
    <w:p>
      <w:pPr>
        <w:spacing w:before="0" w:after="0"/>
        <w:ind w:left="432"/>
        <w:shd w:val="clear" w:color="auto" w:fill="F4F4F4"/>
      </w:pPr>
      <w:r>
        <w:rPr>
          <w:rFonts w:ascii="Courier New" w:hAnsi="Courier New"/>
          <w:color w:val="2D2D2D"/>
          <w:sz w:val="17"/>
        </w:rPr>
        <w:t xml:space="preserve">         EQ    FX    IR    CR    CMDTY  MKT</w:t>
      </w:r>
    </w:p>
    <w:p>
      <w:pPr>
        <w:spacing w:before="0" w:after="0"/>
        <w:ind w:left="432"/>
        <w:shd w:val="clear" w:color="auto" w:fill="F4F4F4"/>
      </w:pPr>
      <w:r>
        <w:rPr>
          <w:rFonts w:ascii="Courier New" w:hAnsi="Courier New"/>
          <w:color w:val="2D2D2D"/>
          <w:sz w:val="17"/>
        </w:rPr>
        <w:t>EQ    [1.00, 0.60, 0.20, 0.50, 0.40, 0.70]</w:t>
      </w:r>
    </w:p>
    <w:p>
      <w:pPr>
        <w:spacing w:before="0" w:after="0"/>
        <w:ind w:left="432"/>
        <w:shd w:val="clear" w:color="auto" w:fill="F4F4F4"/>
      </w:pPr>
      <w:r>
        <w:rPr>
          <w:rFonts w:ascii="Courier New" w:hAnsi="Courier New"/>
          <w:color w:val="2D2D2D"/>
          <w:sz w:val="17"/>
        </w:rPr>
        <w:t>FX    [0.60, 1.00, 0.15, 0.30, 0.35, 0.65]</w:t>
      </w:r>
    </w:p>
    <w:p>
      <w:pPr>
        <w:spacing w:before="0" w:after="0"/>
        <w:ind w:left="432"/>
        <w:shd w:val="clear" w:color="auto" w:fill="F4F4F4"/>
      </w:pPr>
      <w:r>
        <w:rPr>
          <w:rFonts w:ascii="Courier New" w:hAnsi="Courier New"/>
          <w:color w:val="2D2D2D"/>
          <w:sz w:val="17"/>
        </w:rPr>
        <w:t>IR    [0.20, 0.15, 1.00, 0.10, 0.05, 0.25]</w:t>
      </w:r>
    </w:p>
    <w:p>
      <w:pPr>
        <w:spacing w:before="0" w:after="0"/>
        <w:ind w:left="432"/>
        <w:shd w:val="clear" w:color="auto" w:fill="F4F4F4"/>
      </w:pPr>
      <w:r>
        <w:rPr>
          <w:rFonts w:ascii="Courier New" w:hAnsi="Courier New"/>
          <w:color w:val="2D2D2D"/>
          <w:sz w:val="17"/>
        </w:rPr>
        <w:t>CR    [0.50, 0.30, 0.10, 1.00, 0.20, 0.60]</w:t>
      </w:r>
    </w:p>
    <w:p>
      <w:pPr>
        <w:spacing w:before="0" w:after="0"/>
        <w:ind w:left="432"/>
        <w:shd w:val="clear" w:color="auto" w:fill="F4F4F4"/>
      </w:pPr>
      <w:r>
        <w:rPr>
          <w:rFonts w:ascii="Courier New" w:hAnsi="Courier New"/>
          <w:color w:val="2D2D2D"/>
          <w:sz w:val="17"/>
        </w:rPr>
        <w:t>CMDTY [0.40, 0.35, 0.05, 0.20, 1.00, 0.55]</w:t>
      </w:r>
    </w:p>
    <w:p>
      <w:pPr>
        <w:spacing w:before="0" w:after="0"/>
        <w:ind w:left="432"/>
        <w:shd w:val="clear" w:color="auto" w:fill="F4F4F4"/>
      </w:pPr>
      <w:r>
        <w:rPr>
          <w:rFonts w:ascii="Courier New" w:hAnsi="Courier New"/>
          <w:color w:val="2D2D2D"/>
          <w:sz w:val="17"/>
        </w:rPr>
        <w:t>MKT   [0.70, 0.65, 0.25, 0.60, 0.55, 1.00]</w:t>
      </w:r>
    </w:p>
    <w:p>
      <w:pPr>
        <w:spacing w:after="80"/>
      </w:pPr>
    </w:p>
    <w:p>
      <w:pPr>
        <w:spacing w:before="40" w:after="80"/>
      </w:pPr>
      <w:r>
        <w:rPr>
          <w:color w:val="4A5A6A"/>
          <w:sz w:val="21"/>
        </w:rPr>
        <w:t>Key observations:</w:t>
      </w:r>
    </w:p>
    <w:p>
      <w:pPr>
        <w:pStyle w:val="ListBullet"/>
        <w:spacing w:before="20" w:after="40"/>
        <w:ind w:left="360"/>
      </w:pPr>
      <w:r>
        <w:rPr>
          <w:color w:val="4A5A6A"/>
          <w:sz w:val="21"/>
        </w:rPr>
        <w:t>EQ–FX correlation of 0.60: equity and FX tend to co-move (risk-off sells equities and weakens domestic currency)</w:t>
      </w:r>
    </w:p>
    <w:p>
      <w:pPr>
        <w:pStyle w:val="ListBullet"/>
        <w:spacing w:before="20" w:after="40"/>
        <w:ind w:left="360"/>
      </w:pPr>
      <w:r>
        <w:rPr>
          <w:color w:val="4A5A6A"/>
          <w:sz w:val="21"/>
        </w:rPr>
        <w:t>IR has low correlation with everything (rates driven by central bank policy, not systemic risk)</w:t>
      </w:r>
    </w:p>
    <w:p>
      <w:pPr>
        <w:pStyle w:val="ListBullet"/>
        <w:spacing w:before="20" w:after="40"/>
        <w:ind w:left="360"/>
      </w:pPr>
      <w:r>
        <w:rPr>
          <w:color w:val="4A5A6A"/>
          <w:sz w:val="21"/>
        </w:rPr>
        <w:t>Credit correlates highly with equity (0.50) and the market factor (0.60) — consistent with the Merton model</w:t>
      </w:r>
    </w:p>
    <w:p>
      <w:pPr>
        <w:pStyle w:val="ListBullet"/>
        <w:spacing w:before="20" w:after="40"/>
        <w:ind w:left="360"/>
      </w:pPr>
      <w:r>
        <w:rPr>
          <w:color w:val="4A5A6A"/>
          <w:sz w:val="21"/>
        </w:rPr>
        <w:t>The market factor loads heavily on all assets — represents the systemic component</w:t>
      </w:r>
    </w:p>
    <w:p>
      <w:pPr>
        <w:pStyle w:val="Heading3"/>
      </w:pPr>
      <w:r>
        <w:t>6.3 Cholesky Decomposition for Correlated Draws</w:t>
      </w:r>
    </w:p>
    <w:p>
      <w:pPr>
        <w:spacing w:before="40" w:after="80"/>
      </w:pPr>
      <w:r>
        <w:rPr>
          <w:color w:val="4A5A6A"/>
          <w:sz w:val="21"/>
        </w:rPr>
        <w:t>To generate correlated random variables from the independent standard normals, the Cholesky factorisation of the correlation matrix is applied:</w:t>
      </w:r>
    </w:p>
    <w:p>
      <w:pPr>
        <w:spacing w:before="0" w:after="0"/>
        <w:ind w:left="432"/>
        <w:shd w:val="clear" w:color="auto" w:fill="F4F4F4"/>
      </w:pPr>
      <w:r>
        <w:rPr>
          <w:rFonts w:ascii="Courier New" w:hAnsi="Courier New"/>
          <w:color w:val="2D2D2D"/>
          <w:sz w:val="17"/>
        </w:rPr>
        <w:t>Σ = L × L^T    (Cholesky decomposition, lower-triangular L)</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Correlated draws: Z_corr = Z_uncorr @ L^T</w:t>
      </w:r>
    </w:p>
    <w:p>
      <w:pPr>
        <w:spacing w:after="80"/>
      </w:pPr>
    </w:p>
    <w:p>
      <w:pPr>
        <w:spacing w:before="40" w:after="80"/>
      </w:pPr>
      <w:r>
        <w:rPr>
          <w:color w:val="4A5A6A"/>
          <w:sz w:val="21"/>
        </w:rPr>
        <w:t xml:space="preserve">Where </w:t>
      </w:r>
      <w:r>
        <w:rPr>
          <w:rFonts w:ascii="Courier New" w:hAnsi="Courier New"/>
          <w:color w:val="4A5A6A"/>
          <w:sz w:val="21"/>
        </w:rPr>
        <w:t>Z_uncorr</w:t>
      </w:r>
      <w:r>
        <w:rPr>
          <w:color w:val="4A5A6A"/>
          <w:sz w:val="21"/>
        </w:rPr>
        <w:t xml:space="preserve"> is a matrix of independent N(0,1) draws.</w:t>
      </w:r>
    </w:p>
    <w:p>
      <w:pPr>
        <w:spacing w:before="40" w:after="80"/>
      </w:pPr>
      <w:r>
        <w:rPr>
          <w:color w:val="4A5A6A"/>
          <w:sz w:val="21"/>
        </w:rPr>
        <w:t>This is implemented via:</w:t>
      </w:r>
    </w:p>
    <w:p>
      <w:pPr>
        <w:spacing w:before="0" w:after="0"/>
        <w:ind w:left="432"/>
        <w:shd w:val="clear" w:color="auto" w:fill="F4F4F4"/>
      </w:pPr>
      <w:r>
        <w:rPr>
          <w:rFonts w:ascii="Courier New" w:hAnsi="Courier New"/>
          <w:color w:val="2D2D2D"/>
          <w:sz w:val="17"/>
        </w:rPr>
        <w:t>self.corr_chol = cholesky(self.p.correlation_matrix, lower=True)</w:t>
      </w:r>
    </w:p>
    <w:p>
      <w:pPr>
        <w:spacing w:before="0" w:after="0"/>
        <w:ind w:left="432"/>
        <w:shd w:val="clear" w:color="auto" w:fill="F4F4F4"/>
      </w:pPr>
      <w:r>
        <w:rPr>
          <w:rFonts w:ascii="Courier New" w:hAnsi="Courier New"/>
          <w:color w:val="2D2D2D"/>
          <w:sz w:val="17"/>
        </w:rPr>
        <w:t>correlated = np.einsum('...i,ji-&gt;...j', uncorrelated, self.corr_chol)</w:t>
      </w:r>
    </w:p>
    <w:p>
      <w:pPr>
        <w:spacing w:after="80"/>
      </w:pPr>
    </w:p>
    <w:p>
      <w:pPr>
        <w:spacing w:before="40" w:after="80"/>
      </w:pPr>
      <w:r>
        <w:rPr>
          <w:color w:val="4A5A6A"/>
          <w:sz w:val="21"/>
        </w:rPr>
        <w:t xml:space="preserve">The matrix is validated to be </w:t>
      </w:r>
      <w:r>
        <w:rPr>
          <w:b/>
          <w:color w:val="4A5A6A"/>
          <w:sz w:val="21"/>
        </w:rPr>
        <w:t>symmetric positive-definite</w:t>
      </w:r>
      <w:r>
        <w:rPr>
          <w:color w:val="4A5A6A"/>
          <w:sz w:val="21"/>
        </w:rPr>
        <w:t xml:space="preserve"> (all eigenvalues &gt; 0) before decomposition. If the matrix fails this check, calibration would produce unreliable risk estimates.</w:t>
      </w:r>
    </w:p>
    <w:p>
      <w:pPr>
        <w:pBdr>
          <w:bottom w:val="single" w:sz="6" w:space="1" w:color="9B111E"/>
        </w:pBdr>
        <w:spacing w:before="0" w:after="120"/>
      </w:pPr>
    </w:p>
    <w:p>
      <w:pPr>
        <w:pStyle w:val="Heading2"/>
      </w:pPr>
      <w:r>
        <w:t>7. Stressed EEPE — 2007–2009 Calibration</w:t>
      </w:r>
    </w:p>
    <w:p>
      <w:pPr>
        <w:pStyle w:val="Heading3"/>
      </w:pPr>
      <w:r>
        <w:t>7.1 Regulatory Requirement</w:t>
      </w:r>
    </w:p>
    <w:p>
      <w:pPr>
        <w:spacing w:before="40" w:after="80"/>
      </w:pPr>
      <w:r>
        <w:rPr>
          <w:color w:val="4A5A6A"/>
          <w:sz w:val="21"/>
        </w:rPr>
        <w:t xml:space="preserve">CRE53.17 requires banks to run a </w:t>
      </w:r>
      <w:r>
        <w:rPr>
          <w:b/>
          <w:color w:val="4A5A6A"/>
          <w:sz w:val="21"/>
        </w:rPr>
        <w:t>parallel simulation using parameters calibrated to the most stressful one-year period</w:t>
      </w:r>
      <w:r>
        <w:rPr>
          <w:color w:val="4A5A6A"/>
          <w:sz w:val="21"/>
        </w:rPr>
        <w:t xml:space="preserve"> in the observation window — typically the 2007–2009 global financial crisis.</w:t>
      </w:r>
    </w:p>
    <w:p>
      <w:pPr>
        <w:pStyle w:val="Heading3"/>
      </w:pPr>
      <w:r>
        <w:t>7.2 Stressed Parameters</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Parameter</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Base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Stressed</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Ratio</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Equity vol (σ)</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20%</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40%</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IR vol (σᵣ)</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1.5%</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3.0%</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FX vol</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20%</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40%</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Correlation matrix</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Base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Base (unchanged)</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r>
    </w:tbl>
    <w:p/>
    <w:p>
      <w:pPr>
        <w:spacing w:before="40" w:after="80"/>
      </w:pPr>
      <w:r>
        <w:rPr>
          <w:color w:val="4A5A6A"/>
          <w:sz w:val="21"/>
        </w:rPr>
        <w:t xml:space="preserve">The stressed calibration window is: </w:t>
      </w:r>
      <w:r>
        <w:rPr>
          <w:b/>
          <w:color w:val="4A5A6A"/>
          <w:sz w:val="21"/>
        </w:rPr>
        <w:t>1 January 2007 — 31 December 2009</w:t>
      </w:r>
      <w:r>
        <w:rPr>
          <w:color w:val="4A5A6A"/>
          <w:sz w:val="21"/>
        </w:rPr>
      </w:r>
    </w:p>
    <w:p>
      <w:pPr>
        <w:pStyle w:val="Heading3"/>
      </w:pPr>
      <w:r>
        <w:t>7.3 Stressed EAD Calculation</w:t>
      </w:r>
    </w:p>
    <w:p>
      <w:pPr>
        <w:spacing w:before="0" w:after="0"/>
        <w:ind w:left="432"/>
        <w:shd w:val="clear" w:color="auto" w:fill="F4F4F4"/>
      </w:pPr>
      <w:r>
        <w:rPr>
          <w:rFonts w:ascii="Courier New" w:hAnsi="Courier New"/>
          <w:color w:val="2D2D2D"/>
          <w:sz w:val="17"/>
        </w:rPr>
        <w:t>Stressed EEPE = average(Stressed EEE) over [0, 1yr]</w:t>
      </w:r>
    </w:p>
    <w:p>
      <w:pPr>
        <w:spacing w:before="0" w:after="0"/>
        <w:ind w:left="432"/>
        <w:shd w:val="clear" w:color="auto" w:fill="F4F4F4"/>
      </w:pPr>
      <w:r>
        <w:rPr>
          <w:rFonts w:ascii="Courier New" w:hAnsi="Courier New"/>
          <w:color w:val="2D2D2D"/>
          <w:sz w:val="17"/>
        </w:rPr>
        <w:t>Stressed EAD  = α × Stressed EEPE</w:t>
      </w:r>
    </w:p>
    <w:p>
      <w:pPr>
        <w:spacing w:after="80"/>
      </w:pPr>
    </w:p>
    <w:p>
      <w:pPr>
        <w:pStyle w:val="Heading3"/>
      </w:pPr>
      <w:r>
        <w:t>7.4 Capital Floor</w:t>
      </w:r>
    </w:p>
    <w:p>
      <w:pPr>
        <w:spacing w:before="40" w:after="80"/>
      </w:pPr>
      <w:r>
        <w:rPr>
          <w:color w:val="4A5A6A"/>
          <w:sz w:val="21"/>
        </w:rPr>
        <w:t xml:space="preserve">The regulatory capital charge uses the </w:t>
      </w:r>
      <w:r>
        <w:rPr>
          <w:b/>
          <w:color w:val="4A5A6A"/>
          <w:sz w:val="21"/>
        </w:rPr>
        <w:t>higher</w:t>
      </w:r>
      <w:r>
        <w:rPr>
          <w:color w:val="4A5A6A"/>
          <w:sz w:val="21"/>
        </w:rPr>
        <w:t xml:space="preserve"> of the base and stressed metrics in practice:</w:t>
      </w:r>
    </w:p>
    <w:p>
      <w:pPr>
        <w:spacing w:before="0" w:after="0"/>
        <w:ind w:left="432"/>
        <w:shd w:val="clear" w:color="auto" w:fill="F4F4F4"/>
      </w:pPr>
      <w:r>
        <w:rPr>
          <w:rFonts w:ascii="Courier New" w:hAnsi="Courier New"/>
          <w:color w:val="2D2D2D"/>
          <w:sz w:val="17"/>
        </w:rPr>
        <w:t>Capital EAD = max(Base EAD, Stressed EAD)</w:t>
      </w:r>
    </w:p>
    <w:p>
      <w:pPr>
        <w:spacing w:after="80"/>
      </w:pPr>
    </w:p>
    <w:p>
      <w:pPr>
        <w:spacing w:before="40" w:after="80"/>
      </w:pPr>
      <w:r>
        <w:rPr>
          <w:color w:val="4A5A6A"/>
          <w:sz w:val="21"/>
        </w:rPr>
        <w:t>This prevents banks from gaming the system by calibrating to a benign recent period.</w:t>
      </w:r>
    </w:p>
    <w:p>
      <w:pPr>
        <w:pBdr>
          <w:bottom w:val="single" w:sz="6" w:space="1" w:color="9B111E"/>
        </w:pBdr>
        <w:spacing w:before="0" w:after="120"/>
      </w:pPr>
    </w:p>
    <w:p>
      <w:pPr>
        <w:pStyle w:val="Heading2"/>
      </w:pPr>
      <w:r>
        <w:t>8. CSA / Collateral Adjustment</w:t>
      </w:r>
    </w:p>
    <w:p>
      <w:pPr>
        <w:pStyle w:val="Heading3"/>
      </w:pPr>
      <w:r>
        <w:t>8.1 Credit Support Annex (CSA) Terms</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Parameter</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Code Name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Default</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Description</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Threshold (TH)</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threshold</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$500,000</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Minimum exposure before counterparty posts collateral</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Haircut (h)</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haircut</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Discount applied to collateral value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Margin Period of Risk (MPOR)</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margin_period_of_risk</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10 days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Time lag to replace/close out after counterparty default</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Initial Margin (IM)</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initial_margin</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Upfront margin (one-way)</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Independent Amount (IA)</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independent_amount</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One-way collateral independent of MtM</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Daily Settlement</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daily_settlement</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True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Whether VM settles T+0</w:t>
            </w:r>
          </w:p>
        </w:tc>
      </w:tr>
    </w:tbl>
    <w:p/>
    <w:p>
      <w:pPr>
        <w:pStyle w:val="Heading3"/>
      </w:pPr>
      <w:r>
        <w:t>8.2 Regulatory CSA EAD (CRE53.22–53.23)</w:t>
      </w:r>
    </w:p>
    <w:p>
      <w:pPr>
        <w:spacing w:before="40" w:after="80"/>
      </w:pPr>
      <w:r>
        <w:rPr>
          <w:color w:val="4A5A6A"/>
          <w:sz w:val="21"/>
        </w:rPr>
        <w:t xml:space="preserve">The PROMETHEUS engine implements the </w:t>
      </w:r>
      <w:r>
        <w:rPr>
          <w:b/>
          <w:color w:val="4A5A6A"/>
          <w:sz w:val="21"/>
        </w:rPr>
        <w:t>two-component CRE53 regulatory formula</w:t>
      </w:r>
      <w:r>
        <w:rPr>
          <w:color w:val="4A5A6A"/>
          <w:sz w:val="21"/>
        </w:rPr>
        <w:t>:</w:t>
      </w:r>
    </w:p>
    <w:p>
      <w:pPr>
        <w:spacing w:before="40" w:after="80"/>
      </w:pPr>
      <w:r>
        <w:rPr>
          <w:color w:val="4A5A6A"/>
          <w:sz w:val="21"/>
        </w:rPr>
      </w:r>
      <w:r>
        <w:rPr>
          <w:b/>
          <w:color w:val="4A5A6A"/>
          <w:sz w:val="21"/>
        </w:rPr>
        <w:t>Component 1: RC Benefit (Current Exposure after VM)</w:t>
      </w:r>
      <w:r>
        <w:rPr>
          <w:color w:val="4A5A6A"/>
          <w:sz w:val="21"/>
        </w:rPr>
      </w:r>
    </w:p>
    <w:p>
      <w:pPr>
        <w:spacing w:before="40" w:after="80"/>
      </w:pPr>
      <w:r>
        <w:rPr>
          <w:color w:val="4A5A6A"/>
          <w:sz w:val="21"/>
        </w:rPr>
        <w:t>This mirrors the SA-CCR Replacement Cost formula (CRE52.18):</w:t>
      </w:r>
    </w:p>
    <w:p>
      <w:pPr>
        <w:spacing w:before="0" w:after="0"/>
        <w:ind w:left="432"/>
        <w:shd w:val="clear" w:color="auto" w:fill="F4F4F4"/>
      </w:pPr>
      <w:r>
        <w:rPr>
          <w:rFonts w:ascii="Courier New" w:hAnsi="Courier New"/>
          <w:color w:val="2D2D2D"/>
          <w:sz w:val="17"/>
        </w:rPr>
        <w:t>C     = VM + IM           (total collateral received)</w:t>
      </w:r>
    </w:p>
    <w:p>
      <w:pPr>
        <w:spacing w:before="0" w:after="0"/>
        <w:ind w:left="432"/>
        <w:shd w:val="clear" w:color="auto" w:fill="F4F4F4"/>
      </w:pPr>
      <w:r>
        <w:rPr>
          <w:rFonts w:ascii="Courier New" w:hAnsi="Courier New"/>
          <w:color w:val="2D2D2D"/>
          <w:sz w:val="17"/>
        </w:rPr>
        <w:t>RC_csa = max(V − C, TH + MTA − NICA, 0)</w:t>
      </w:r>
    </w:p>
    <w:p>
      <w:pPr>
        <w:spacing w:after="80"/>
      </w:pPr>
    </w:p>
    <w:p>
      <w:pPr>
        <w:spacing w:before="40" w:after="80"/>
      </w:pPr>
      <w:r>
        <w:rPr>
          <w:color w:val="4A5A6A"/>
          <w:sz w:val="21"/>
        </w:rPr>
        <w:t>Where:</w:t>
      </w:r>
    </w:p>
    <w:p>
      <w:pPr>
        <w:pStyle w:val="ListBullet"/>
        <w:spacing w:before="20" w:after="40"/>
        <w:ind w:left="360"/>
      </w:pPr>
      <w:r>
        <w:rPr>
          <w:color w:val="4A5A6A"/>
          <w:sz w:val="21"/>
        </w:rPr>
      </w:r>
      <w:r>
        <w:rPr>
          <w:rFonts w:ascii="Courier New" w:hAnsi="Courier New"/>
          <w:color w:val="C7254E"/>
          <w:sz w:val="18"/>
        </w:rPr>
        <w:t>V</w:t>
      </w:r>
      <w:r>
        <w:rPr>
          <w:color w:val="4A5A6A"/>
          <w:sz w:val="21"/>
        </w:rPr>
        <w:t xml:space="preserve"> = current net MtM of the netting set</w:t>
      </w:r>
    </w:p>
    <w:p>
      <w:pPr>
        <w:pStyle w:val="ListBullet"/>
        <w:spacing w:before="20" w:after="40"/>
        <w:ind w:left="360"/>
      </w:pPr>
      <w:r>
        <w:rPr>
          <w:color w:val="4A5A6A"/>
          <w:sz w:val="21"/>
        </w:rPr>
      </w:r>
      <w:r>
        <w:rPr>
          <w:rFonts w:ascii="Courier New" w:hAnsi="Courier New"/>
          <w:color w:val="C7254E"/>
          <w:sz w:val="18"/>
        </w:rPr>
        <w:t>VM</w:t>
      </w:r>
      <w:r>
        <w:rPr>
          <w:color w:val="4A5A6A"/>
          <w:sz w:val="21"/>
        </w:rPr>
        <w:t xml:space="preserve"> = variation margin received</w:t>
      </w:r>
    </w:p>
    <w:p>
      <w:pPr>
        <w:pStyle w:val="ListBullet"/>
        <w:spacing w:before="20" w:after="40"/>
        <w:ind w:left="360"/>
      </w:pPr>
      <w:r>
        <w:rPr>
          <w:color w:val="4A5A6A"/>
          <w:sz w:val="21"/>
        </w:rPr>
      </w:r>
      <w:r>
        <w:rPr>
          <w:rFonts w:ascii="Courier New" w:hAnsi="Courier New"/>
          <w:color w:val="C7254E"/>
          <w:sz w:val="18"/>
        </w:rPr>
        <w:t>IM</w:t>
      </w:r>
      <w:r>
        <w:rPr>
          <w:color w:val="4A5A6A"/>
          <w:sz w:val="21"/>
        </w:rPr>
        <w:t xml:space="preserve"> = initial margin received</w:t>
      </w:r>
    </w:p>
    <w:p>
      <w:pPr>
        <w:pStyle w:val="ListBullet"/>
        <w:spacing w:before="20" w:after="40"/>
        <w:ind w:left="360"/>
      </w:pPr>
      <w:r>
        <w:rPr>
          <w:color w:val="4A5A6A"/>
          <w:sz w:val="21"/>
        </w:rPr>
      </w:r>
      <w:r>
        <w:rPr>
          <w:rFonts w:ascii="Courier New" w:hAnsi="Courier New"/>
          <w:color w:val="C7254E"/>
          <w:sz w:val="18"/>
        </w:rPr>
        <w:t>TH</w:t>
      </w:r>
      <w:r>
        <w:rPr>
          <w:color w:val="4A5A6A"/>
          <w:sz w:val="21"/>
        </w:rPr>
        <w:t xml:space="preserve"> = threshold</w:t>
      </w:r>
    </w:p>
    <w:p>
      <w:pPr>
        <w:pStyle w:val="ListBullet"/>
        <w:spacing w:before="20" w:after="40"/>
        <w:ind w:left="360"/>
      </w:pPr>
      <w:r>
        <w:rPr>
          <w:color w:val="4A5A6A"/>
          <w:sz w:val="21"/>
        </w:rPr>
      </w:r>
      <w:r>
        <w:rPr>
          <w:rFonts w:ascii="Courier New" w:hAnsi="Courier New"/>
          <w:color w:val="C7254E"/>
          <w:sz w:val="18"/>
        </w:rPr>
        <w:t>MTA</w:t>
      </w:r>
      <w:r>
        <w:rPr>
          <w:color w:val="4A5A6A"/>
          <w:sz w:val="21"/>
        </w:rPr>
        <w:t xml:space="preserve"> = minimum transfer amount</w:t>
      </w:r>
    </w:p>
    <w:p>
      <w:pPr>
        <w:pStyle w:val="ListBullet"/>
        <w:spacing w:before="20" w:after="40"/>
        <w:ind w:left="360"/>
      </w:pPr>
      <w:r>
        <w:rPr>
          <w:color w:val="4A5A6A"/>
          <w:sz w:val="21"/>
        </w:rPr>
      </w:r>
      <w:r>
        <w:rPr>
          <w:rFonts w:ascii="Courier New" w:hAnsi="Courier New"/>
          <w:color w:val="C7254E"/>
          <w:sz w:val="18"/>
        </w:rPr>
        <w:t>NICA</w:t>
      </w:r>
      <w:r>
        <w:rPr>
          <w:color w:val="4A5A6A"/>
          <w:sz w:val="21"/>
        </w:rPr>
        <w:t xml:space="preserve"> = net independent collateral amount (= IM received)</w:t>
      </w:r>
    </w:p>
    <w:p>
      <w:pPr>
        <w:spacing w:before="40" w:after="80"/>
      </w:pPr>
      <w:r>
        <w:rPr>
          <w:color w:val="4A5A6A"/>
          <w:sz w:val="21"/>
        </w:rPr>
      </w:r>
      <w:r>
        <w:rPr>
          <w:b/>
          <w:color w:val="4A5A6A"/>
          <w:sz w:val="21"/>
        </w:rPr>
        <w:t>Component 2: MPOR Benefit (Future Exposure Scaling)</w:t>
      </w:r>
      <w:r>
        <w:rPr>
          <w:color w:val="4A5A6A"/>
          <w:sz w:val="21"/>
        </w:rPr>
      </w:r>
    </w:p>
    <w:p>
      <w:pPr>
        <w:spacing w:before="40" w:after="80"/>
      </w:pPr>
      <w:r>
        <w:rPr>
          <w:color w:val="4A5A6A"/>
          <w:sz w:val="21"/>
        </w:rPr>
        <w:t>The future exposure window is reduced from the full trade maturity to just the MPOR:</w:t>
      </w:r>
    </w:p>
    <w:p>
      <w:pPr>
        <w:spacing w:before="0" w:after="0"/>
        <w:ind w:left="432"/>
        <w:shd w:val="clear" w:color="auto" w:fill="F4F4F4"/>
      </w:pPr>
      <w:r>
        <w:rPr>
          <w:rFonts w:ascii="Courier New" w:hAnsi="Courier New"/>
          <w:color w:val="2D2D2D"/>
          <w:sz w:val="17"/>
        </w:rPr>
        <w:t>EEPE_mpor = EEPE_gross × √(MPOR / 250)</w:t>
      </w:r>
    </w:p>
    <w:p>
      <w:pPr>
        <w:spacing w:after="80"/>
      </w:pPr>
    </w:p>
    <w:p>
      <w:pPr>
        <w:spacing w:before="40" w:after="80"/>
      </w:pPr>
      <w:r>
        <w:rPr>
          <w:color w:val="4A5A6A"/>
          <w:sz w:val="21"/>
        </w:rPr>
        <w:t>For a standard 10-day MPOR:</w:t>
      </w:r>
    </w:p>
    <w:p>
      <w:pPr>
        <w:spacing w:before="0" w:after="0"/>
        <w:ind w:left="432"/>
        <w:shd w:val="clear" w:color="auto" w:fill="F4F4F4"/>
      </w:pPr>
      <w:r>
        <w:rPr>
          <w:rFonts w:ascii="Courier New" w:hAnsi="Courier New"/>
          <w:color w:val="2D2D2D"/>
          <w:sz w:val="17"/>
        </w:rPr>
        <w:t>√(10 / 250) = √0.04 = 0.2</w:t>
      </w:r>
    </w:p>
    <w:p>
      <w:pPr>
        <w:spacing w:before="0" w:after="0"/>
        <w:ind w:left="432"/>
        <w:shd w:val="clear" w:color="auto" w:fill="F4F4F4"/>
      </w:pPr>
      <w:r>
        <w:rPr>
          <w:rFonts w:ascii="Courier New" w:hAnsi="Courier New"/>
          <w:color w:val="2D2D2D"/>
          <w:sz w:val="17"/>
        </w:rPr>
        <w:t>EEPE_mpor = EEPE_gross × 0.2   → 80% reduction in future exposure</w:t>
      </w:r>
    </w:p>
    <w:p>
      <w:pPr>
        <w:spacing w:after="80"/>
      </w:pPr>
    </w:p>
    <w:p>
      <w:pPr>
        <w:spacing w:before="40" w:after="80"/>
      </w:pPr>
      <w:r>
        <w:rPr>
          <w:color w:val="4A5A6A"/>
          <w:sz w:val="21"/>
        </w:rPr>
      </w:r>
      <w:r>
        <w:rPr>
          <w:b/>
          <w:color w:val="4A5A6A"/>
          <w:sz w:val="21"/>
        </w:rPr>
        <w:t>Combined Regulatory EAD:</w:t>
      </w:r>
      <w:r>
        <w:rPr>
          <w:color w:val="4A5A6A"/>
          <w:sz w:val="21"/>
        </w:rPr>
      </w:r>
    </w:p>
    <w:p>
      <w:pPr>
        <w:spacing w:before="0" w:after="0"/>
        <w:ind w:left="432"/>
        <w:shd w:val="clear" w:color="auto" w:fill="F4F4F4"/>
      </w:pPr>
      <w:r>
        <w:rPr>
          <w:rFonts w:ascii="Courier New" w:hAnsi="Courier New"/>
          <w:color w:val="2D2D2D"/>
          <w:sz w:val="17"/>
        </w:rPr>
        <w:t>EAD_csa = α × (RC_csa + EEPE_mpor)</w:t>
      </w:r>
    </w:p>
    <w:p>
      <w:pPr>
        <w:spacing w:after="80"/>
      </w:pPr>
    </w:p>
    <w:p>
      <w:pPr>
        <w:pStyle w:val="Heading3"/>
      </w:pPr>
      <w:r>
        <w:t>8.3 CSA EAD Reduction Example</w:t>
      </w:r>
    </w:p>
    <w:p>
      <w:pPr>
        <w:spacing w:before="0" w:after="0"/>
        <w:ind w:left="432"/>
        <w:shd w:val="clear" w:color="auto" w:fill="F4F4F4"/>
      </w:pPr>
      <w:r>
        <w:rPr>
          <w:rFonts w:ascii="Courier New" w:hAnsi="Courier New"/>
          <w:color w:val="2D2D2D"/>
          <w:sz w:val="17"/>
        </w:rPr>
        <w:t>Given:</w:t>
      </w:r>
    </w:p>
    <w:p>
      <w:pPr>
        <w:spacing w:before="0" w:after="0"/>
        <w:ind w:left="432"/>
        <w:shd w:val="clear" w:color="auto" w:fill="F4F4F4"/>
      </w:pPr>
      <w:r>
        <w:rPr>
          <w:rFonts w:ascii="Courier New" w:hAnsi="Courier New"/>
          <w:color w:val="2D2D2D"/>
          <w:sz w:val="17"/>
        </w:rPr>
        <w:t xml:space="preserve">  EEPE_gross = 50,000</w:t>
      </w:r>
    </w:p>
    <w:p>
      <w:pPr>
        <w:spacing w:before="0" w:after="0"/>
        <w:ind w:left="432"/>
        <w:shd w:val="clear" w:color="auto" w:fill="F4F4F4"/>
      </w:pPr>
      <w:r>
        <w:rPr>
          <w:rFonts w:ascii="Courier New" w:hAnsi="Courier New"/>
          <w:color w:val="2D2D2D"/>
          <w:sz w:val="17"/>
        </w:rPr>
        <w:t xml:space="preserve">  V = 45,000,  VM = 40,000,  IM = 0</w:t>
      </w:r>
    </w:p>
    <w:p>
      <w:pPr>
        <w:spacing w:before="0" w:after="0"/>
        <w:ind w:left="432"/>
        <w:shd w:val="clear" w:color="auto" w:fill="F4F4F4"/>
      </w:pPr>
      <w:r>
        <w:rPr>
          <w:rFonts w:ascii="Courier New" w:hAnsi="Courier New"/>
          <w:color w:val="2D2D2D"/>
          <w:sz w:val="17"/>
        </w:rPr>
        <w:t xml:space="preserve">  TH = 500,  MTA = 0,  MPOR = 10 days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Step 1: RC_csa = max(45000−40000, 500+0−0, 0) = max(5000, 500, 0) = 5,000</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Step 2: EEPE_mpor = 50,000 × √(10/250) = 50,000 × 0.2 = 10,000</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Step 3: EAD_csa = 1.4 × (5,000 + 10,000) = 1.4 × 15,000 = 21,000</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Base EAD (no CSA) = 1.4 × 50,000 = 70,000</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CSA Reduction = (70,000 − 21,000) / 70,000 = 70%  ← significant capital saving</w:t>
      </w:r>
    </w:p>
    <w:p>
      <w:pPr>
        <w:spacing w:after="80"/>
      </w:pPr>
    </w:p>
    <w:p>
      <w:pPr>
        <w:pStyle w:val="Heading3"/>
      </w:pPr>
      <w:r>
        <w:t>8.4 Path-Level CSA Adjustment (Internal Use)</w:t>
      </w:r>
    </w:p>
    <w:p>
      <w:pPr>
        <w:spacing w:before="40" w:after="80"/>
      </w:pPr>
      <w:r>
        <w:rPr>
          <w:color w:val="4A5A6A"/>
          <w:sz w:val="21"/>
        </w:rPr>
        <w:t xml:space="preserve">In addition to the regulatory formula, the engine provides a </w:t>
      </w:r>
      <w:r>
        <w:rPr>
          <w:b/>
          <w:color w:val="4A5A6A"/>
          <w:sz w:val="21"/>
        </w:rPr>
        <w:t>path-level collateral adjustment</w:t>
      </w:r>
      <w:r>
        <w:rPr>
          <w:color w:val="4A5A6A"/>
          <w:sz w:val="21"/>
        </w:rPr>
        <w:t xml:space="preserve"> for internal analytics:</w:t>
      </w:r>
    </w:p>
    <w:p>
      <w:pPr>
        <w:spacing w:before="0" w:after="0"/>
        <w:ind w:left="432"/>
        <w:shd w:val="clear" w:color="auto" w:fill="F4F4F4"/>
      </w:pPr>
      <w:r>
        <w:rPr>
          <w:rFonts w:ascii="Courier New" w:hAnsi="Courier New"/>
          <w:color w:val="2D2D2D"/>
          <w:sz w:val="17"/>
        </w:rPr>
        <w:t>Net Exposure(t, i) = max(0, (Exposure(t,i) − TH) × h)</w:t>
      </w:r>
    </w:p>
    <w:p>
      <w:pPr>
        <w:spacing w:before="0" w:after="0"/>
        <w:ind w:left="432"/>
        <w:shd w:val="clear" w:color="auto" w:fill="F4F4F4"/>
      </w:pPr>
      <w:r>
        <w:rPr>
          <w:rFonts w:ascii="Courier New" w:hAnsi="Courier New"/>
          <w:color w:val="2D2D2D"/>
          <w:sz w:val="17"/>
        </w:rPr>
        <w:t>EE_net(t)          = mean over scenarios of Net Exposure(t, i)</w:t>
      </w:r>
    </w:p>
    <w:p>
      <w:pPr>
        <w:spacing w:before="0" w:after="0"/>
        <w:ind w:left="432"/>
        <w:shd w:val="clear" w:color="auto" w:fill="F4F4F4"/>
      </w:pPr>
      <w:r>
        <w:rPr>
          <w:rFonts w:ascii="Courier New" w:hAnsi="Courier New"/>
          <w:color w:val="2D2D2D"/>
          <w:sz w:val="17"/>
        </w:rPr>
        <w:t>EEE_net(t)         = non-decreasing envelope of EE_net</w:t>
      </w:r>
    </w:p>
    <w:p>
      <w:pPr>
        <w:spacing w:before="0" w:after="0"/>
        <w:ind w:left="432"/>
        <w:shd w:val="clear" w:color="auto" w:fill="F4F4F4"/>
      </w:pPr>
      <w:r>
        <w:rPr>
          <w:rFonts w:ascii="Courier New" w:hAnsi="Courier New"/>
          <w:color w:val="2D2D2D"/>
          <w:sz w:val="17"/>
        </w:rPr>
        <w:t>EEPE_csa           = mean(EEE_net) over [0, 1yr]</w:t>
      </w:r>
    </w:p>
    <w:p>
      <w:pPr>
        <w:spacing w:before="0" w:after="0"/>
        <w:ind w:left="432"/>
        <w:shd w:val="clear" w:color="auto" w:fill="F4F4F4"/>
      </w:pPr>
      <w:r>
        <w:rPr>
          <w:rFonts w:ascii="Courier New" w:hAnsi="Courier New"/>
          <w:color w:val="2D2D2D"/>
          <w:sz w:val="17"/>
        </w:rPr>
        <w:t>EAD_csa_internal   = α × EEPE_csa</w:t>
      </w:r>
    </w:p>
    <w:p>
      <w:pPr>
        <w:spacing w:after="80"/>
      </w:pPr>
    </w:p>
    <w:p>
      <w:pPr>
        <w:spacing w:before="40" w:after="80"/>
      </w:pPr>
      <w:r>
        <w:rPr>
          <w:color w:val="4A5A6A"/>
          <w:sz w:val="21"/>
        </w:rPr>
        <w:t>This path-level method is more accurate but is supplementary; the regulatory EAD uses the CRE53.22 formula above.</w:t>
      </w:r>
    </w:p>
    <w:p>
      <w:pPr>
        <w:pBdr>
          <w:bottom w:val="single" w:sz="6" w:space="1" w:color="9B111E"/>
        </w:pBdr>
        <w:spacing w:before="0" w:after="120"/>
      </w:pPr>
    </w:p>
    <w:p>
      <w:pPr>
        <w:pStyle w:val="Heading2"/>
      </w:pPr>
      <w:r>
        <w:t>9. Credit Valuation Adjustment (CVA)</w:t>
      </w:r>
    </w:p>
    <w:p>
      <w:pPr>
        <w:spacing w:before="40" w:after="80"/>
      </w:pPr>
      <w:r>
        <w:rPr>
          <w:color w:val="4A5A6A"/>
          <w:sz w:val="21"/>
        </w:rPr>
        <w:t xml:space="preserve">CVA is the </w:t>
      </w:r>
      <w:r>
        <w:rPr>
          <w:b/>
          <w:color w:val="4A5A6A"/>
          <w:sz w:val="21"/>
        </w:rPr>
        <w:t>market value of counterparty credit risk</w:t>
      </w:r>
      <w:r>
        <w:rPr>
          <w:color w:val="4A5A6A"/>
          <w:sz w:val="21"/>
        </w:rPr>
        <w:t xml:space="preserve"> — the expected loss due to the counterparty defaulting before maturity.</w:t>
      </w:r>
    </w:p>
    <w:p>
      <w:pPr>
        <w:pStyle w:val="Heading3"/>
      </w:pPr>
      <w:r>
        <w:t>9.1 Formula</w:t>
      </w:r>
    </w:p>
    <w:p>
      <w:pPr>
        <w:spacing w:before="0" w:after="0"/>
        <w:ind w:left="432"/>
        <w:shd w:val="clear" w:color="auto" w:fill="F4F4F4"/>
      </w:pPr>
      <w:r>
        <w:rPr>
          <w:rFonts w:ascii="Courier New" w:hAnsi="Courier New"/>
          <w:color w:val="2D2D2D"/>
          <w:sz w:val="17"/>
        </w:rPr>
        <w:t>CVA = ∫₀ᵀ (1 − RR) × EE(t) × dQ(t) × D(t)</w:t>
      </w:r>
    </w:p>
    <w:p>
      <w:pPr>
        <w:spacing w:after="80"/>
      </w:pPr>
    </w:p>
    <w:p>
      <w:pPr>
        <w:spacing w:before="40" w:after="80"/>
      </w:pPr>
      <w:r>
        <w:rPr>
          <w:color w:val="4A5A6A"/>
          <w:sz w:val="21"/>
        </w:rPr>
      </w:r>
      <w:r>
        <w:rPr>
          <w:b/>
          <w:color w:val="4A5A6A"/>
          <w:sz w:val="21"/>
        </w:rPr>
        <w:t>Discretised (trapezoidal integration):</w:t>
      </w:r>
      <w:r>
        <w:rPr>
          <w:color w:val="4A5A6A"/>
          <w:sz w:val="21"/>
        </w:rPr>
      </w:r>
    </w:p>
    <w:p>
      <w:pPr>
        <w:spacing w:before="0" w:after="0"/>
        <w:ind w:left="432"/>
        <w:shd w:val="clear" w:color="auto" w:fill="F4F4F4"/>
      </w:pPr>
      <w:r>
        <w:rPr>
          <w:rFonts w:ascii="Courier New" w:hAnsi="Courier New"/>
          <w:color w:val="2D2D2D"/>
          <w:sz w:val="17"/>
        </w:rPr>
        <w:t>CVA = Σₜ (1 − RR) × EE_mid(t) × PD(t) × D(t)</w:t>
      </w:r>
    </w:p>
    <w:p>
      <w:pPr>
        <w:spacing w:after="80"/>
      </w:pPr>
    </w:p>
    <w:p>
      <w:pPr>
        <w:spacing w:before="40" w:after="80"/>
      </w:pPr>
      <w:r>
        <w:rPr>
          <w:color w:val="4A5A6A"/>
          <w:sz w:val="21"/>
        </w:rPr>
        <w:t>Where:</w:t>
      </w:r>
    </w:p>
    <w:p>
      <w:pPr>
        <w:pStyle w:val="ListBullet"/>
        <w:spacing w:before="20" w:after="40"/>
        <w:ind w:left="360"/>
      </w:pPr>
      <w:r>
        <w:rPr>
          <w:color w:val="4A5A6A"/>
          <w:sz w:val="21"/>
        </w:rPr>
      </w:r>
      <w:r>
        <w:rPr>
          <w:rFonts w:ascii="Courier New" w:hAnsi="Courier New"/>
          <w:color w:val="C7254E"/>
          <w:sz w:val="18"/>
        </w:rPr>
        <w:t>RR</w:t>
      </w:r>
      <w:r>
        <w:rPr>
          <w:color w:val="4A5A6A"/>
          <w:sz w:val="21"/>
        </w:rPr>
        <w:t xml:space="preserve"> = recovery rate = </w:t>
      </w:r>
      <w:r>
        <w:rPr>
          <w:b/>
          <w:color w:val="1E2A3A"/>
        </w:rPr>
        <w:t>40%</w:t>
      </w:r>
      <w:r>
        <w:rPr>
          <w:color w:val="4A5A6A"/>
          <w:sz w:val="21"/>
        </w:rPr>
        <w:t xml:space="preserve"> (Basel standard)</w:t>
      </w:r>
    </w:p>
    <w:p>
      <w:pPr>
        <w:pStyle w:val="ListBullet"/>
        <w:spacing w:before="20" w:after="40"/>
        <w:ind w:left="360"/>
      </w:pPr>
      <w:r>
        <w:rPr>
          <w:color w:val="4A5A6A"/>
          <w:sz w:val="21"/>
        </w:rPr>
      </w:r>
      <w:r>
        <w:rPr>
          <w:rFonts w:ascii="Courier New" w:hAnsi="Courier New"/>
          <w:color w:val="C7254E"/>
          <w:sz w:val="18"/>
        </w:rPr>
        <w:t>EE_mid(t)</w:t>
      </w:r>
      <w:r>
        <w:rPr>
          <w:color w:val="4A5A6A"/>
          <w:sz w:val="21"/>
        </w:rPr>
        <w:t xml:space="preserve"> = (EE(t) + EE(t+1)) / 2 (midpoint approximation)</w:t>
      </w:r>
    </w:p>
    <w:p>
      <w:pPr>
        <w:pStyle w:val="ListBullet"/>
        <w:spacing w:before="20" w:after="40"/>
        <w:ind w:left="360"/>
      </w:pPr>
      <w:r>
        <w:rPr>
          <w:color w:val="4A5A6A"/>
          <w:sz w:val="21"/>
        </w:rPr>
      </w:r>
      <w:r>
        <w:rPr>
          <w:rFonts w:ascii="Courier New" w:hAnsi="Courier New"/>
          <w:color w:val="C7254E"/>
          <w:sz w:val="18"/>
        </w:rPr>
        <w:t>PD(t)</w:t>
      </w:r>
      <w:r>
        <w:rPr>
          <w:color w:val="4A5A6A"/>
          <w:sz w:val="21"/>
        </w:rPr>
        <w:t xml:space="preserve"> = probability of default over [t, t+dt] = 1 − exp(−λ × dt)</w:t>
      </w:r>
    </w:p>
    <w:p>
      <w:pPr>
        <w:pStyle w:val="ListBullet"/>
        <w:spacing w:before="20" w:after="40"/>
        <w:ind w:left="360"/>
      </w:pPr>
      <w:r>
        <w:rPr>
          <w:color w:val="4A5A6A"/>
          <w:sz w:val="21"/>
        </w:rPr>
      </w:r>
      <w:r>
        <w:rPr>
          <w:rFonts w:ascii="Courier New" w:hAnsi="Courier New"/>
          <w:color w:val="C7254E"/>
          <w:sz w:val="18"/>
        </w:rPr>
        <w:t>λ</w:t>
      </w:r>
      <w:r>
        <w:rPr>
          <w:color w:val="4A5A6A"/>
          <w:sz w:val="21"/>
        </w:rPr>
        <w:t xml:space="preserve"> = hazard rate = CDS spread / (1 − RR)</w:t>
      </w:r>
    </w:p>
    <w:p>
      <w:pPr>
        <w:pStyle w:val="ListBullet"/>
        <w:spacing w:before="20" w:after="40"/>
        <w:ind w:left="360"/>
      </w:pPr>
      <w:r>
        <w:rPr>
          <w:color w:val="4A5A6A"/>
          <w:sz w:val="21"/>
        </w:rPr>
      </w:r>
      <w:r>
        <w:rPr>
          <w:rFonts w:ascii="Courier New" w:hAnsi="Courier New"/>
          <w:color w:val="C7254E"/>
          <w:sz w:val="18"/>
        </w:rPr>
        <w:t>D(t)</w:t>
      </w:r>
      <w:r>
        <w:rPr>
          <w:color w:val="4A5A6A"/>
          <w:sz w:val="21"/>
        </w:rPr>
        <w:t xml:space="preserve"> = discount factor = exp(−r × t) with r = 3%</w:t>
      </w:r>
    </w:p>
    <w:p>
      <w:pPr>
        <w:pStyle w:val="ListBullet"/>
        <w:spacing w:before="20" w:after="40"/>
        <w:ind w:left="360"/>
      </w:pPr>
      <w:r>
        <w:rPr>
          <w:color w:val="4A5A6A"/>
          <w:sz w:val="21"/>
        </w:rPr>
      </w:r>
      <w:r>
        <w:rPr>
          <w:rFonts w:ascii="Courier New" w:hAnsi="Courier New"/>
          <w:color w:val="C7254E"/>
          <w:sz w:val="18"/>
        </w:rPr>
        <w:t>CDS spread</w:t>
      </w:r>
      <w:r>
        <w:rPr>
          <w:color w:val="4A5A6A"/>
          <w:sz w:val="21"/>
        </w:rPr>
        <w:t xml:space="preserve"> = credit default swap spread for the counterparty (default: 50bp)</w:t>
      </w:r>
    </w:p>
    <w:p>
      <w:pPr>
        <w:pStyle w:val="Heading3"/>
      </w:pPr>
      <w:r>
        <w:t>9.2 Interpretation</w:t>
      </w:r>
    </w:p>
    <w:tbl>
      <w:tblPr>
        <w:tblStyle w:val="TableGrid"/>
        <w:tblW w:type="auto" w:w="0"/>
        <w:jc w:val="left"/>
        <w:tblLook w:firstColumn="1" w:firstRow="1" w:lastColumn="0" w:lastRow="0" w:noHBand="0" w:noVBand="1" w:val="04A0"/>
      </w:tblPr>
      <w:tblGrid>
        <w:gridCol w:w="4370"/>
        <w:gridCol w:w="4370"/>
      </w:tblGrid>
      <w:tr>
        <w:trPr>
          <w:trHeight w:val="369"/>
        </w:trPr>
        <w:tc>
          <w:tcPr>
            <w:tcW w:type="dxa" w:w="432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CVA Value</w:t>
            </w:r>
          </w:p>
        </w:tc>
        <w:tc>
          <w:tcPr>
            <w:tcW w:type="dxa" w:w="432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Meaning</w:t>
            </w:r>
          </w:p>
        </w:tc>
      </w:tr>
      <w:tr>
        <w:trPr>
          <w:trHeight w:val="369"/>
        </w:trPr>
        <w:tc>
          <w:tcPr>
            <w:tcW w:type="dxa" w:w="432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Higher CVA</w:t>
            </w:r>
          </w:p>
        </w:tc>
        <w:tc>
          <w:tcPr>
            <w:tcW w:type="dxa" w:w="432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Counterparty is riskier (wider CDS) or exposure is larger</w:t>
            </w:r>
          </w:p>
        </w:tc>
      </w:tr>
      <w:tr>
        <w:trPr>
          <w:trHeight w:val="369"/>
        </w:trPr>
        <w:tc>
          <w:tcPr>
            <w:tcW w:type="dxa" w:w="432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CVA = 0</w:t>
            </w:r>
          </w:p>
        </w:tc>
        <w:tc>
          <w:tcPr>
            <w:tcW w:type="dxa" w:w="432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Perfectly safe counterparty (zero default probability)</w:t>
            </w:r>
          </w:p>
        </w:tc>
      </w:tr>
    </w:tbl>
    <w:p/>
    <w:p>
      <w:pPr>
        <w:spacing w:before="40" w:after="80"/>
      </w:pPr>
      <w:r>
        <w:rPr>
          <w:color w:val="4A5A6A"/>
          <w:sz w:val="21"/>
        </w:rPr>
        <w:t>CVA represents the upfront cost that should be charged to a counterparty for bearing their credit risk. A CRO would see this as the "fair-value haircut" on the trade portfolio.</w:t>
      </w:r>
    </w:p>
    <w:p>
      <w:pPr>
        <w:pBdr>
          <w:bottom w:val="single" w:sz="6" w:space="1" w:color="9B111E"/>
        </w:pBdr>
        <w:spacing w:before="0" w:after="120"/>
      </w:pPr>
    </w:p>
    <w:p>
      <w:pPr>
        <w:pStyle w:val="Heading2"/>
      </w:pPr>
      <w:r>
        <w:t>10. Dynamic Initial Margin (DIM)</w:t>
      </w:r>
    </w:p>
    <w:p>
      <w:pPr>
        <w:spacing w:before="40" w:after="80"/>
      </w:pPr>
      <w:r>
        <w:rPr>
          <w:color w:val="4A5A6A"/>
          <w:sz w:val="21"/>
        </w:rPr>
        <w:t xml:space="preserve">DIM captures the </w:t>
      </w:r>
      <w:r>
        <w:rPr>
          <w:b/>
          <w:color w:val="4A5A6A"/>
          <w:sz w:val="21"/>
        </w:rPr>
        <w:t>tail risk beyond EEPE</w:t>
      </w:r>
      <w:r>
        <w:rPr>
          <w:color w:val="4A5A6A"/>
          <w:sz w:val="21"/>
        </w:rPr>
        <w:t xml:space="preserve"> that might be required as initial margin under bilateral margin rules (BCBS-IOSCO UMR framework).</w:t>
      </w:r>
    </w:p>
    <w:p>
      <w:pPr>
        <w:pStyle w:val="Heading3"/>
      </w:pPr>
      <w:r>
        <w:t>10.1 Formula</w:t>
      </w:r>
    </w:p>
    <w:p>
      <w:pPr>
        <w:spacing w:before="0" w:after="0"/>
        <w:ind w:left="432"/>
        <w:shd w:val="clear" w:color="auto" w:fill="F4F4F4"/>
      </w:pPr>
      <w:r>
        <w:rPr>
          <w:rFonts w:ascii="Courier New" w:hAnsi="Courier New"/>
          <w:color w:val="2D2D2D"/>
          <w:sz w:val="17"/>
        </w:rPr>
        <w:t>DIM = max(0, (ES₉₇.₅ − EEPE) / α)</w:t>
      </w:r>
    </w:p>
    <w:p>
      <w:pPr>
        <w:spacing w:after="80"/>
      </w:pPr>
    </w:p>
    <w:p>
      <w:pPr>
        <w:spacing w:before="40" w:after="80"/>
      </w:pPr>
      <w:r>
        <w:rPr>
          <w:color w:val="4A5A6A"/>
          <w:sz w:val="21"/>
        </w:rPr>
        <w:t>Where:</w:t>
      </w:r>
    </w:p>
    <w:p>
      <w:pPr>
        <w:pStyle w:val="ListBullet"/>
        <w:spacing w:before="20" w:after="40"/>
        <w:ind w:left="360"/>
      </w:pPr>
      <w:r>
        <w:rPr>
          <w:color w:val="4A5A6A"/>
          <w:sz w:val="21"/>
        </w:rPr>
      </w:r>
      <w:r>
        <w:rPr>
          <w:rFonts w:ascii="Courier New" w:hAnsi="Courier New"/>
          <w:color w:val="C7254E"/>
          <w:sz w:val="18"/>
        </w:rPr>
        <w:t>ES₉₇.₅</w:t>
      </w:r>
      <w:r>
        <w:rPr>
          <w:color w:val="4A5A6A"/>
          <w:sz w:val="21"/>
        </w:rPr>
        <w:t xml:space="preserve"> = Expected Shortfall at 97.5% confidence (approximated by PFE_95)</w:t>
      </w:r>
    </w:p>
    <w:p>
      <w:pPr>
        <w:pStyle w:val="ListBullet"/>
        <w:spacing w:before="20" w:after="40"/>
        <w:ind w:left="360"/>
      </w:pPr>
      <w:r>
        <w:rPr>
          <w:color w:val="4A5A6A"/>
          <w:sz w:val="21"/>
        </w:rPr>
      </w:r>
      <w:r>
        <w:rPr>
          <w:rFonts w:ascii="Courier New" w:hAnsi="Courier New"/>
          <w:color w:val="C7254E"/>
          <w:sz w:val="18"/>
        </w:rPr>
        <w:t>α</w:t>
      </w:r>
      <w:r>
        <w:rPr>
          <w:color w:val="4A5A6A"/>
          <w:sz w:val="21"/>
        </w:rPr>
        <w:t xml:space="preserve"> = 1.4 (regulatory alpha)</w:t>
      </w:r>
    </w:p>
    <w:p>
      <w:pPr>
        <w:pStyle w:val="ListBullet"/>
        <w:spacing w:before="20" w:after="40"/>
        <w:ind w:left="360"/>
      </w:pPr>
      <w:r>
        <w:rPr>
          <w:color w:val="4A5A6A"/>
          <w:sz w:val="21"/>
        </w:rPr>
        <w:t>Floored at zero (DIM cannot be negative)</w:t>
      </w:r>
    </w:p>
    <w:p>
      <w:pPr>
        <w:pStyle w:val="Heading3"/>
      </w:pPr>
      <w:r>
        <w:t>10.2 Intuition</w:t>
      </w:r>
    </w:p>
    <w:p>
      <w:pPr>
        <w:pStyle w:val="ListBullet"/>
        <w:spacing w:before="20" w:after="40"/>
        <w:ind w:left="360"/>
      </w:pPr>
      <w:r>
        <w:rPr>
          <w:color w:val="4A5A6A"/>
          <w:sz w:val="21"/>
        </w:rPr>
        <w:t>If ES ≈ EEPE, DIM ≈ 0 — the tail is not much worse than the average (well-behaved distribution)</w:t>
      </w:r>
    </w:p>
    <w:p>
      <w:pPr>
        <w:pStyle w:val="ListBullet"/>
        <w:spacing w:before="20" w:after="40"/>
        <w:ind w:left="360"/>
      </w:pPr>
      <w:r>
        <w:rPr>
          <w:color w:val="4A5A6A"/>
          <w:sz w:val="21"/>
        </w:rPr>
        <w:t>If ES &gt;&gt; EEPE, DIM &gt; 0 — the tail is "fat", requiring extra margin protection</w:t>
      </w:r>
    </w:p>
    <w:p>
      <w:pPr>
        <w:pBdr>
          <w:bottom w:val="single" w:sz="6" w:space="1" w:color="9B111E"/>
        </w:pBdr>
        <w:spacing w:before="0" w:after="120"/>
      </w:pPr>
    </w:p>
    <w:p>
      <w:pPr>
        <w:pStyle w:val="Heading2"/>
      </w:pPr>
      <w:r>
        <w:t>11. FRTB Counterparty Risk Add-On</w:t>
      </w:r>
    </w:p>
    <w:p>
      <w:pPr>
        <w:spacing w:before="40" w:after="80"/>
      </w:pPr>
      <w:r>
        <w:rPr>
          <w:color w:val="4A5A6A"/>
          <w:sz w:val="21"/>
        </w:rPr>
        <w:t xml:space="preserve">A simplified add-on for </w:t>
      </w:r>
      <w:r>
        <w:rPr>
          <w:b/>
          <w:color w:val="4A5A6A"/>
          <w:sz w:val="21"/>
        </w:rPr>
        <w:t>Fundamental Review of the Trading Book (FRTB)</w:t>
      </w:r>
      <w:r>
        <w:rPr>
          <w:color w:val="4A5A6A"/>
          <w:sz w:val="21"/>
        </w:rPr>
        <w:t xml:space="preserve"> counterparty risk:</w:t>
      </w:r>
    </w:p>
    <w:p>
      <w:pPr>
        <w:spacing w:before="0" w:after="0"/>
        <w:ind w:left="432"/>
        <w:shd w:val="clear" w:color="auto" w:fill="F4F4F4"/>
      </w:pPr>
      <w:r>
        <w:rPr>
          <w:rFonts w:ascii="Courier New" w:hAnsi="Courier New"/>
          <w:color w:val="2D2D2D"/>
          <w:sz w:val="17"/>
        </w:rPr>
        <w:t>FRTB_addon = 0.15 × Notional_total × √(EEPE / Notional_total)</w:t>
      </w:r>
    </w:p>
    <w:p>
      <w:pPr>
        <w:spacing w:before="0" w:after="0"/>
        <w:ind w:left="432"/>
        <w:shd w:val="clear" w:color="auto" w:fill="F4F4F4"/>
      </w:pPr>
      <w:r>
        <w:rPr>
          <w:rFonts w:ascii="Courier New" w:hAnsi="Courier New"/>
          <w:color w:val="2D2D2D"/>
          <w:sz w:val="17"/>
        </w:rPr>
        <w:t xml:space="preserve">           = 0.15 × √(EEPE × Notional_total)</w:t>
      </w:r>
    </w:p>
    <w:p>
      <w:pPr>
        <w:spacing w:after="80"/>
      </w:pPr>
    </w:p>
    <w:p>
      <w:pPr>
        <w:spacing w:before="40" w:after="80"/>
      </w:pPr>
      <w:r>
        <w:rPr>
          <w:color w:val="4A5A6A"/>
          <w:sz w:val="21"/>
        </w:rPr>
        <w:t>This captures that the FRTB CCR risk scales with both the notional size (portfolio risk) and the relative exposure intensity (EEPE / notional).</w:t>
      </w:r>
    </w:p>
    <w:p>
      <w:pPr>
        <w:pBdr>
          <w:bottom w:val="single" w:sz="6" w:space="1" w:color="9B111E"/>
        </w:pBdr>
        <w:spacing w:before="0" w:after="120"/>
      </w:pPr>
    </w:p>
    <w:p>
      <w:pPr>
        <w:pStyle w:val="Heading2"/>
      </w:pPr>
      <w:r>
        <w:t>12. Sensitivity Analysis — Greeks</w:t>
      </w:r>
    </w:p>
    <w:p>
      <w:pPr>
        <w:spacing w:before="40" w:after="80"/>
      </w:pPr>
      <w:r>
        <w:rPr>
          <w:color w:val="4A5A6A"/>
          <w:sz w:val="21"/>
        </w:rPr>
        <w:t xml:space="preserve">The engine computes first-order sensitivities of EAD to market parameters using </w:t>
      </w:r>
      <w:r>
        <w:rPr>
          <w:b/>
          <w:color w:val="4A5A6A"/>
          <w:sz w:val="21"/>
        </w:rPr>
        <w:t>central finite differences</w:t>
      </w:r>
      <w:r>
        <w:rPr>
          <w:color w:val="4A5A6A"/>
          <w:sz w:val="21"/>
        </w:rPr>
        <w:t>:</w:t>
      </w:r>
    </w:p>
    <w:p>
      <w:pPr>
        <w:spacing w:before="0" w:after="0"/>
        <w:ind w:left="432"/>
        <w:shd w:val="clear" w:color="auto" w:fill="F4F4F4"/>
      </w:pPr>
      <w:r>
        <w:rPr>
          <w:rFonts w:ascii="Courier New" w:hAnsi="Courier New"/>
          <w:color w:val="2D2D2D"/>
          <w:sz w:val="17"/>
        </w:rPr>
        <w:t>∂EAD/∂x ≈ [EAD(x + ε) − EAD(x − ε)] / (2ε)</w:t>
      </w:r>
    </w:p>
    <w:p>
      <w:pPr>
        <w:spacing w:after="80"/>
      </w:pPr>
    </w:p>
    <w:p>
      <w:pPr>
        <w:spacing w:before="40" w:after="80"/>
      </w:pPr>
      <w:r>
        <w:rPr>
          <w:color w:val="4A5A6A"/>
          <w:sz w:val="21"/>
        </w:rPr>
        <w:t>A new Monte Carlo engine is spun up for each bump, recalculating the full EEPE with the perturbed parameter.</w:t>
      </w:r>
    </w:p>
    <w:p>
      <w:pPr>
        <w:pStyle w:val="Heading3"/>
      </w:pPr>
      <w:r>
        <w:t>12.1 Vega — Equity (∂EAD/∂σ_EQ)</w:t>
      </w:r>
    </w:p>
    <w:p>
      <w:pPr>
        <w:spacing w:before="0" w:after="0"/>
        <w:ind w:left="432"/>
        <w:shd w:val="clear" w:color="auto" w:fill="F4F4F4"/>
      </w:pPr>
      <w:r>
        <w:rPr>
          <w:rFonts w:ascii="Courier New" w:hAnsi="Courier New"/>
          <w:color w:val="2D2D2D"/>
          <w:sz w:val="17"/>
        </w:rPr>
        <w:t>Bump size: ε = 1% (0.01)</w:t>
      </w:r>
    </w:p>
    <w:p>
      <w:pPr>
        <w:spacing w:before="0" w:after="0"/>
        <w:ind w:left="432"/>
        <w:shd w:val="clear" w:color="auto" w:fill="F4F4F4"/>
      </w:pPr>
      <w:r>
        <w:rPr>
          <w:rFonts w:ascii="Courier New" w:hAnsi="Courier New"/>
          <w:color w:val="2D2D2D"/>
          <w:sz w:val="17"/>
        </w:rPr>
        <w:t>Interpretation: change in EAD for a 1% increase in equity volatility</w:t>
      </w:r>
    </w:p>
    <w:p>
      <w:pPr>
        <w:spacing w:after="80"/>
      </w:pPr>
    </w:p>
    <w:p>
      <w:pPr>
        <w:spacing w:before="40" w:after="80"/>
      </w:pPr>
      <w:r>
        <w:rPr>
          <w:color w:val="4A5A6A"/>
          <w:sz w:val="21"/>
        </w:rPr>
        <w:t>A large positive vega_equity means the portfolio EAD is highly sensitive to equity vol spikes — a warning sign under stress scenarios.</w:t>
      </w:r>
    </w:p>
    <w:p>
      <w:pPr>
        <w:pStyle w:val="Heading3"/>
      </w:pPr>
      <w:r>
        <w:t>12.2 Vega — Interest Rate (∂EAD/∂σ_IR)</w:t>
      </w:r>
    </w:p>
    <w:p>
      <w:pPr>
        <w:spacing w:before="0" w:after="0"/>
        <w:ind w:left="432"/>
        <w:shd w:val="clear" w:color="auto" w:fill="F4F4F4"/>
      </w:pPr>
      <w:r>
        <w:rPr>
          <w:rFonts w:ascii="Courier New" w:hAnsi="Courier New"/>
          <w:color w:val="2D2D2D"/>
          <w:sz w:val="17"/>
        </w:rPr>
        <w:t>Bump size: ε = 0.1% (0.001)</w:t>
      </w:r>
    </w:p>
    <w:p>
      <w:pPr>
        <w:spacing w:before="0" w:after="0"/>
        <w:ind w:left="432"/>
        <w:shd w:val="clear" w:color="auto" w:fill="F4F4F4"/>
      </w:pPr>
      <w:r>
        <w:rPr>
          <w:rFonts w:ascii="Courier New" w:hAnsi="Courier New"/>
          <w:color w:val="2D2D2D"/>
          <w:sz w:val="17"/>
        </w:rPr>
        <w:t>Interpretation: change in EAD for a 10bp increase in IR volatility</w:t>
      </w:r>
    </w:p>
    <w:p>
      <w:pPr>
        <w:spacing w:after="80"/>
      </w:pPr>
    </w:p>
    <w:p>
      <w:pPr>
        <w:pStyle w:val="Heading3"/>
      </w:pPr>
      <w:r>
        <w:t>12.3 Vega — Credit (∂EAD/∂ρ_CR)</w:t>
      </w:r>
    </w:p>
    <w:p>
      <w:pPr>
        <w:spacing w:before="40" w:after="80"/>
      </w:pPr>
      <w:r>
        <w:rPr>
          <w:color w:val="4A5A6A"/>
          <w:sz w:val="21"/>
        </w:rPr>
        <w:t>Measured via bumping the credit factor row/column in the correlation matrix:</w:t>
      </w:r>
    </w:p>
    <w:p>
      <w:pPr>
        <w:spacing w:before="0" w:after="0"/>
        <w:ind w:left="432"/>
        <w:shd w:val="clear" w:color="auto" w:fill="F4F4F4"/>
      </w:pPr>
      <w:r>
        <w:rPr>
          <w:rFonts w:ascii="Courier New" w:hAnsi="Courier New"/>
          <w:color w:val="2D2D2D"/>
          <w:sz w:val="17"/>
        </w:rPr>
        <w:t>Bump size: 5% correlation point change on CR index (row/col 3)</w:t>
      </w:r>
    </w:p>
    <w:p>
      <w:pPr>
        <w:spacing w:after="80"/>
      </w:pPr>
    </w:p>
    <w:p>
      <w:pPr>
        <w:pStyle w:val="Heading3"/>
      </w:pPr>
      <w:r>
        <w:t>12.4 Rho — Rate Level Sensitivity (∂EAD/∂r)</w:t>
      </w:r>
    </w:p>
    <w:p>
      <w:pPr>
        <w:spacing w:before="0" w:after="0"/>
        <w:ind w:left="432"/>
        <w:shd w:val="clear" w:color="auto" w:fill="F4F4F4"/>
      </w:pPr>
      <w:r>
        <w:rPr>
          <w:rFonts w:ascii="Courier New" w:hAnsi="Courier New"/>
          <w:color w:val="2D2D2D"/>
          <w:sz w:val="17"/>
        </w:rPr>
        <w:t>Bump size: ±25bp (0.0025)</w:t>
      </w:r>
    </w:p>
    <w:p>
      <w:pPr>
        <w:spacing w:before="0" w:after="0"/>
        <w:ind w:left="432"/>
        <w:shd w:val="clear" w:color="auto" w:fill="F4F4F4"/>
      </w:pPr>
      <w:r>
        <w:rPr>
          <w:rFonts w:ascii="Courier New" w:hAnsi="Courier New"/>
          <w:color w:val="2D2D2D"/>
          <w:sz w:val="17"/>
        </w:rPr>
        <w:t>Interpretation: change in EAD for a 25bp parallel shift in rates (via drift μ)</w:t>
      </w:r>
    </w:p>
    <w:p>
      <w:pPr>
        <w:spacing w:after="80"/>
      </w:pPr>
    </w:p>
    <w:p>
      <w:pPr>
        <w:spacing w:before="40" w:after="80"/>
      </w:pPr>
      <w:r>
        <w:rPr>
          <w:color w:val="4A5A6A"/>
          <w:sz w:val="21"/>
        </w:rPr>
        <w:t>A negative rho means EAD falls when rates rise — common for pay-fixed IR portfolios.</w:t>
      </w:r>
    </w:p>
    <w:p>
      <w:pPr>
        <w:pStyle w:val="Heading3"/>
      </w:pPr>
      <w:r>
        <w:t>12.5 Lambda — Market Factor Correlation (∂EAD/∂ρ_MKT)</w:t>
      </w:r>
    </w:p>
    <w:p>
      <w:pPr>
        <w:spacing w:before="0" w:after="0"/>
        <w:ind w:left="432"/>
        <w:shd w:val="clear" w:color="auto" w:fill="F4F4F4"/>
      </w:pPr>
      <w:r>
        <w:rPr>
          <w:rFonts w:ascii="Courier New" w:hAnsi="Courier New"/>
          <w:color w:val="2D2D2D"/>
          <w:sz w:val="17"/>
        </w:rPr>
        <w:t>Bump size: 5% correlation point change on market factor (row/col 5)</w:t>
      </w:r>
    </w:p>
    <w:p>
      <w:pPr>
        <w:spacing w:before="0" w:after="0"/>
        <w:ind w:left="432"/>
        <w:shd w:val="clear" w:color="auto" w:fill="F4F4F4"/>
      </w:pPr>
      <w:r>
        <w:rPr>
          <w:rFonts w:ascii="Courier New" w:hAnsi="Courier New"/>
          <w:color w:val="2D2D2D"/>
          <w:sz w:val="17"/>
        </w:rPr>
        <w:t>Interpretation: sensitivity to systemic correlation increases (crisis scenario)</w:t>
      </w:r>
    </w:p>
    <w:p>
      <w:pPr>
        <w:spacing w:after="80"/>
      </w:pPr>
    </w:p>
    <w:p>
      <w:pPr>
        <w:spacing w:before="40" w:after="80"/>
      </w:pPr>
      <w:r>
        <w:rPr>
          <w:color w:val="4A5A6A"/>
          <w:sz w:val="21"/>
        </w:rPr>
        <w:t>Large positive lambda indicates concentration risk — the portfolio would underperform significantly in a systemic stress event.</w:t>
      </w:r>
    </w:p>
    <w:p>
      <w:pPr>
        <w:pStyle w:val="Heading3"/>
      </w:pPr>
      <w:r>
        <w:t>12.6 All Greeks Summary</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Greek</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Formula</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Bump</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Regulatory Use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vega_equity</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∂EAD/∂σ_EQ</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 vol</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SA sensitivity</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vega_ir</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∂EAD/∂σ_IR</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10bp vol</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SA sensitivity</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vega_credit</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∂EAD/∂ρ_CR</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 corr</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CVA sensitivity</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rho</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∂EAD/∂r</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25bp</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IR risk</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lambda_corr</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∂EAD/∂ρ_MKT</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 corr</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Wrong-way risk indicator</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vega_stress</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∂EAD/∂σ (large)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 vol</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Stress calibration sensitivity</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volga</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∂²EAD/∂σ²</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(Reserved — second-order)</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vanna</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∂²EAD/∂σ∂r</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(Reserved — second-order)</w:t>
            </w:r>
          </w:p>
        </w:tc>
      </w:tr>
    </w:tbl>
    <w:p/>
    <w:p>
      <w:pPr>
        <w:pBdr>
          <w:bottom w:val="single" w:sz="6" w:space="1" w:color="9B111E"/>
        </w:pBdr>
        <w:spacing w:before="0" w:after="120"/>
      </w:pPr>
    </w:p>
    <w:p>
      <w:pPr>
        <w:pStyle w:val="Heading2"/>
      </w:pPr>
      <w:r>
        <w:t>13. Incremental &amp; Marginal Risk</w:t>
      </w:r>
    </w:p>
    <w:p>
      <w:pPr>
        <w:pStyle w:val="Heading3"/>
      </w:pPr>
      <w:r>
        <w:t>13.1 Marginal EAD per Trade</w:t>
      </w:r>
    </w:p>
    <w:p>
      <w:pPr>
        <w:spacing w:before="40" w:after="80"/>
      </w:pPr>
      <w:r>
        <w:rPr>
          <w:color w:val="4A5A6A"/>
          <w:sz w:val="21"/>
        </w:rPr>
        <w:t>The change in total portfolio EAD when a single trade is removed:</w:t>
      </w:r>
    </w:p>
    <w:p>
      <w:pPr>
        <w:spacing w:before="0" w:after="0"/>
        <w:ind w:left="432"/>
        <w:shd w:val="clear" w:color="auto" w:fill="F4F4F4"/>
      </w:pPr>
      <w:r>
        <w:rPr>
          <w:rFonts w:ascii="Courier New" w:hAnsi="Courier New"/>
          <w:color w:val="2D2D2D"/>
          <w:sz w:val="17"/>
        </w:rPr>
        <w:t>Marginal EAD(trade i) = EAD(full portfolio) − EAD(portfolio without trade i)</w:t>
      </w:r>
    </w:p>
    <w:p>
      <w:pPr>
        <w:spacing w:after="80"/>
      </w:pPr>
    </w:p>
    <w:p>
      <w:pPr>
        <w:spacing w:before="40" w:after="80"/>
      </w:pPr>
      <w:r>
        <w:rPr>
          <w:color w:val="4A5A6A"/>
          <w:sz w:val="21"/>
        </w:rPr>
        <w:t xml:space="preserve">This measures the </w:t>
      </w:r>
      <w:r>
        <w:rPr>
          <w:b/>
          <w:color w:val="4A5A6A"/>
          <w:sz w:val="21"/>
        </w:rPr>
        <w:t>diversification benefit or concentration risk</w:t>
      </w:r>
      <w:r>
        <w:rPr>
          <w:color w:val="4A5A6A"/>
          <w:sz w:val="21"/>
        </w:rPr>
        <w:t xml:space="preserve"> of each trade.</w:t>
      </w:r>
    </w:p>
    <w:p>
      <w:pPr>
        <w:pStyle w:val="ListBullet"/>
        <w:spacing w:before="20" w:after="40"/>
        <w:ind w:left="360"/>
      </w:pPr>
      <w:r>
        <w:rPr>
          <w:color w:val="4A5A6A"/>
          <w:sz w:val="21"/>
        </w:rPr>
        <w:t>A large positive marginal EAD → trade adds significant risk (consider netting, collateral, or termination)</w:t>
      </w:r>
    </w:p>
    <w:p>
      <w:pPr>
        <w:pStyle w:val="ListBullet"/>
        <w:spacing w:before="20" w:after="40"/>
        <w:ind w:left="360"/>
      </w:pPr>
      <w:r>
        <w:rPr>
          <w:color w:val="4A5A6A"/>
          <w:sz w:val="21"/>
        </w:rPr>
        <w:t xml:space="preserve">A negative marginal EAD → trade </w:t>
      </w:r>
      <w:r>
        <w:rPr>
          <w:b/>
          <w:color w:val="1E2A3A"/>
        </w:rPr>
        <w:t>reduces</w:t>
      </w:r>
      <w:r>
        <w:rPr>
          <w:color w:val="4A5A6A"/>
          <w:sz w:val="21"/>
        </w:rPr>
        <w:t xml:space="preserve"> portfolio EAD (natural hedge — keep it!)</w:t>
      </w:r>
    </w:p>
    <w:p>
      <w:pPr>
        <w:pStyle w:val="Heading3"/>
      </w:pPr>
      <w:r>
        <w:t>13.2 Component Contribution by Asset Class</w:t>
      </w:r>
    </w:p>
    <w:p>
      <w:pPr>
        <w:spacing w:before="40" w:after="80"/>
      </w:pPr>
      <w:r>
        <w:rPr>
          <w:color w:val="4A5A6A"/>
          <w:sz w:val="21"/>
        </w:rPr>
        <w:t xml:space="preserve">Trades are grouped by </w:t>
      </w:r>
      <w:r>
        <w:rPr>
          <w:rFonts w:ascii="Courier New" w:hAnsi="Courier New"/>
          <w:color w:val="4A5A6A"/>
          <w:sz w:val="21"/>
        </w:rPr>
        <w:t>asset_class</w:t>
      </w:r>
      <w:r>
        <w:rPr>
          <w:color w:val="4A5A6A"/>
          <w:sz w:val="21"/>
        </w:rPr>
        <w:t xml:space="preserve"> and an isolated EAD is computed for each group:</w:t>
      </w:r>
    </w:p>
    <w:p>
      <w:pPr>
        <w:spacing w:before="0" w:after="0"/>
        <w:ind w:left="432"/>
        <w:shd w:val="clear" w:color="auto" w:fill="F4F4F4"/>
      </w:pPr>
      <w:r>
        <w:rPr>
          <w:rFonts w:ascii="Courier New" w:hAnsi="Courier New"/>
          <w:color w:val="2D2D2D"/>
          <w:sz w:val="17"/>
        </w:rPr>
        <w:t>EAD_contribution(EQ) = EAD(only EQ trades) / EAD(full portfolio) × 100%</w:t>
      </w:r>
    </w:p>
    <w:p>
      <w:pPr>
        <w:spacing w:after="80"/>
      </w:pPr>
    </w:p>
    <w:p>
      <w:pPr>
        <w:spacing w:before="40" w:after="80"/>
      </w:pPr>
      <w:r>
        <w:rPr>
          <w:color w:val="4A5A6A"/>
          <w:sz w:val="21"/>
        </w:rPr>
        <w:t>This identifies which asset class drives counterparty risk concentration.</w:t>
      </w:r>
    </w:p>
    <w:p>
      <w:pPr>
        <w:pStyle w:val="Heading3"/>
      </w:pPr>
      <w:r>
        <w:t>13.3 Trade Ranking</w:t>
      </w:r>
    </w:p>
    <w:p>
      <w:pPr>
        <w:spacing w:before="40" w:after="80"/>
      </w:pPr>
      <w:r>
        <w:rPr>
          <w:color w:val="4A5A6A"/>
          <w:sz w:val="21"/>
        </w:rPr>
        <w:t>Trades are ranked in descending order by marginal EAD. The top-ranked trade has the most systemic counterparty risk impact and should be prioritised for collateral negotiation or novation.</w:t>
      </w:r>
    </w:p>
    <w:p>
      <w:pPr>
        <w:pBdr>
          <w:bottom w:val="single" w:sz="6" w:space="1" w:color="9B111E"/>
        </w:pBdr>
        <w:spacing w:before="0" w:after="120"/>
      </w:pPr>
    </w:p>
    <w:p>
      <w:pPr>
        <w:pStyle w:val="Heading2"/>
      </w:pPr>
      <w:r>
        <w:t>14. Stress Test Scenarios</w:t>
      </w:r>
    </w:p>
    <w:p>
      <w:pPr>
        <w:spacing w:before="40" w:after="80"/>
      </w:pPr>
      <w:r>
        <w:rPr>
          <w:color w:val="4A5A6A"/>
          <w:sz w:val="21"/>
        </w:rPr>
        <w:t>Six regulatory-aligned scenarios are pre-defined:</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Scenario</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Shock</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Description</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normal</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None</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Base calibration (current market)</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rates_up_100bp</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IR +100bp parallel</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Rapid monetary tightening</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rates_down_100bp</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IR −100bp parallel</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Emergency rate cut (ZIRP shock)</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curve_steepening</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Long rates +50bp, short unchanged</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Bear steepening</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equity_spike</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EQ vol × 2</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VIX doubling (like March 2020)</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credit_widening</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Credit spreads +200bp</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Credit market seizure</w:t>
            </w:r>
          </w:p>
        </w:tc>
      </w:tr>
    </w:tbl>
    <w:p/>
    <w:p>
      <w:pPr>
        <w:spacing w:before="40" w:after="80"/>
      </w:pPr>
      <w:r>
        <w:rPr>
          <w:color w:val="4A5A6A"/>
          <w:sz w:val="21"/>
        </w:rPr>
        <w:t xml:space="preserve">Each scenario applies the shock to </w:t>
      </w:r>
      <w:r>
        <w:rPr>
          <w:rFonts w:ascii="Courier New" w:hAnsi="Courier New"/>
          <w:color w:val="4A5A6A"/>
          <w:sz w:val="21"/>
        </w:rPr>
        <w:t>MarketParams</w:t>
      </w:r>
      <w:r>
        <w:rPr>
          <w:color w:val="4A5A6A"/>
          <w:sz w:val="21"/>
        </w:rPr>
        <w:t xml:space="preserve">, creates a new </w:t>
      </w:r>
      <w:r>
        <w:rPr>
          <w:rFonts w:ascii="Courier New" w:hAnsi="Courier New"/>
          <w:color w:val="4A5A6A"/>
          <w:sz w:val="21"/>
        </w:rPr>
        <w:t>MonteCarloEngine</w:t>
      </w:r>
      <w:r>
        <w:rPr>
          <w:color w:val="4A5A6A"/>
          <w:sz w:val="21"/>
        </w:rPr>
        <w:t xml:space="preserve"> with the stressed parameters, and runs the full EPE/EEPE pipeline. Results are returned as a </w:t>
      </w:r>
      <w:r>
        <w:rPr>
          <w:rFonts w:ascii="Courier New" w:hAnsi="Courier New"/>
          <w:color w:val="4A5A6A"/>
          <w:sz w:val="21"/>
        </w:rPr>
        <w:t>Dict[str, ExposureProfile]</w:t>
      </w:r>
      <w:r>
        <w:rPr>
          <w:color w:val="4A5A6A"/>
          <w:sz w:val="21"/>
        </w:rPr>
        <w:t xml:space="preserve"> for comparison.</w:t>
      </w:r>
    </w:p>
    <w:p>
      <w:pPr>
        <w:pBdr>
          <w:bottom w:val="single" w:sz="6" w:space="1" w:color="9B111E"/>
        </w:pBdr>
        <w:spacing w:before="0" w:after="120"/>
      </w:pPr>
    </w:p>
    <w:p>
      <w:pPr>
        <w:pStyle w:val="Heading2"/>
      </w:pPr>
      <w:r>
        <w:t>15. RWA Derivation</w:t>
      </w:r>
    </w:p>
    <w:p>
      <w:pPr>
        <w:spacing w:before="40" w:after="80"/>
      </w:pPr>
      <w:r>
        <w:rPr>
          <w:color w:val="4A5A6A"/>
          <w:sz w:val="21"/>
        </w:rPr>
        <w:t>Capital is converted to Risk-Weighted Assets using the Basel capital ratio framework:</w:t>
      </w:r>
    </w:p>
    <w:p>
      <w:pPr>
        <w:spacing w:before="0" w:after="0"/>
        <w:ind w:left="432"/>
        <w:shd w:val="clear" w:color="auto" w:fill="F4F4F4"/>
      </w:pPr>
      <w:r>
        <w:rPr>
          <w:rFonts w:ascii="Courier New" w:hAnsi="Courier New"/>
          <w:color w:val="2D2D2D"/>
          <w:sz w:val="17"/>
        </w:rPr>
        <w:t>Capital Charge = EAD × Risk Weight (RW)</w:t>
      </w:r>
    </w:p>
    <w:p>
      <w:pPr>
        <w:spacing w:before="0" w:after="0"/>
        <w:ind w:left="432"/>
        <w:shd w:val="clear" w:color="auto" w:fill="F4F4F4"/>
      </w:pPr>
      <w:r>
        <w:rPr>
          <w:rFonts w:ascii="Courier New" w:hAnsi="Courier New"/>
          <w:color w:val="2D2D2D"/>
          <w:sz w:val="17"/>
        </w:rPr>
        <w:t>RWA = Capital Charge / 8%</w:t>
      </w:r>
    </w:p>
    <w:p>
      <w:pPr>
        <w:spacing w:before="0" w:after="0"/>
        <w:ind w:left="432"/>
        <w:shd w:val="clear" w:color="auto" w:fill="F4F4F4"/>
      </w:pPr>
      <w:r>
        <w:rPr>
          <w:rFonts w:ascii="Courier New" w:hAnsi="Courier New"/>
          <w:color w:val="2D2D2D"/>
          <w:sz w:val="17"/>
        </w:rPr>
        <w:t xml:space="preserve">    = EAD × RW × 12.5</w:t>
      </w:r>
    </w:p>
    <w:p>
      <w:pPr>
        <w:spacing w:after="80"/>
      </w:pPr>
    </w:p>
    <w:p>
      <w:pPr>
        <w:spacing w:before="40" w:after="80"/>
      </w:pPr>
      <w:r>
        <w:rPr>
          <w:color w:val="4A5A6A"/>
          <w:sz w:val="21"/>
        </w:rPr>
        <w:t>The factor 12.5 = 1 / 8% converts from capital to RWA (since minimum capital = 8% of RWA under Basel III Pillar 1).</w:t>
      </w:r>
    </w:p>
    <w:p>
      <w:pPr>
        <w:spacing w:before="40" w:after="80"/>
      </w:pPr>
      <w:r>
        <w:rPr>
          <w:color w:val="4A5A6A"/>
          <w:sz w:val="21"/>
        </w:rPr>
        <w:t>For CCR:</w:t>
      </w:r>
    </w:p>
    <w:p>
      <w:pPr>
        <w:spacing w:before="0" w:after="0"/>
        <w:ind w:left="432"/>
        <w:shd w:val="clear" w:color="auto" w:fill="F4F4F4"/>
      </w:pPr>
      <w:r>
        <w:rPr>
          <w:rFonts w:ascii="Courier New" w:hAnsi="Courier New"/>
          <w:color w:val="2D2D2D"/>
          <w:sz w:val="17"/>
        </w:rPr>
        <w:t>RWA_IMM = EAD_IMM × RW × 12.5 × 0.08</w:t>
      </w:r>
    </w:p>
    <w:p>
      <w:pPr>
        <w:spacing w:before="0" w:after="0"/>
        <w:ind w:left="432"/>
        <w:shd w:val="clear" w:color="auto" w:fill="F4F4F4"/>
      </w:pPr>
      <w:r>
        <w:rPr>
          <w:rFonts w:ascii="Courier New" w:hAnsi="Courier New"/>
          <w:color w:val="2D2D2D"/>
          <w:sz w:val="17"/>
        </w:rPr>
        <w:t xml:space="preserve">         = EAD_IMM × RW</w:t>
      </w:r>
    </w:p>
    <w:p>
      <w:pPr>
        <w:spacing w:after="80"/>
      </w:pPr>
    </w:p>
    <w:p>
      <w:pPr>
        <w:spacing w:before="40" w:after="80"/>
      </w:pPr>
      <w:r>
        <w:rPr>
          <w:color w:val="4A5A6A"/>
          <w:sz w:val="21"/>
        </w:rPr>
        <w:t xml:space="preserve">The </w:t>
      </w:r>
      <w:r>
        <w:rPr>
          <w:rFonts w:ascii="Courier New" w:hAnsi="Courier New"/>
          <w:color w:val="4A5A6A"/>
          <w:sz w:val="21"/>
        </w:rPr>
        <w:t>risk_weight</w:t>
      </w:r>
      <w:r>
        <w:rPr>
          <w:color w:val="4A5A6A"/>
          <w:sz w:val="21"/>
        </w:rPr>
        <w:t xml:space="preserve"> parameter defaults to 1.0 (100% risk weight for unrated / standardised).</w:t>
      </w:r>
    </w:p>
    <w:p>
      <w:pPr>
        <w:pBdr>
          <w:bottom w:val="single" w:sz="6" w:space="1" w:color="9B111E"/>
        </w:pBdr>
        <w:spacing w:before="0" w:after="120"/>
      </w:pPr>
    </w:p>
    <w:p>
      <w:pPr>
        <w:pStyle w:val="Heading2"/>
      </w:pPr>
      <w:r>
        <w:t>16. Configuration Parameters</w:t>
      </w:r>
    </w:p>
    <w:p>
      <w:pPr>
        <w:spacing w:before="40" w:after="80"/>
      </w:pPr>
      <w:r>
        <w:rPr>
          <w:color w:val="4A5A6A"/>
          <w:sz w:val="21"/>
        </w:rPr>
        <w:t xml:space="preserve">Defined in </w:t>
      </w:r>
      <w:r>
        <w:rPr>
          <w:rFonts w:ascii="Courier New" w:hAnsi="Courier New"/>
          <w:color w:val="4A5A6A"/>
          <w:sz w:val="21"/>
        </w:rPr>
        <w:t>backend/config.py</w:t>
      </w:r>
      <w:r>
        <w:rPr>
          <w:color w:val="4A5A6A"/>
          <w:sz w:val="21"/>
        </w:rPr>
        <w:t>:</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Parameter</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Class</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Value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Description</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num_scenarios</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IMM</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2,000</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Base Monte Carlo paths</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time_steps</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IMM</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52</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Weekly steps in 1-year horizon</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time_horizon_years</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IMM</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1.0</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Simulation horizon</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random_seed</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IMM</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Fixed</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Reproducibility seed</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alpha</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SACCR</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1.4</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Regulatory EAD multiplier</w:t>
            </w:r>
          </w:p>
        </w:tc>
      </w:tr>
    </w:tbl>
    <w:p/>
    <w:p>
      <w:pPr>
        <w:pBdr>
          <w:bottom w:val="single" w:sz="6" w:space="1" w:color="9B111E"/>
        </w:pBdr>
        <w:spacing w:before="0" w:after="120"/>
      </w:pPr>
    </w:p>
    <w:p>
      <w:pPr>
        <w:pStyle w:val="Heading2"/>
      </w:pPr>
      <w:r>
        <w:t>17. Complete Glossary of All Terms</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Term</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Formula / Definition</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Source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α (Alpha)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Regulatory multiplier = </w:t>
            </w:r>
            <w:r>
              <w:rPr>
                <w:b/>
                <w:color w:val="1E2A3A"/>
                <w:sz w:val="19"/>
              </w:rPr>
              <w:t>1.4</w:t>
            </w:r>
            <w:r>
              <w:rPr>
                <w:color w:val="4A5A6A"/>
                <w:sz w:val="19"/>
              </w:rPr>
              <w:t xml:space="preserve"> applied to EEPE to get EAD</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CRE53.16</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Antithetic Sampling</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Variance reduction using −Z alongside +Z in Monte Carlo</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CRE53.21</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Bond Convexity</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Second-order price sensitivity to rate changes: </w:t>
            </w:r>
            <w:r>
              <w:rPr>
                <w:rFonts w:ascii="Courier New" w:hAnsi="Courier New"/>
                <w:color w:val="C7254E"/>
                <w:sz w:val="17"/>
              </w:rPr>
              <w:t>0.5 × convexity × Δr²</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standard</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 (Total Collateral)</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C = VM + IM</w:t>
            </w:r>
            <w:r>
              <w:rPr>
                <w:color w:val="4A5A6A"/>
                <w:sz w:val="19"/>
              </w:rPr>
              <w:t xml:space="preserve"> — total collateral received from counterparty</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CRE52.18</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Cholesky Decomposition</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Factorises correlation matrix for correlated random draws: </w:t>
            </w:r>
            <w:r>
              <w:rPr>
                <w:rFonts w:ascii="Courier New" w:hAnsi="Courier New"/>
                <w:color w:val="C7254E"/>
                <w:sz w:val="17"/>
              </w:rPr>
              <w:t>Σ = L × Lᵀ</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Numerical methods</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CDS Spread</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credit default swap spread used to calibrate hazard rate</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CVA pricing</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CVA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Credit Valuation Adjustment: </w:t>
            </w:r>
            <w:r>
              <w:rPr>
                <w:rFonts w:ascii="Courier New" w:hAnsi="Courier New"/>
                <w:color w:val="C7254E"/>
                <w:sz w:val="17"/>
              </w:rPr>
              <w:t>(1−RR) × Σ EE(t) × PD(t) × D(t)</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CRE53 / BCBS</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DIM</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Dynamic Initial Margin: </w:t>
            </w:r>
            <w:r>
              <w:rPr>
                <w:rFonts w:ascii="Courier New" w:hAnsi="Courier New"/>
                <w:color w:val="C7254E"/>
                <w:sz w:val="17"/>
              </w:rPr>
              <w:t>max(0, (ES − EEPE) / α)</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UMR / SIMM</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Direction</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 (long/receive) or −1 (short/pay) trade orientation</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Trade metadata</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dt</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Time step size = </w:t>
            </w:r>
            <w:r>
              <w:rPr>
                <w:rFonts w:ascii="Courier New" w:hAnsi="Courier New"/>
                <w:color w:val="C7254E"/>
                <w:sz w:val="17"/>
              </w:rPr>
              <w:t>time_horizon / time_steps</w:t>
            </w:r>
            <w:r>
              <w:rPr>
                <w:color w:val="4A5A6A"/>
                <w:sz w:val="19"/>
              </w:rPr>
              <w:t xml:space="preserve"> = 1/52 years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Simulation</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Duration</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Trade remaining maturity in years; drives IR/CDS bond price sensitivity</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standard</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EAD_IMM</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Exposure at Default = </w:t>
            </w:r>
            <w:r>
              <w:rPr>
                <w:rFonts w:ascii="Courier New" w:hAnsi="Courier New"/>
                <w:color w:val="C7254E"/>
                <w:sz w:val="17"/>
              </w:rPr>
              <w:t>α × EEPE</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CRE53.15–16</w:t>
            </w:r>
            <w:r>
              <w:rPr>
                <w:color w:val="4A5A6A"/>
                <w:sz w:val="19"/>
              </w:rPr>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EAD_csa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CSA-adjusted EAD = </w:t>
            </w:r>
            <w:r>
              <w:rPr>
                <w:rFonts w:ascii="Courier New" w:hAnsi="Courier New"/>
                <w:color w:val="C7254E"/>
                <w:sz w:val="17"/>
              </w:rPr>
              <w:t>α × (RC_csa + EEPE_mpor)</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CRE53.22</w:t>
            </w:r>
            <w:r>
              <w:rPr>
                <w:color w:val="4A5A6A"/>
                <w:sz w:val="19"/>
              </w:rPr>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EE(t)</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Expected Exposure = </w:t>
            </w:r>
            <w:r>
              <w:rPr>
                <w:rFonts w:ascii="Courier New" w:hAnsi="Courier New"/>
                <w:color w:val="C7254E"/>
                <w:sz w:val="17"/>
              </w:rPr>
              <w:t>mean{ max(MtM(t,i), 0) }</w:t>
            </w:r>
            <w:r>
              <w:rPr>
                <w:color w:val="4A5A6A"/>
                <w:sz w:val="19"/>
              </w:rPr>
              <w:t xml:space="preserve"> over all scenarios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CRE53.13</w:t>
            </w:r>
            <w:r>
              <w:rPr>
                <w:color w:val="4A5A6A"/>
                <w:sz w:val="19"/>
              </w:rPr>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EEE(t)</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Effective EE = </w:t>
            </w:r>
            <w:r>
              <w:rPr>
                <w:rFonts w:ascii="Courier New" w:hAnsi="Courier New"/>
                <w:color w:val="C7254E"/>
                <w:sz w:val="17"/>
              </w:rPr>
              <w:t>max(EE(t), EEE(t−1))</w:t>
            </w:r>
            <w:r>
              <w:rPr>
                <w:color w:val="4A5A6A"/>
                <w:sz w:val="19"/>
              </w:rPr>
              <w:t xml:space="preserve"> — non-decreasing</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CRE53.13</w:t>
            </w:r>
            <w:r>
              <w:rPr>
                <w:color w:val="4A5A6A"/>
                <w:sz w:val="19"/>
              </w:rPr>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EEPE</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Effective EPE = </w:t>
            </w:r>
            <w:r>
              <w:rPr>
                <w:rFonts w:ascii="Courier New" w:hAnsi="Courier New"/>
                <w:color w:val="C7254E"/>
                <w:sz w:val="17"/>
              </w:rPr>
              <w:t>mean(EEE)</w:t>
            </w:r>
            <w:r>
              <w:rPr>
                <w:color w:val="4A5A6A"/>
                <w:sz w:val="19"/>
              </w:rPr>
              <w:t xml:space="preserve"> over </w:t>
            </w:r>
            <w:r>
              <w:rPr>
                <w:rFonts w:ascii="Courier New" w:hAnsi="Courier New"/>
                <w:color w:val="C7254E"/>
                <w:sz w:val="17"/>
              </w:rPr>
              <w:t>[0, 1yr]</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CRE53.15</w:t>
            </w:r>
            <w:r>
              <w:rPr>
                <w:color w:val="4A5A6A"/>
                <w:sz w:val="19"/>
              </w:rPr>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EPE</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Expected Positive Exposure = </w:t>
            </w:r>
            <w:r>
              <w:rPr>
                <w:rFonts w:ascii="Courier New" w:hAnsi="Courier New"/>
                <w:color w:val="C7254E"/>
                <w:sz w:val="17"/>
              </w:rPr>
              <w:t>mean(EE)</w:t>
            </w:r>
            <w:r>
              <w:rPr>
                <w:color w:val="4A5A6A"/>
                <w:sz w:val="19"/>
              </w:rPr>
              <w:t xml:space="preserve"> over </w:t>
            </w:r>
            <w:r>
              <w:rPr>
                <w:rFonts w:ascii="Courier New" w:hAnsi="Courier New"/>
                <w:color w:val="C7254E"/>
                <w:sz w:val="17"/>
              </w:rPr>
              <w:t>[0, 1yr]</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CRE53.14</w:t>
            </w:r>
            <w:r>
              <w:rPr>
                <w:color w:val="4A5A6A"/>
                <w:sz w:val="19"/>
              </w:rPr>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ES</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Expected Shortfall at 97.5% (approximated by PFE_95 in engine)</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 IMM</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Exposure</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max(MtM, 0)</w:t>
            </w:r>
            <w:r>
              <w:rPr>
                <w:color w:val="4A5A6A"/>
                <w:sz w:val="19"/>
              </w:rPr>
              <w:t xml:space="preserve"> — positive MtM only (bank only loses when in-the-money)</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CCR definition</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FRTB add-on</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0.15 × √(EEPE × Notional)</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SA-CVA</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GBM</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Geometric Brownian Motion: </w:t>
            </w:r>
            <w:r>
              <w:rPr>
                <w:rFonts w:ascii="Courier New" w:hAnsi="Courier New"/>
                <w:color w:val="C7254E"/>
                <w:sz w:val="17"/>
              </w:rPr>
              <w:t>dS/S = μdt + σdW</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standard</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Greeks</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Sensitivities of EAD to market parameters (vega, rho, lambda)</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Internal risk</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Haircut (h)</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Discount on collateral value (2% default)</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CSA terms</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Hazard Rate (λ)</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Default intensity: </w:t>
            </w:r>
            <w:r>
              <w:rPr>
                <w:rFonts w:ascii="Courier New" w:hAnsi="Courier New"/>
                <w:color w:val="C7254E"/>
                <w:sz w:val="17"/>
              </w:rPr>
              <w:t>λ = CDS spread / (1 − RR)</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CVA pricing</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Hull-White</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1-factor IR model: </w:t>
            </w:r>
            <w:r>
              <w:rPr>
                <w:rFonts w:ascii="Courier New" w:hAnsi="Courier New"/>
                <w:color w:val="C7254E"/>
                <w:sz w:val="17"/>
              </w:rPr>
              <w:t>dr = κ(θ−r)dt + σᵣdW</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standard</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IA</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Independent Amount — one-way collateral independent of MtM</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CSA terms</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ILM</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Internal Loss Multiplier (Operational Risk, not IMM)</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OPE25</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IM</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Initial Margin received from counterparty</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BCBS-IOSCO UMR</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κ (kappa)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Mean reversion speed in Hull-White model = 0.10</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Hull-White</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Marginal EAD</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EAD(full) − EAD(without trade i)</w:t>
            </w:r>
            <w:r>
              <w:rPr>
                <w:color w:val="4A5A6A"/>
                <w:sz w:val="19"/>
              </w:rPr>
              <w:t xml:space="preserve"> — trade-level risk contribution</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Internal</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MtM</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Mark-to-Market = current fair value of a derivative position</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Accounting</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MPOR</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Margin Period of Risk — days to replace collateral post-default (10 days standard)</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CRE53.22</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MTA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Minimum Transfer Amount — smallest collateral call</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CSA terms</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NICA</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Net Independent Collateral Amount = IM received</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CRE52.18</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Netting Set</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Group of trades under a single enforceable netting agreement</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CCR definition</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PFE(t)</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Potential Future Exposure = 95th percentile exposure at time t</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Limit management</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RC_csa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Replacement Cost under CSA = </w:t>
            </w:r>
            <w:r>
              <w:rPr>
                <w:rFonts w:ascii="Courier New" w:hAnsi="Courier New"/>
                <w:color w:val="C7254E"/>
                <w:sz w:val="17"/>
              </w:rPr>
              <w:t>max(V−C, TH+MTA−NICA, 0)</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CRE52.18</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Recovery Rate (RR)</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Expected recovery on default = </w:t>
            </w:r>
            <w:r>
              <w:rPr>
                <w:b/>
                <w:color w:val="1E2A3A"/>
                <w:sz w:val="19"/>
              </w:rPr>
              <w:t>40%</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Basel standard</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RWA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Risk-Weighted Assets = </w:t>
            </w:r>
            <w:r>
              <w:rPr>
                <w:rFonts w:ascii="Courier New" w:hAnsi="Courier New"/>
                <w:color w:val="C7254E"/>
                <w:sz w:val="17"/>
              </w:rPr>
              <w:t>EAD × RW × 12.5</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CRE20</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Stressed EEPE</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EEPE computed with 2007–09 stressed volatilities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CRE53.17</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θ (theta)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Long-run mean rate in Hull-White model = 0.045</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Hull-White</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TH</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Threshold — minimum exposure triggering a collateral call</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CSA terms</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Time Grid</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Vector of 52 weekly time points from dt to 1.0 year</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Simulation</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V</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Current net MtM of the netting set</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CRE52.18</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VM</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Variation Margin received from counterparty</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CSA / CRE52</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Vega</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Sensitivity of EAD to volatility: </w:t>
            </w:r>
            <w:r>
              <w:rPr>
                <w:rFonts w:ascii="Courier New" w:hAnsi="Courier New"/>
                <w:color w:val="C7254E"/>
                <w:sz w:val="17"/>
              </w:rPr>
              <w:t>∂EAD/∂σ</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Sensitivity</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Wrong-Way Risk</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Correlation between counterparty default and exposure magnitude</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CRE53</w:t>
            </w:r>
          </w:p>
        </w:tc>
      </w:tr>
    </w:tbl>
    <w:p/>
    <w:p>
      <w:pPr>
        <w:pBdr>
          <w:bottom w:val="single" w:sz="6" w:space="1" w:color="9B111E"/>
        </w:pBdr>
        <w:spacing w:before="0" w:after="120"/>
      </w:pPr>
    </w:p>
    <w:p>
      <w:pPr>
        <w:pStyle w:val="Heading2"/>
      </w:pPr>
      <w:r>
        <w:t>Appendix: End-to-End Numeric Example</w:t>
      </w:r>
    </w:p>
    <w:p>
      <w:pPr>
        <w:pStyle w:val="Heading3"/>
      </w:pPr>
      <w:r>
        <w:t>Portfolio: 3 trades, no CSA</w:t>
      </w:r>
    </w:p>
    <w:p>
      <w:pPr>
        <w:spacing w:before="0" w:after="0"/>
        <w:ind w:left="432"/>
        <w:shd w:val="clear" w:color="auto" w:fill="F4F4F4"/>
      </w:pPr>
      <w:r>
        <w:rPr>
          <w:rFonts w:ascii="Courier New" w:hAnsi="Courier New"/>
          <w:color w:val="2D2D2D"/>
          <w:sz w:val="17"/>
        </w:rPr>
        <w:t>Trade 1: EQ, Notional = 10,000,000, Direction = +1</w:t>
      </w:r>
    </w:p>
    <w:p>
      <w:pPr>
        <w:spacing w:before="0" w:after="0"/>
        <w:ind w:left="432"/>
        <w:shd w:val="clear" w:color="auto" w:fill="F4F4F4"/>
      </w:pPr>
      <w:r>
        <w:rPr>
          <w:rFonts w:ascii="Courier New" w:hAnsi="Courier New"/>
          <w:color w:val="2D2D2D"/>
          <w:sz w:val="17"/>
        </w:rPr>
        <w:t>Trade 2: IR, Notional = 25,000,000, Direction = −1</w:t>
      </w:r>
    </w:p>
    <w:p>
      <w:pPr>
        <w:spacing w:before="0" w:after="0"/>
        <w:ind w:left="432"/>
        <w:shd w:val="clear" w:color="auto" w:fill="F4F4F4"/>
      </w:pPr>
      <w:r>
        <w:rPr>
          <w:rFonts w:ascii="Courier New" w:hAnsi="Courier New"/>
          <w:color w:val="2D2D2D"/>
          <w:sz w:val="17"/>
        </w:rPr>
        <w:t>Trade 3: FX, Notional = 5,000,000,  Direction = +1</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Parameters: σ_EQ = 20%, κ=10%, θ=4.5%, σ_IR=1.5%</w:t>
      </w:r>
    </w:p>
    <w:p>
      <w:pPr>
        <w:spacing w:before="0" w:after="0"/>
        <w:ind w:left="432"/>
        <w:shd w:val="clear" w:color="auto" w:fill="F4F4F4"/>
      </w:pPr>
      <w:r>
        <w:rPr>
          <w:rFonts w:ascii="Courier New" w:hAnsi="Courier New"/>
          <w:color w:val="2D2D2D"/>
          <w:sz w:val="17"/>
        </w:rPr>
        <w:t>Scenarios: 4,000 (2,000 base + 2,000 antithetic)</w:t>
      </w:r>
    </w:p>
    <w:p>
      <w:pPr>
        <w:spacing w:before="0" w:after="0"/>
        <w:ind w:left="432"/>
        <w:shd w:val="clear" w:color="auto" w:fill="F4F4F4"/>
      </w:pPr>
      <w:r>
        <w:rPr>
          <w:rFonts w:ascii="Courier New" w:hAnsi="Courier New"/>
          <w:color w:val="2D2D2D"/>
          <w:sz w:val="17"/>
        </w:rPr>
        <w:t>Time steps: 52 weekly steps</w:t>
      </w:r>
    </w:p>
    <w:p>
      <w:pPr>
        <w:spacing w:after="80"/>
      </w:pPr>
    </w:p>
    <w:p>
      <w:pPr>
        <w:spacing w:before="40" w:after="80"/>
      </w:pPr>
      <w:r>
        <w:rPr>
          <w:color w:val="4A5A6A"/>
          <w:sz w:val="21"/>
        </w:rPr>
      </w:r>
      <w:r>
        <w:rPr>
          <w:b/>
          <w:color w:val="4A5A6A"/>
          <w:sz w:val="21"/>
        </w:rPr>
        <w:t>Step-by-step output (illustrative):</w:t>
      </w:r>
      <w:r>
        <w:rPr>
          <w:color w:val="4A5A6A"/>
          <w:sz w:val="21"/>
        </w:rPr>
      </w:r>
    </w:p>
    <w:p>
      <w:pPr>
        <w:spacing w:before="0" w:after="0"/>
        <w:ind w:left="432"/>
        <w:shd w:val="clear" w:color="auto" w:fill="F4F4F4"/>
      </w:pPr>
      <w:r>
        <w:rPr>
          <w:rFonts w:ascii="Courier New" w:hAnsi="Courier New"/>
          <w:color w:val="2D2D2D"/>
          <w:sz w:val="17"/>
        </w:rPr>
        <w:t>1. Simulate 4,000 × 52 paths per risk factor</w:t>
      </w:r>
    </w:p>
    <w:p>
      <w:pPr>
        <w:spacing w:before="0" w:after="0"/>
        <w:ind w:left="432"/>
        <w:shd w:val="clear" w:color="auto" w:fill="F4F4F4"/>
      </w:pPr>
      <w:r>
        <w:rPr>
          <w:rFonts w:ascii="Courier New" w:hAnsi="Courier New"/>
          <w:color w:val="2D2D2D"/>
          <w:sz w:val="17"/>
        </w:rPr>
        <w:t>2. Compute net MtM = MtM_EQ + MtM_IR + MtM_FX per scenario per time step</w:t>
      </w:r>
    </w:p>
    <w:p>
      <w:pPr>
        <w:spacing w:before="0" w:after="0"/>
        <w:ind w:left="432"/>
        <w:shd w:val="clear" w:color="auto" w:fill="F4F4F4"/>
      </w:pPr>
      <w:r>
        <w:rPr>
          <w:rFonts w:ascii="Courier New" w:hAnsi="Courier New"/>
          <w:color w:val="2D2D2D"/>
          <w:sz w:val="17"/>
        </w:rPr>
        <w:t>3. Exposure = max(Net MtM, 0)</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4. EE(t) at t=0.25yr ≈ 450,000</w:t>
      </w:r>
    </w:p>
    <w:p>
      <w:pPr>
        <w:spacing w:before="0" w:after="0"/>
        <w:ind w:left="432"/>
        <w:shd w:val="clear" w:color="auto" w:fill="F4F4F4"/>
      </w:pPr>
      <w:r>
        <w:rPr>
          <w:rFonts w:ascii="Courier New" w:hAnsi="Courier New"/>
          <w:color w:val="2D2D2D"/>
          <w:sz w:val="17"/>
        </w:rPr>
        <w:t xml:space="preserve">   EE(t) at t=0.50yr ≈ 620,000</w:t>
      </w:r>
    </w:p>
    <w:p>
      <w:pPr>
        <w:spacing w:before="0" w:after="0"/>
        <w:ind w:left="432"/>
        <w:shd w:val="clear" w:color="auto" w:fill="F4F4F4"/>
      </w:pPr>
      <w:r>
        <w:rPr>
          <w:rFonts w:ascii="Courier New" w:hAnsi="Courier New"/>
          <w:color w:val="2D2D2D"/>
          <w:sz w:val="17"/>
        </w:rPr>
        <w:t xml:space="preserve">   EE(t) at t=1.00yr ≈ 580,000   ← can decrease (trade maturity effects)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5. EEE(t=0.25) = 450,000</w:t>
      </w:r>
    </w:p>
    <w:p>
      <w:pPr>
        <w:spacing w:before="0" w:after="0"/>
        <w:ind w:left="432"/>
        <w:shd w:val="clear" w:color="auto" w:fill="F4F4F4"/>
      </w:pPr>
      <w:r>
        <w:rPr>
          <w:rFonts w:ascii="Courier New" w:hAnsi="Courier New"/>
          <w:color w:val="2D2D2D"/>
          <w:sz w:val="17"/>
        </w:rPr>
        <w:t xml:space="preserve">   EEE(t=0.50) = 620,000</w:t>
      </w:r>
    </w:p>
    <w:p>
      <w:pPr>
        <w:spacing w:before="0" w:after="0"/>
        <w:ind w:left="432"/>
        <w:shd w:val="clear" w:color="auto" w:fill="F4F4F4"/>
      </w:pPr>
      <w:r>
        <w:rPr>
          <w:rFonts w:ascii="Courier New" w:hAnsi="Courier New"/>
          <w:color w:val="2D2D2D"/>
          <w:sz w:val="17"/>
        </w:rPr>
        <w:t xml:space="preserve">   EEE(t=1.00) = 620,000          ← locked at previous peak</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6. EPE  = mean(EE)  over 52 steps ≈ 510,000</w:t>
      </w:r>
    </w:p>
    <w:p>
      <w:pPr>
        <w:spacing w:before="0" w:after="0"/>
        <w:ind w:left="432"/>
        <w:shd w:val="clear" w:color="auto" w:fill="F4F4F4"/>
      </w:pPr>
      <w:r>
        <w:rPr>
          <w:rFonts w:ascii="Courier New" w:hAnsi="Courier New"/>
          <w:color w:val="2D2D2D"/>
          <w:sz w:val="17"/>
        </w:rPr>
        <w:t xml:space="preserve">   EEPE = mean(EEE) over 52 steps ≈ 580,000    ← higher than EPE</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7. EAD_IMM = 1.4 × 580,000 = 812,000</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8. Stressed EAD (σ_EQ = 40%):</w:t>
      </w:r>
    </w:p>
    <w:p>
      <w:pPr>
        <w:spacing w:before="0" w:after="0"/>
        <w:ind w:left="432"/>
        <w:shd w:val="clear" w:color="auto" w:fill="F4F4F4"/>
      </w:pPr>
      <w:r>
        <w:rPr>
          <w:rFonts w:ascii="Courier New" w:hAnsi="Courier New"/>
          <w:color w:val="2D2D2D"/>
          <w:sz w:val="17"/>
        </w:rPr>
        <w:t xml:space="preserve">   Stressed EEPE ≈ 950,000</w:t>
      </w:r>
    </w:p>
    <w:p>
      <w:pPr>
        <w:spacing w:before="0" w:after="0"/>
        <w:ind w:left="432"/>
        <w:shd w:val="clear" w:color="auto" w:fill="F4F4F4"/>
      </w:pPr>
      <w:r>
        <w:rPr>
          <w:rFonts w:ascii="Courier New" w:hAnsi="Courier New"/>
          <w:color w:val="2D2D2D"/>
          <w:sz w:val="17"/>
        </w:rPr>
        <w:t xml:space="preserve">   Stressed EAD  = 1.4 × 950,000 = 1,330,000</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9. CVA (CDS = 50bp, RR = 40%):</w:t>
      </w:r>
    </w:p>
    <w:p>
      <w:pPr>
        <w:spacing w:before="0" w:after="0"/>
        <w:ind w:left="432"/>
        <w:shd w:val="clear" w:color="auto" w:fill="F4F4F4"/>
      </w:pPr>
      <w:r>
        <w:rPr>
          <w:rFonts w:ascii="Courier New" w:hAnsi="Courier New"/>
          <w:color w:val="2D2D2D"/>
          <w:sz w:val="17"/>
        </w:rPr>
        <w:t xml:space="preserve">   λ = 0.005 / 0.60 = 0.00833</w:t>
      </w:r>
    </w:p>
    <w:p>
      <w:pPr>
        <w:spacing w:before="0" w:after="0"/>
        <w:ind w:left="432"/>
        <w:shd w:val="clear" w:color="auto" w:fill="F4F4F4"/>
      </w:pPr>
      <w:r>
        <w:rPr>
          <w:rFonts w:ascii="Courier New" w:hAnsi="Courier New"/>
          <w:color w:val="2D2D2D"/>
          <w:sz w:val="17"/>
        </w:rPr>
        <w:t xml:space="preserve">   CVA ≈ 12,400</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10. RWA = 812,000 × 1.0 × 12.5 × 0.08 = 812,000</w:t>
      </w:r>
    </w:p>
    <w:p>
      <w:pPr>
        <w:spacing w:after="80"/>
      </w:pPr>
    </w:p>
    <w:p>
      <w:pPr>
        <w:pBdr>
          <w:bottom w:val="single" w:sz="6" w:space="1" w:color="9B111E"/>
        </w:pBdr>
        <w:spacing w:before="0" w:after="120"/>
      </w:pPr>
    </w:p>
    <w:p>
      <w:pPr>
        <w:spacing w:before="40" w:after="80"/>
      </w:pPr>
      <w:r>
        <w:rPr>
          <w:color w:val="4A5A6A"/>
          <w:sz w:val="21"/>
        </w:rPr>
      </w:r>
      <w:r>
        <w:rPr>
          <w:i/>
          <w:color w:val="4A5A6A"/>
          <w:sz w:val="21"/>
        </w:rPr>
        <w:t>This document was auto-generated from the PROMETHEUS `imm.py` source code and reflects the implementation as of April 2026. Regulatory references are to the Basel Framework (bis.org/basel_framework) CRE53 standard effective 1 January 2023.</w:t>
      </w:r>
      <w:r>
        <w:rPr>
          <w:color w:val="4A5A6A"/>
          <w:sz w:val="21"/>
        </w:rPr>
      </w:r>
    </w:p>
    <w:sectPr w:rsidR="00FC693F" w:rsidRPr="0006063C" w:rsidSect="00034616">
      <w:headerReference w:type="default" r:id="rId9"/>
      <w:footerReference w:type="default" r:id="rId10"/>
      <w:pgSz w:w="11909" w:h="16834"/>
      <w:pgMar w:top="1440" w:right="1584" w:bottom="1440" w:left="15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A6A"/>
        <w:sz w:val="16"/>
      </w:rPr>
      <w:t>PROMETHEUS-IMM-TRG-v1.0  ·  Internal Use — Confidential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0D4D9"/>
      </w:pBdr>
    </w:pPr>
    <w:r>
      <w:rPr>
        <w:rFonts w:ascii="Calibri" w:hAnsi="Calibri"/>
        <w:color w:val="4A5A6A"/>
        <w:sz w:val="16"/>
      </w:rPr>
      <w:t>PROMETHEUS  |  IMM Technical Reference Guide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4A5A6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2A3A"/>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9B111E"/>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E2A3A"/>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4A5A6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