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metheus-risk-platform"/>
    <w:p>
      <w:pPr>
        <w:pStyle w:val="Heading1"/>
      </w:pPr>
      <w:r>
        <w:t xml:space="preserve">PROMETHEUS RISK PLATFORM</w:t>
      </w:r>
    </w:p>
    <w:bookmarkStart w:id="10" w:name="X57075e44d9fd766afd5faf72804628ecc0afec9"/>
    <w:p>
      <w:pPr>
        <w:pStyle w:val="Heading2"/>
      </w:pPr>
      <w:r>
        <w:t xml:space="preserve">Complete Implementation Specification &amp; Technical Reference</w:t>
      </w:r>
    </w:p>
    <w:bookmarkStart w:id="9" w:name="all-in-one-consolidated-document"/>
    <w:p>
      <w:pPr>
        <w:pStyle w:val="Heading3"/>
      </w:pPr>
      <w:r>
        <w:t xml:space="preserve">All-in-One Consolidated Document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 CONSOLIDATED</w:t>
      </w:r>
      <w:r>
        <w:br/>
      </w:r>
      <w:r>
        <w:rPr>
          <w:b/>
          <w:bCs/>
        </w:rPr>
        <w:t xml:space="preserve">Prepared:</w:t>
      </w:r>
      <w:r>
        <w:t xml:space="preserve"> </w:t>
      </w:r>
      <w:r>
        <w:t xml:space="preserve">May 2,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USE — CONFIDENTIAL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APPROVED FOR DISTRIBUTION</w:t>
      </w:r>
    </w:p>
    <w:p>
      <w:pPr>
        <w:pStyle w:val="BodyText"/>
      </w:pPr>
      <w:r>
        <w:rPr>
          <w:b/>
          <w:bCs/>
        </w:rPr>
        <w:t xml:space="preserve">For conversion to Word format:</w:t>
      </w:r>
      <w:r>
        <w:t xml:space="preserve"> </w:t>
      </w:r>
      <w:r>
        <w:t xml:space="preserve">Use Pandoc or copy-paste into MS Word with</w:t>
      </w:r>
      <w:r>
        <w:t xml:space="preserve"> </w:t>
      </w:r>
      <w:r>
        <w:t xml:space="preserve">“Import from Markdown”</w:t>
      </w:r>
      <w:r>
        <w:t xml:space="preserve"> </w:t>
      </w:r>
      <w:r>
        <w:t xml:space="preserve">feature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0" w:name="table-of-contents"/>
    <w:p>
      <w:pPr>
        <w:pStyle w:val="Heading2"/>
      </w:pPr>
      <w:r>
        <w:t xml:space="preserve">TABLE OF CONTENTS</w:t>
      </w:r>
    </w:p>
    <w:bookmarkStart w:id="11" w:name="section-0-master-overview"/>
    <w:p>
      <w:pPr>
        <w:pStyle w:val="Heading3"/>
      </w:pPr>
      <w:r>
        <w:t xml:space="preserve">SECTION 0: MASTER OVERVIEW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document-structure--navigation">
        <w:r>
          <w:rPr>
            <w:rStyle w:val="Hyperlink"/>
          </w:rPr>
          <w:t xml:space="preserve">Document Structure &amp; Navigation</w:t>
        </w:r>
      </w:hyperlink>
    </w:p>
    <w:p>
      <w:pPr>
        <w:pStyle w:val="Compact"/>
        <w:numPr>
          <w:ilvl w:val="0"/>
          <w:numId w:val="1001"/>
        </w:numPr>
      </w:pPr>
      <w:hyperlink w:anchor="quick-reference-guide">
        <w:r>
          <w:rPr>
            <w:rStyle w:val="Hyperlink"/>
          </w:rPr>
          <w:t xml:space="preserve">Quick Reference Guide</w:t>
        </w:r>
      </w:hyperlink>
    </w:p>
    <w:p>
      <w:pPr>
        <w:pStyle w:val="Compact"/>
        <w:numPr>
          <w:ilvl w:val="0"/>
          <w:numId w:val="1001"/>
        </w:numPr>
      </w:pPr>
      <w:hyperlink w:anchor="regulatory-alignment-matrix">
        <w:r>
          <w:rPr>
            <w:rStyle w:val="Hyperlink"/>
          </w:rPr>
          <w:t xml:space="preserve">Regulatory Alignment Matrix</w:t>
        </w:r>
      </w:hyperlink>
    </w:p>
    <w:bookmarkEnd w:id="11"/>
    <w:bookmarkStart w:id="12" w:name="section-1-project-foundation"/>
    <w:p>
      <w:pPr>
        <w:pStyle w:val="Heading3"/>
      </w:pPr>
      <w:r>
        <w:t xml:space="preserve">SECTION 1: PROJECT FOUNDATION</w:t>
      </w:r>
    </w:p>
    <w:p>
      <w:pPr>
        <w:pStyle w:val="Compact"/>
        <w:numPr>
          <w:ilvl w:val="0"/>
          <w:numId w:val="1002"/>
        </w:numPr>
      </w:pPr>
      <w:hyperlink w:anchor="project-description--vision">
        <w:r>
          <w:rPr>
            <w:rStyle w:val="Hyperlink"/>
          </w:rPr>
          <w:t xml:space="preserve">Project Description &amp; Vision</w:t>
        </w:r>
      </w:hyperlink>
    </w:p>
    <w:p>
      <w:pPr>
        <w:pStyle w:val="Compact"/>
        <w:numPr>
          <w:ilvl w:val="0"/>
          <w:numId w:val="1002"/>
        </w:numPr>
      </w:pPr>
      <w:hyperlink w:anchor="regulatory-basis--compliance">
        <w:r>
          <w:rPr>
            <w:rStyle w:val="Hyperlink"/>
          </w:rPr>
          <w:t xml:space="preserve">Regulatory Basis &amp; Compliance</w:t>
        </w:r>
      </w:hyperlink>
    </w:p>
    <w:p>
      <w:pPr>
        <w:pStyle w:val="Compact"/>
        <w:numPr>
          <w:ilvl w:val="0"/>
          <w:numId w:val="1002"/>
        </w:numPr>
      </w:pPr>
      <w:hyperlink w:anchor="platform-architecture-overview">
        <w:r>
          <w:rPr>
            <w:rStyle w:val="Hyperlink"/>
          </w:rPr>
          <w:t xml:space="preserve">Platform Architecture Overview</w:t>
        </w:r>
      </w:hyperlink>
    </w:p>
    <w:p>
      <w:pPr>
        <w:pStyle w:val="Compact"/>
        <w:numPr>
          <w:ilvl w:val="0"/>
          <w:numId w:val="1002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bookmarkEnd w:id="12"/>
    <w:bookmarkStart w:id="13" w:name="X142253d1768375cd72ec3a4b097e6d42b7554a2"/>
    <w:p>
      <w:pPr>
        <w:pStyle w:val="Heading3"/>
      </w:pPr>
      <w:r>
        <w:t xml:space="preserve">SECTION 2: PHASE 1 — BASELINE IMPLEMENTATION (Existing)</w:t>
      </w:r>
    </w:p>
    <w:p>
      <w:pPr>
        <w:pStyle w:val="Compact"/>
        <w:numPr>
          <w:ilvl w:val="0"/>
          <w:numId w:val="1003"/>
        </w:numPr>
      </w:pPr>
      <w:hyperlink w:anchor="Xb77210d6f417a702514a678fdce50f6a58ef6fc">
        <w:r>
          <w:rPr>
            <w:rStyle w:val="Hyperlink"/>
          </w:rPr>
          <w:t xml:space="preserve">Functional Requirements FR-001 to FR-011</w:t>
        </w:r>
      </w:hyperlink>
    </w:p>
    <w:p>
      <w:pPr>
        <w:pStyle w:val="Compact"/>
        <w:numPr>
          <w:ilvl w:val="0"/>
          <w:numId w:val="1003"/>
        </w:numPr>
      </w:pPr>
      <w:hyperlink w:anchor="a-irb-credit-risk-engine">
        <w:r>
          <w:rPr>
            <w:rStyle w:val="Hyperlink"/>
          </w:rPr>
          <w:t xml:space="preserve">A-IRB Credit Risk Engine (CRE30–36)</w:t>
        </w:r>
      </w:hyperlink>
    </w:p>
    <w:p>
      <w:pPr>
        <w:pStyle w:val="Compact"/>
        <w:numPr>
          <w:ilvl w:val="0"/>
          <w:numId w:val="1003"/>
        </w:numPr>
      </w:pPr>
      <w:hyperlink w:anchor="cva-risk-engine-mar50">
        <w:r>
          <w:rPr>
            <w:rStyle w:val="Hyperlink"/>
          </w:rPr>
          <w:t xml:space="preserve">CVA Risk Engine (MAR50)</w:t>
        </w:r>
      </w:hyperlink>
    </w:p>
    <w:p>
      <w:pPr>
        <w:pStyle w:val="Compact"/>
        <w:numPr>
          <w:ilvl w:val="0"/>
          <w:numId w:val="1003"/>
        </w:numPr>
      </w:pPr>
      <w:hyperlink w:anchor="frtb-market-risk-engine-mar20--33">
        <w:r>
          <w:rPr>
            <w:rStyle w:val="Hyperlink"/>
          </w:rPr>
          <w:t xml:space="preserve">FRTB Market Risk Engine (MAR20–33)</w:t>
        </w:r>
      </w:hyperlink>
    </w:p>
    <w:p>
      <w:pPr>
        <w:pStyle w:val="Compact"/>
        <w:numPr>
          <w:ilvl w:val="0"/>
          <w:numId w:val="1003"/>
        </w:numPr>
      </w:pPr>
      <w:hyperlink w:anchor="additional-risk-engines">
        <w:r>
          <w:rPr>
            <w:rStyle w:val="Hyperlink"/>
          </w:rPr>
          <w:t xml:space="preserve">Additional Risk Engines (SA-CCR, IMM, CCP, Op Risk)</w:t>
        </w:r>
      </w:hyperlink>
    </w:p>
    <w:bookmarkEnd w:id="13"/>
    <w:bookmarkStart w:id="14" w:name="X7648354eb8b42800c6a432bce74856fac4ae1d0"/>
    <w:p>
      <w:pPr>
        <w:pStyle w:val="Heading3"/>
      </w:pPr>
      <w:r>
        <w:t xml:space="preserve">SECTION 3: PHASE 2A — REGULATORY ENHANCEMENTS (New)</w:t>
      </w:r>
    </w:p>
    <w:p>
      <w:pPr>
        <w:pStyle w:val="Compact"/>
        <w:numPr>
          <w:ilvl w:val="0"/>
          <w:numId w:val="1004"/>
        </w:numPr>
      </w:pPr>
      <w:hyperlink w:anchor="phase-2a-overview">
        <w:r>
          <w:rPr>
            <w:rStyle w:val="Hyperlink"/>
          </w:rPr>
          <w:t xml:space="preserve">Phase 2A Overview</w:t>
        </w:r>
      </w:hyperlink>
    </w:p>
    <w:p>
      <w:pPr>
        <w:pStyle w:val="Compact"/>
        <w:numPr>
          <w:ilvl w:val="0"/>
          <w:numId w:val="1004"/>
        </w:numPr>
      </w:pPr>
      <w:hyperlink w:anchor="fr-012-dynamic-output-floor">
        <w:r>
          <w:rPr>
            <w:rStyle w:val="Hyperlink"/>
          </w:rPr>
          <w:t xml:space="preserve">FR-012: Dynamic Output Floor (CRR3 Art. 12a)</w:t>
        </w:r>
      </w:hyperlink>
    </w:p>
    <w:p>
      <w:pPr>
        <w:pStyle w:val="Compact"/>
        <w:numPr>
          <w:ilvl w:val="0"/>
          <w:numId w:val="1004"/>
        </w:numPr>
      </w:pPr>
      <w:hyperlink w:anchor="fr-013-esg-climate-risk-framework">
        <w:r>
          <w:rPr>
            <w:rStyle w:val="Hyperlink"/>
          </w:rPr>
          <w:t xml:space="preserve">FR-013: ESG/Climate Risk Framework (CRR3 Art. 87a)</w:t>
        </w:r>
      </w:hyperlink>
    </w:p>
    <w:p>
      <w:pPr>
        <w:pStyle w:val="Compact"/>
        <w:numPr>
          <w:ilvl w:val="0"/>
          <w:numId w:val="1004"/>
        </w:numPr>
      </w:pPr>
      <w:hyperlink w:anchor="fr-014-hierarchical-trace-engine">
        <w:r>
          <w:rPr>
            <w:rStyle w:val="Hyperlink"/>
          </w:rPr>
          <w:t xml:space="preserve">FR-014: Hierarchical Trace Engine (SR 11-7)</w:t>
        </w:r>
      </w:hyperlink>
    </w:p>
    <w:p>
      <w:pPr>
        <w:pStyle w:val="Compact"/>
        <w:numPr>
          <w:ilvl w:val="0"/>
          <w:numId w:val="1004"/>
        </w:numPr>
      </w:pPr>
      <w:hyperlink w:anchor="fr-015-automated-governance-checkpoints">
        <w:r>
          <w:rPr>
            <w:rStyle w:val="Hyperlink"/>
          </w:rPr>
          <w:t xml:space="preserve">FR-015: Automated Governance Checkpoints (SR 11-7)</w:t>
        </w:r>
      </w:hyperlink>
    </w:p>
    <w:p>
      <w:pPr>
        <w:pStyle w:val="Compact"/>
        <w:numPr>
          <w:ilvl w:val="0"/>
          <w:numId w:val="1004"/>
        </w:numPr>
      </w:pPr>
      <w:hyperlink w:anchor="fr-016-data-quality-management-system">
        <w:r>
          <w:rPr>
            <w:rStyle w:val="Hyperlink"/>
          </w:rPr>
          <w:t xml:space="preserve">FR-016: Data Quality Management System</w:t>
        </w:r>
      </w:hyperlink>
    </w:p>
    <w:p>
      <w:pPr>
        <w:pStyle w:val="Compact"/>
        <w:numPr>
          <w:ilvl w:val="0"/>
          <w:numId w:val="1004"/>
        </w:numPr>
      </w:pPr>
      <w:hyperlink w:anchor="scenarios--sensitivities-framework">
        <w:r>
          <w:rPr>
            <w:rStyle w:val="Hyperlink"/>
          </w:rPr>
          <w:t xml:space="preserve">Scenarios &amp; Sensitivities Framework</w:t>
        </w:r>
      </w:hyperlink>
    </w:p>
    <w:bookmarkEnd w:id="14"/>
    <w:bookmarkStart w:id="15" w:name="section-4-implementation-roadmap"/>
    <w:p>
      <w:pPr>
        <w:pStyle w:val="Heading3"/>
      </w:pPr>
      <w:r>
        <w:t xml:space="preserve">SECTION 4: IMPLEMENTATION ROADMAP</w:t>
      </w:r>
    </w:p>
    <w:p>
      <w:pPr>
        <w:pStyle w:val="Compact"/>
        <w:numPr>
          <w:ilvl w:val="0"/>
          <w:numId w:val="1005"/>
        </w:numPr>
      </w:pPr>
      <w:hyperlink w:anchor="timeline--milestones">
        <w:r>
          <w:rPr>
            <w:rStyle w:val="Hyperlink"/>
          </w:rPr>
          <w:t xml:space="preserve">Phase Timeline &amp; Milestones</w:t>
        </w:r>
      </w:hyperlink>
    </w:p>
    <w:p>
      <w:pPr>
        <w:pStyle w:val="Compact"/>
        <w:numPr>
          <w:ilvl w:val="0"/>
          <w:numId w:val="1005"/>
        </w:numPr>
      </w:pPr>
      <w:hyperlink w:anchor="resource--budget-plan">
        <w:r>
          <w:rPr>
            <w:rStyle w:val="Hyperlink"/>
          </w:rPr>
          <w:t xml:space="preserve">Resource &amp; Budget Plan</w:t>
        </w:r>
      </w:hyperlink>
    </w:p>
    <w:p>
      <w:pPr>
        <w:pStyle w:val="Compact"/>
        <w:numPr>
          <w:ilvl w:val="0"/>
          <w:numId w:val="1005"/>
        </w:numPr>
      </w:pPr>
      <w:hyperlink w:anchor="success-metrics--kpis">
        <w:r>
          <w:rPr>
            <w:rStyle w:val="Hyperlink"/>
          </w:rPr>
          <w:t xml:space="preserve">Success Metrics &amp; KPI’s</w:t>
        </w:r>
      </w:hyperlink>
    </w:p>
    <w:p>
      <w:pPr>
        <w:pStyle w:val="Compact"/>
        <w:numPr>
          <w:ilvl w:val="0"/>
          <w:numId w:val="1005"/>
        </w:numPr>
      </w:pPr>
      <w:hyperlink w:anchor="risk-mitigation-strategy">
        <w:r>
          <w:rPr>
            <w:rStyle w:val="Hyperlink"/>
          </w:rPr>
          <w:t xml:space="preserve">Risk Mitigation Strategy</w:t>
        </w:r>
      </w:hyperlink>
    </w:p>
    <w:bookmarkEnd w:id="15"/>
    <w:bookmarkStart w:id="16" w:name="section-5-technical-architecture"/>
    <w:p>
      <w:pPr>
        <w:pStyle w:val="Heading3"/>
      </w:pPr>
      <w:r>
        <w:t xml:space="preserve">SECTION 5: TECHNICAL ARCHITECTURE</w:t>
      </w:r>
    </w:p>
    <w:p>
      <w:pPr>
        <w:pStyle w:val="Compact"/>
        <w:numPr>
          <w:ilvl w:val="0"/>
          <w:numId w:val="1006"/>
        </w:numPr>
      </w:pPr>
      <w:hyperlink w:anchor="system-architecture-7-layer-model">
        <w:r>
          <w:rPr>
            <w:rStyle w:val="Hyperlink"/>
          </w:rPr>
          <w:t xml:space="preserve">System Architecture (7-Layer Model)</w:t>
        </w:r>
      </w:hyperlink>
    </w:p>
    <w:p>
      <w:pPr>
        <w:pStyle w:val="Compact"/>
        <w:numPr>
          <w:ilvl w:val="0"/>
          <w:numId w:val="1006"/>
        </w:numPr>
      </w:pPr>
      <w:hyperlink w:anchor="data-flow--risk-run-pipeline">
        <w:r>
          <w:rPr>
            <w:rStyle w:val="Hyperlink"/>
          </w:rPr>
          <w:t xml:space="preserve">Data Flow &amp; Risk Run Pipeline</w:t>
        </w:r>
      </w:hyperlink>
    </w:p>
    <w:p>
      <w:pPr>
        <w:pStyle w:val="Compact"/>
        <w:numPr>
          <w:ilvl w:val="0"/>
          <w:numId w:val="1006"/>
        </w:numPr>
      </w:pPr>
      <w:hyperlink w:anchor="integration-points">
        <w:r>
          <w:rPr>
            <w:rStyle w:val="Hyperlink"/>
          </w:rPr>
          <w:t xml:space="preserve">Integration Points</w:t>
        </w:r>
      </w:hyperlink>
    </w:p>
    <w:p>
      <w:pPr>
        <w:pStyle w:val="Compact"/>
        <w:numPr>
          <w:ilvl w:val="0"/>
          <w:numId w:val="1006"/>
        </w:numPr>
      </w:pPr>
      <w:hyperlink w:anchor="security--governance-frameworks">
        <w:r>
          <w:rPr>
            <w:rStyle w:val="Hyperlink"/>
          </w:rPr>
          <w:t xml:space="preserve">Security &amp; Governance Frameworks</w:t>
        </w:r>
      </w:hyperlink>
    </w:p>
    <w:bookmarkEnd w:id="16"/>
    <w:bookmarkStart w:id="17" w:name="section-6-detailed-engine-specifications"/>
    <w:p>
      <w:pPr>
        <w:pStyle w:val="Heading3"/>
      </w:pPr>
      <w:r>
        <w:t xml:space="preserve">SECTION 6: DETAILED ENGINE SPECIFICATIONS</w:t>
      </w:r>
    </w:p>
    <w:p>
      <w:pPr>
        <w:pStyle w:val="Compact"/>
        <w:numPr>
          <w:ilvl w:val="0"/>
          <w:numId w:val="1007"/>
        </w:numPr>
      </w:pPr>
      <w:hyperlink w:anchor="a-irb-detailed-specification">
        <w:r>
          <w:rPr>
            <w:rStyle w:val="Hyperlink"/>
          </w:rPr>
          <w:t xml:space="preserve">A-IRB Detailed Specification</w:t>
        </w:r>
      </w:hyperlink>
    </w:p>
    <w:p>
      <w:pPr>
        <w:pStyle w:val="Compact"/>
        <w:numPr>
          <w:ilvl w:val="0"/>
          <w:numId w:val="1007"/>
        </w:numPr>
      </w:pPr>
      <w:hyperlink w:anchor="cva-detailed-specification">
        <w:r>
          <w:rPr>
            <w:rStyle w:val="Hyperlink"/>
          </w:rPr>
          <w:t xml:space="preserve">CVA Detailed Specification</w:t>
        </w:r>
      </w:hyperlink>
    </w:p>
    <w:p>
      <w:pPr>
        <w:pStyle w:val="Compact"/>
        <w:numPr>
          <w:ilvl w:val="0"/>
          <w:numId w:val="1007"/>
        </w:numPr>
      </w:pPr>
      <w:hyperlink w:anchor="frtb-detailed-specification">
        <w:r>
          <w:rPr>
            <w:rStyle w:val="Hyperlink"/>
          </w:rPr>
          <w:t xml:space="preserve">FRTB Detailed Specification</w:t>
        </w:r>
      </w:hyperlink>
    </w:p>
    <w:p>
      <w:pPr>
        <w:pStyle w:val="Compact"/>
        <w:numPr>
          <w:ilvl w:val="0"/>
          <w:numId w:val="1007"/>
        </w:numPr>
      </w:pPr>
      <w:hyperlink w:anchor="sa-ccr-detailed-specification">
        <w:r>
          <w:rPr>
            <w:rStyle w:val="Hyperlink"/>
          </w:rPr>
          <w:t xml:space="preserve">SA-CCR Detailed Specification</w:t>
        </w:r>
      </w:hyperlink>
    </w:p>
    <w:p>
      <w:pPr>
        <w:pStyle w:val="Compact"/>
        <w:numPr>
          <w:ilvl w:val="0"/>
          <w:numId w:val="1007"/>
        </w:numPr>
      </w:pPr>
      <w:hyperlink w:anchor="imm-detailed-specification">
        <w:r>
          <w:rPr>
            <w:rStyle w:val="Hyperlink"/>
          </w:rPr>
          <w:t xml:space="preserve">IMM Detailed Specification</w:t>
        </w:r>
      </w:hyperlink>
    </w:p>
    <w:p>
      <w:pPr>
        <w:pStyle w:val="Compact"/>
        <w:numPr>
          <w:ilvl w:val="0"/>
          <w:numId w:val="1007"/>
        </w:numPr>
      </w:pPr>
      <w:hyperlink w:anchor="ccp-detailed-specification">
        <w:r>
          <w:rPr>
            <w:rStyle w:val="Hyperlink"/>
          </w:rPr>
          <w:t xml:space="preserve">CCP Detailed Specification</w:t>
        </w:r>
      </w:hyperlink>
    </w:p>
    <w:p>
      <w:pPr>
        <w:pStyle w:val="Compact"/>
        <w:numPr>
          <w:ilvl w:val="0"/>
          <w:numId w:val="1007"/>
        </w:numPr>
      </w:pPr>
      <w:hyperlink w:anchor="operational-risk-detailed-specification">
        <w:r>
          <w:rPr>
            <w:rStyle w:val="Hyperlink"/>
          </w:rPr>
          <w:t xml:space="preserve">Operational Risk Detailed Specification</w:t>
        </w:r>
      </w:hyperlink>
    </w:p>
    <w:bookmarkEnd w:id="17"/>
    <w:bookmarkStart w:id="18" w:name="section-7-deployment-operations"/>
    <w:p>
      <w:pPr>
        <w:pStyle w:val="Heading3"/>
      </w:pPr>
      <w:r>
        <w:t xml:space="preserve">SECTION 7: DEPLOYMENT &amp; OPERATIONS</w:t>
      </w:r>
    </w:p>
    <w:p>
      <w:pPr>
        <w:pStyle w:val="Compact"/>
        <w:numPr>
          <w:ilvl w:val="0"/>
          <w:numId w:val="1008"/>
        </w:numPr>
      </w:pPr>
      <w:hyperlink w:anchor="deployment-architecture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8"/>
        </w:numPr>
      </w:pPr>
      <w:hyperlink w:anchor="monitoring--observability">
        <w:r>
          <w:rPr>
            <w:rStyle w:val="Hyperlink"/>
          </w:rPr>
          <w:t xml:space="preserve">Monitoring &amp; Observability</w:t>
        </w:r>
      </w:hyperlink>
    </w:p>
    <w:p>
      <w:pPr>
        <w:pStyle w:val="Compact"/>
        <w:numPr>
          <w:ilvl w:val="0"/>
          <w:numId w:val="1008"/>
        </w:numPr>
      </w:pPr>
      <w:hyperlink w:anchor="performance--scalability">
        <w:r>
          <w:rPr>
            <w:rStyle w:val="Hyperlink"/>
          </w:rPr>
          <w:t xml:space="preserve">Performance &amp; Scalability</w:t>
        </w:r>
      </w:hyperlink>
    </w:p>
    <w:p>
      <w:pPr>
        <w:pStyle w:val="Compact"/>
        <w:numPr>
          <w:ilvl w:val="0"/>
          <w:numId w:val="1008"/>
        </w:numPr>
      </w:pPr>
      <w:hyperlink w:anchor="troubleshooting-guide">
        <w:r>
          <w:rPr>
            <w:rStyle w:val="Hyperlink"/>
          </w:rPr>
          <w:t xml:space="preserve">Troubleshooting Guide</w:t>
        </w:r>
      </w:hyperlink>
    </w:p>
    <w:bookmarkEnd w:id="18"/>
    <w:bookmarkStart w:id="19" w:name="section-8-appendices"/>
    <w:p>
      <w:pPr>
        <w:pStyle w:val="Heading3"/>
      </w:pPr>
      <w:r>
        <w:t xml:space="preserve">SECTION 8: APPENDICES</w:t>
      </w:r>
    </w:p>
    <w:p>
      <w:pPr>
        <w:pStyle w:val="Compact"/>
        <w:numPr>
          <w:ilvl w:val="0"/>
          <w:numId w:val="1009"/>
        </w:numPr>
      </w:pPr>
      <w:hyperlink w:anchor="glossary-of-terms">
        <w:r>
          <w:rPr>
            <w:rStyle w:val="Hyperlink"/>
          </w:rPr>
          <w:t xml:space="preserve">Glossary of Terms</w:t>
        </w:r>
      </w:hyperlink>
    </w:p>
    <w:p>
      <w:pPr>
        <w:pStyle w:val="Compact"/>
        <w:numPr>
          <w:ilvl w:val="0"/>
          <w:numId w:val="1009"/>
        </w:numPr>
      </w:pPr>
      <w:hyperlink w:anchor="regulatory-cross-reference">
        <w:r>
          <w:rPr>
            <w:rStyle w:val="Hyperlink"/>
          </w:rPr>
          <w:t xml:space="preserve">Regulatory Cross-Reference</w:t>
        </w:r>
      </w:hyperlink>
    </w:p>
    <w:p>
      <w:pPr>
        <w:pStyle w:val="Compact"/>
        <w:numPr>
          <w:ilvl w:val="0"/>
          <w:numId w:val="1009"/>
        </w:numPr>
      </w:pPr>
      <w:hyperlink w:anchor="code-module-inventory">
        <w:r>
          <w:rPr>
            <w:rStyle w:val="Hyperlink"/>
          </w:rPr>
          <w:t xml:space="preserve">Code Module Inventory</w:t>
        </w:r>
      </w:hyperlink>
    </w:p>
    <w:p>
      <w:pPr>
        <w:pStyle w:val="Compact"/>
        <w:numPr>
          <w:ilvl w:val="0"/>
          <w:numId w:val="1009"/>
        </w:numPr>
      </w:pPr>
      <w:hyperlink w:anchor="frequently-asked-questions">
        <w:r>
          <w:rPr>
            <w:rStyle w:val="Hyperlink"/>
          </w:rPr>
          <w:t xml:space="preserve">Frequently Asked Questions</w:t>
        </w:r>
      </w:hyperlink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4" w:name="section-0-master-overview-1"/>
    <w:p>
      <w:pPr>
        <w:pStyle w:val="Heading1"/>
      </w:pPr>
      <w:r>
        <w:t xml:space="preserve">SECTION 0: MASTER OVERVIEW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PROMETHEUS</w:t>
      </w:r>
      <w:r>
        <w:t xml:space="preserve"> </w:t>
      </w:r>
      <w:r>
        <w:t xml:space="preserve">is an institutional-grade, production-ready regulatory capital management platform designed for banks operating under the Basel III/IV framework. It provides a fully integrated, end-to-end solution for calculating, validating, reporting, and auditing Risk-Weighted Assets (RWA) across all regulatory capital components.</w:t>
      </w:r>
    </w:p>
    <w:bookmarkStart w:id="22" w:name="phase-1-status-complete-as-of-jan-2025"/>
    <w:p>
      <w:pPr>
        <w:pStyle w:val="Heading3"/>
      </w:pPr>
      <w:r>
        <w:t xml:space="preserve">Phase 1 Status (Complete as of Jan 2025)</w:t>
      </w:r>
    </w:p>
    <w:p>
      <w:pPr>
        <w:pStyle w:val="Compact"/>
        <w:numPr>
          <w:ilvl w:val="0"/>
          <w:numId w:val="1010"/>
        </w:numPr>
      </w:pPr>
      <w:r>
        <w:t xml:space="preserve">✅ 100% regulatory engine coverage (6 capital components)</w:t>
      </w:r>
    </w:p>
    <w:p>
      <w:pPr>
        <w:pStyle w:val="Compact"/>
        <w:numPr>
          <w:ilvl w:val="0"/>
          <w:numId w:val="1010"/>
        </w:numPr>
      </w:pPr>
      <w:r>
        <w:t xml:space="preserve">✅ 48/48 validation tests passing</w:t>
      </w:r>
    </w:p>
    <w:p>
      <w:pPr>
        <w:pStyle w:val="Compact"/>
        <w:numPr>
          <w:ilvl w:val="0"/>
          <w:numId w:val="1010"/>
        </w:numPr>
      </w:pPr>
      <w:r>
        <w:t xml:space="preserve">✅ Zero type errors (Pylance strict mode)</w:t>
      </w:r>
    </w:p>
    <w:p>
      <w:pPr>
        <w:pStyle w:val="Compact"/>
        <w:numPr>
          <w:ilvl w:val="0"/>
          <w:numId w:val="1010"/>
        </w:numPr>
      </w:pPr>
      <w:r>
        <w:t xml:space="preserve">✅ &lt;5 minute daily risk run on commodity hardware</w:t>
      </w:r>
    </w:p>
    <w:bookmarkEnd w:id="22"/>
    <w:bookmarkStart w:id="23" w:name="phase-2a-status-complete-as-of-may-2026"/>
    <w:p>
      <w:pPr>
        <w:pStyle w:val="Heading3"/>
      </w:pPr>
      <w:r>
        <w:t xml:space="preserve">Phase 2A Status (Complete as of May 2026)</w:t>
      </w:r>
    </w:p>
    <w:p>
      <w:pPr>
        <w:pStyle w:val="Compact"/>
        <w:numPr>
          <w:ilvl w:val="0"/>
          <w:numId w:val="1011"/>
        </w:numPr>
      </w:pPr>
      <w:r>
        <w:t xml:space="preserve">✅ Dynamic output floor (CRR3 Art. 12a)</w:t>
      </w:r>
    </w:p>
    <w:p>
      <w:pPr>
        <w:pStyle w:val="Compact"/>
        <w:numPr>
          <w:ilvl w:val="0"/>
          <w:numId w:val="1011"/>
        </w:numPr>
      </w:pPr>
      <w:r>
        <w:t xml:space="preserve">✅ ESG/climate risk framework (CRR3 Art. 87a)</w:t>
      </w:r>
    </w:p>
    <w:p>
      <w:pPr>
        <w:pStyle w:val="Compact"/>
        <w:numPr>
          <w:ilvl w:val="0"/>
          <w:numId w:val="1011"/>
        </w:numPr>
      </w:pPr>
      <w:r>
        <w:t xml:space="preserve">✅ Hierarchical trace engine (SR 11-7 compliance)</w:t>
      </w:r>
    </w:p>
    <w:p>
      <w:pPr>
        <w:pStyle w:val="Compact"/>
        <w:numPr>
          <w:ilvl w:val="0"/>
          <w:numId w:val="1011"/>
        </w:numPr>
      </w:pPr>
      <w:r>
        <w:t xml:space="preserve">✅ 5 automated governance checkpoints</w:t>
      </w:r>
    </w:p>
    <w:p>
      <w:pPr>
        <w:pStyle w:val="Compact"/>
        <w:numPr>
          <w:ilvl w:val="0"/>
          <w:numId w:val="1011"/>
        </w:numPr>
      </w:pPr>
      <w:r>
        <w:t xml:space="preserve">✅ Data quality scorecard (5 daily metrics)</w:t>
      </w:r>
    </w:p>
    <w:p>
      <w:pPr>
        <w:pStyle w:val="Compact"/>
        <w:numPr>
          <w:ilvl w:val="0"/>
          <w:numId w:val="1011"/>
        </w:numPr>
      </w:pPr>
      <w:r>
        <w:t xml:space="preserve">✅ 6 regulatory scenarios + sensitivities API</w:t>
      </w:r>
    </w:p>
    <w:bookmarkEnd w:id="23"/>
    <w:bookmarkStart w:id="24" w:name="phase-2b-timeline-aug-2026-jan-2027"/>
    <w:p>
      <w:pPr>
        <w:pStyle w:val="Heading3"/>
      </w:pPr>
      <w:r>
        <w:t xml:space="preserve">Phase 2B Timeline (Aug 2026 → Jan 2027)</w:t>
      </w:r>
    </w:p>
    <w:p>
      <w:pPr>
        <w:pStyle w:val="Compact"/>
        <w:numPr>
          <w:ilvl w:val="0"/>
          <w:numId w:val="1012"/>
        </w:numPr>
      </w:pPr>
      <w:r>
        <w:t xml:space="preserve">🔮 Advanced analytics (Greeks, attribution)</w:t>
      </w:r>
    </w:p>
    <w:p>
      <w:pPr>
        <w:pStyle w:val="Compact"/>
        <w:numPr>
          <w:ilvl w:val="0"/>
          <w:numId w:val="1012"/>
        </w:numPr>
      </w:pPr>
      <w:r>
        <w:t xml:space="preserve">🔮 Detailed ESG calibration</w:t>
      </w:r>
    </w:p>
    <w:p>
      <w:pPr>
        <w:pStyle w:val="Compact"/>
        <w:numPr>
          <w:ilvl w:val="0"/>
          <w:numId w:val="1012"/>
        </w:numPr>
      </w:pPr>
      <w:r>
        <w:t xml:space="preserve">🔮 Refined correlation models</w:t>
      </w:r>
    </w:p>
    <w:p>
      <w:pPr>
        <w:pStyle w:val="Compact"/>
        <w:numPr>
          <w:ilvl w:val="0"/>
          <w:numId w:val="1012"/>
        </w:numPr>
      </w:pPr>
      <w:r>
        <w:t xml:space="preserve">🔮 Capital relief tuning (50–100 bps)</w:t>
      </w:r>
    </w:p>
    <w:bookmarkEnd w:id="24"/>
    <w:bookmarkStart w:id="25" w:name="business-impact"/>
    <w:p>
      <w:pPr>
        <w:pStyle w:val="Heading3"/>
      </w:pPr>
      <w:r>
        <w:t xml:space="preserve">Business Impact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Capital Efficiency:</w:t>
      </w:r>
      <w:r>
        <w:t xml:space="preserve"> </w:t>
      </w:r>
      <w:r>
        <w:t xml:space="preserve">50–100 bps RWA relief ($2.5M freed capital)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 Readiness:</w:t>
      </w:r>
      <w:r>
        <w:t xml:space="preserve"> </w:t>
      </w:r>
      <w:r>
        <w:t xml:space="preserve">100% formula traceability + governance automation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Competitive Advantage:</w:t>
      </w:r>
      <w:r>
        <w:t xml:space="preserve"> </w:t>
      </w:r>
      <w:r>
        <w:t xml:space="preserve">Best-in-class documentation &amp; transparency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Time-to-Value:</w:t>
      </w:r>
      <w:r>
        <w:t xml:space="preserve"> </w:t>
      </w:r>
      <w:r>
        <w:t xml:space="preserve">30-week implementation + 7.1 day payback period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ocument-structure-navigation"/>
    <w:p>
      <w:pPr>
        <w:pStyle w:val="Heading2"/>
      </w:pPr>
      <w:r>
        <w:t xml:space="preserve">Document Structure &amp; Navigation</w:t>
      </w:r>
    </w:p>
    <w:p>
      <w:pPr>
        <w:pStyle w:val="FirstParagraph"/>
      </w:pPr>
      <w:r>
        <w:t xml:space="preserve">This consolidated document unifies 29 existing requirements documents into a single, comprehensive reference: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Executives:</w:t>
      </w:r>
      <w:r>
        <w:t xml:space="preserve"> </w:t>
      </w:r>
      <w:r>
        <w:t xml:space="preserve">Read Section 0 + Section 4 (overview + timeline)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Developers:</w:t>
      </w:r>
      <w:r>
        <w:t xml:space="preserve"> </w:t>
      </w:r>
      <w:r>
        <w:t xml:space="preserve">Read Section 5 (architecture) + Section 6 (detailed specs)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Officers:</w:t>
      </w:r>
      <w:r>
        <w:t xml:space="preserve"> </w:t>
      </w:r>
      <w:r>
        <w:t xml:space="preserve">Read all sections sequentially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Auditors:</w:t>
      </w:r>
      <w:r>
        <w:t xml:space="preserve"> </w:t>
      </w:r>
      <w:r>
        <w:t xml:space="preserve">Use Regulatory Cross-Reference (Section 8) + specific engine specs</w:t>
      </w:r>
    </w:p>
    <w:p>
      <w:pPr>
        <w:pStyle w:val="BodyText"/>
      </w:pPr>
      <w:r>
        <w:rPr>
          <w:b/>
          <w:bCs/>
        </w:rPr>
        <w:t xml:space="preserve">Document Organization: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Sections 0-1:</w:t>
      </w:r>
      <w:r>
        <w:t xml:space="preserve"> </w:t>
      </w:r>
      <w:r>
        <w:t xml:space="preserve">Strategic overview + foundation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Sections 2-3:</w:t>
      </w:r>
      <w:r>
        <w:t xml:space="preserve"> </w:t>
      </w:r>
      <w:r>
        <w:t xml:space="preserve">Phase 1 (existing) + Phase 2A (new requirements)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Sections 4-5:</w:t>
      </w:r>
      <w:r>
        <w:t xml:space="preserve"> </w:t>
      </w:r>
      <w:r>
        <w:t xml:space="preserve">Roadmap +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Sections 6-7:</w:t>
      </w:r>
      <w:r>
        <w:t xml:space="preserve"> </w:t>
      </w:r>
      <w:r>
        <w:t xml:space="preserve">Technical deep-dives +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8:</w:t>
      </w:r>
      <w:r>
        <w:t xml:space="preserve"> </w:t>
      </w:r>
      <w:r>
        <w:t xml:space="preserve">References + appendices</w:t>
      </w:r>
    </w:p>
    <w:p>
      <w:r>
        <w:pict>
          <v:rect style="width:0;height:1.5pt" o:hralign="center" o:hrstd="t" o:hr="t"/>
        </w:pict>
      </w:r>
    </w:p>
    <w:bookmarkEnd w:id="27"/>
    <w:bookmarkStart w:id="31" w:name="quick-reference-guide"/>
    <w:p>
      <w:pPr>
        <w:pStyle w:val="Heading2"/>
      </w:pPr>
      <w:r>
        <w:t xml:space="preserve">Quick Reference Guide</w:t>
      </w:r>
    </w:p>
    <w:bookmarkStart w:id="28" w:name="X0f06d2b95aa6365962b4badcb2747e1d4aad404"/>
    <w:p>
      <w:pPr>
        <w:pStyle w:val="Heading3"/>
      </w:pPr>
      <w:r>
        <w:t xml:space="preserve">Phase 1: Functional Requirements (Existing — Jan 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Regulatory Basis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SA-CCR Calculation Engine</w:t>
            </w:r>
          </w:p>
        </w:tc>
        <w:tc>
          <w:tcPr/>
          <w:p>
            <w:pPr>
              <w:pStyle w:val="Compact"/>
            </w:pPr>
            <w:r>
              <w:t xml:space="preserve">SA-CCR</w:t>
            </w:r>
          </w:p>
        </w:tc>
        <w:tc>
          <w:tcPr/>
          <w:p>
            <w:pPr>
              <w:pStyle w:val="Compact"/>
            </w:pPr>
            <w:r>
              <w:t xml:space="preserve">CRE52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IMM Monte Carlo Engine</w:t>
            </w:r>
          </w:p>
        </w:tc>
        <w:tc>
          <w:tcPr/>
          <w:p>
            <w:pPr>
              <w:pStyle w:val="Compact"/>
            </w:pPr>
            <w:r>
              <w:t xml:space="preserve">IMM</w:t>
            </w:r>
          </w:p>
        </w:tc>
        <w:tc>
          <w:tcPr/>
          <w:p>
            <w:pPr>
              <w:pStyle w:val="Compact"/>
            </w:pPr>
            <w:r>
              <w:t xml:space="preserve">CRE53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A-IRB Credit Risk Engine</w:t>
            </w:r>
          </w:p>
        </w:tc>
        <w:tc>
          <w:tcPr/>
          <w:p>
            <w:pPr>
              <w:pStyle w:val="Compact"/>
            </w:pPr>
            <w:r>
              <w:t xml:space="preserve">A-IRB</w:t>
            </w:r>
          </w:p>
        </w:tc>
        <w:tc>
          <w:tcPr/>
          <w:p>
            <w:pPr>
              <w:pStyle w:val="Compact"/>
            </w:pPr>
            <w:r>
              <w:t xml:space="preserve">CRE30–36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FRTB Market Risk Engine</w:t>
            </w:r>
          </w:p>
        </w:tc>
        <w:tc>
          <w:tcPr/>
          <w:p>
            <w:pPr>
              <w:pStyle w:val="Compact"/>
            </w:pPr>
            <w:r>
              <w:t xml:space="preserve">FRTB</w:t>
            </w:r>
          </w:p>
        </w:tc>
        <w:tc>
          <w:tcPr/>
          <w:p>
            <w:pPr>
              <w:pStyle w:val="Compact"/>
            </w:pPr>
            <w:r>
              <w:t xml:space="preserve">MAR20–33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CVA Risk Engine</w:t>
            </w:r>
          </w:p>
        </w:tc>
        <w:tc>
          <w:tcPr/>
          <w:p>
            <w:pPr>
              <w:pStyle w:val="Compact"/>
            </w:pPr>
            <w:r>
              <w:t xml:space="preserve">CVA</w:t>
            </w:r>
          </w:p>
        </w:tc>
        <w:tc>
          <w:tcPr/>
          <w:p>
            <w:pPr>
              <w:pStyle w:val="Compact"/>
            </w:pPr>
            <w:r>
              <w:t xml:space="preserve">MAR50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CCP Exposure Engine</w:t>
            </w:r>
          </w:p>
        </w:tc>
        <w:tc>
          <w:tcPr/>
          <w:p>
            <w:pPr>
              <w:pStyle w:val="Compact"/>
            </w:pPr>
            <w:r>
              <w:t xml:space="preserve">CCP</w:t>
            </w:r>
          </w:p>
        </w:tc>
        <w:tc>
          <w:tcPr/>
          <w:p>
            <w:pPr>
              <w:pStyle w:val="Compact"/>
            </w:pPr>
            <w:r>
              <w:t xml:space="preserve">CRE54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Daily Risk Orchestrator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RBC20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Market Data Integration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MAR/CRE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Backtesting Framework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MAR99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Interactive Dashboard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Audit Trail &amp; Reporting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SR 11-7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</w:tbl>
    <w:bookmarkEnd w:id="28"/>
    <w:bookmarkStart w:id="29" w:name="X298feddbb6db820c91f28a800e39399e0108220"/>
    <w:p>
      <w:pPr>
        <w:pStyle w:val="Heading3"/>
      </w:pPr>
      <w:r>
        <w:t xml:space="preserve">Phase 2A: New Functional Requirements (May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232"/>
        <w:gridCol w:w="1232"/>
        <w:gridCol w:w="3168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Regulatory Basis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Dynamic Output Floor</w:t>
            </w:r>
          </w:p>
        </w:tc>
        <w:tc>
          <w:tcPr/>
          <w:p>
            <w:pPr>
              <w:pStyle w:val="Compact"/>
            </w:pPr>
            <w:r>
              <w:t xml:space="preserve">Capital Structure</w:t>
            </w:r>
          </w:p>
        </w:tc>
        <w:tc>
          <w:tcPr/>
          <w:p>
            <w:pPr>
              <w:pStyle w:val="Compact"/>
            </w:pPr>
            <w:r>
              <w:t xml:space="preserve">CRR3 Art. 12a, RBC20.11</w:t>
            </w:r>
          </w:p>
        </w:tc>
        <w:tc>
          <w:tcPr/>
          <w:p>
            <w:pPr>
              <w:pStyle w:val="Compact"/>
            </w:pPr>
            <w:r>
              <w:t xml:space="preserve">✅ May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ESG/Climate Framework</w:t>
            </w:r>
          </w:p>
        </w:tc>
        <w:tc>
          <w:tcPr/>
          <w:p>
            <w:pPr>
              <w:pStyle w:val="Compact"/>
            </w:pPr>
            <w:r>
              <w:t xml:space="preserve">Risk Integration</w:t>
            </w:r>
          </w:p>
        </w:tc>
        <w:tc>
          <w:tcPr/>
          <w:p>
            <w:pPr>
              <w:pStyle w:val="Compact"/>
            </w:pPr>
            <w:r>
              <w:t xml:space="preserve">CRR3 Art. 87a</w:t>
            </w:r>
          </w:p>
        </w:tc>
        <w:tc>
          <w:tcPr/>
          <w:p>
            <w:pPr>
              <w:pStyle w:val="Compact"/>
            </w:pPr>
            <w:r>
              <w:t xml:space="preserve">✅ May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Hierarchical Trace Engine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SR 11-7</w:t>
            </w:r>
          </w:p>
        </w:tc>
        <w:tc>
          <w:tcPr/>
          <w:p>
            <w:pPr>
              <w:pStyle w:val="Compact"/>
            </w:pPr>
            <w:r>
              <w:t xml:space="preserve">✅ May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Governance Checkpoints (5×)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SR 11-7</w:t>
            </w:r>
          </w:p>
        </w:tc>
        <w:tc>
          <w:tcPr/>
          <w:p>
            <w:pPr>
              <w:pStyle w:val="Compact"/>
            </w:pPr>
            <w:r>
              <w:t xml:space="preserve">✅ May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Data Quality Scorecard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BCBS DQ Guide</w:t>
            </w:r>
          </w:p>
        </w:tc>
        <w:tc>
          <w:tcPr/>
          <w:p>
            <w:pPr>
              <w:pStyle w:val="Compact"/>
            </w:pPr>
            <w:r>
              <w:t xml:space="preserve">✅ May 6</w:t>
            </w:r>
          </w:p>
        </w:tc>
      </w:tr>
    </w:tbl>
    <w:bookmarkEnd w:id="29"/>
    <w:bookmarkStart w:id="30" w:name="key-phase-2a-modules"/>
    <w:p>
      <w:pPr>
        <w:pStyle w:val="Heading3"/>
      </w:pPr>
      <w:r>
        <w:t xml:space="preserve">Key Phase 2A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1365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Output Floor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output_floor.py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Floor calculation + regime switching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ESG/Climate 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esg_framework.py</w:t>
            </w:r>
          </w:p>
        </w:tc>
        <w:tc>
          <w:tcPr/>
          <w:p>
            <w:pPr>
              <w:pStyle w:val="Compact"/>
            </w:pPr>
            <w:r>
              <w:t xml:space="preserve">442</w:t>
            </w:r>
          </w:p>
        </w:tc>
        <w:tc>
          <w:tcPr/>
          <w:p>
            <w:pPr>
              <w:pStyle w:val="Compact"/>
            </w:pPr>
            <w:r>
              <w:t xml:space="preserve">9-sector PD uplift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Scorecard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dqms.py</w:t>
            </w:r>
          </w:p>
        </w:tc>
        <w:tc>
          <w:tcPr/>
          <w:p>
            <w:pPr>
              <w:pStyle w:val="Compact"/>
            </w:pPr>
            <w:r>
              <w:t xml:space="preserve">544</w:t>
            </w:r>
          </w:p>
        </w:tc>
        <w:tc>
          <w:tcPr/>
          <w:p>
            <w:pPr>
              <w:pStyle w:val="Compact"/>
            </w:pPr>
            <w:r>
              <w:t xml:space="preserve">5 daily metrics → scorecard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trace_engine.py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Formula-level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governance_checker.py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5 automated daily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scenarios/library.py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6 regulatory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scenarios/engine.py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Scenario execution &amp;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Sensitivities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sensitivities/__init__.py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Greeks (PD, LGD, M, 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regulatory-alignment-matrix"/>
    <w:p>
      <w:pPr>
        <w:pStyle w:val="Heading2"/>
      </w:pPr>
      <w:r>
        <w:t xml:space="preserve">Regulatory Alignment Matrix</w:t>
      </w:r>
    </w:p>
    <w:bookmarkStart w:id="32" w:name="by-standard"/>
    <w:p>
      <w:pPr>
        <w:pStyle w:val="Heading3"/>
      </w:pPr>
      <w:r>
        <w:t xml:space="preserve">By Standard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BCBS Standard</w:t>
            </w:r>
          </w:p>
        </w:tc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CRR3</w:t>
            </w:r>
          </w:p>
        </w:tc>
        <w:tc>
          <w:tcPr/>
          <w:p>
            <w:pPr>
              <w:pStyle w:val="Compact"/>
            </w:pPr>
            <w:r>
              <w:t xml:space="preserve">Art. 12a</w:t>
            </w:r>
          </w:p>
        </w:tc>
        <w:tc>
          <w:tcPr/>
          <w:p>
            <w:pPr>
              <w:pStyle w:val="Compact"/>
            </w:pPr>
            <w:r>
              <w:t xml:space="preserve">Output Floor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Dynamic 73–74.5%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CRR3</w:t>
            </w:r>
          </w:p>
        </w:tc>
        <w:tc>
          <w:tcPr/>
          <w:p>
            <w:pPr>
              <w:pStyle w:val="Compact"/>
            </w:pPr>
            <w:r>
              <w:t xml:space="preserve">Art. 87a</w:t>
            </w:r>
          </w:p>
        </w:tc>
        <w:tc>
          <w:tcPr/>
          <w:p>
            <w:pPr>
              <w:pStyle w:val="Compact"/>
            </w:pPr>
            <w:r>
              <w:t xml:space="preserve">ESG/Climate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9-sector uplift (1.0x–1.35x)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11-7</w:t>
            </w:r>
          </w:p>
        </w:tc>
        <w:tc>
          <w:tcPr/>
          <w:p>
            <w:pPr>
              <w:pStyle w:val="Compact"/>
            </w:pPr>
            <w:r>
              <w:t xml:space="preserve">4.1, 5.1, 5.2</w:t>
            </w:r>
          </w:p>
        </w:tc>
        <w:tc>
          <w:tcPr/>
          <w:p>
            <w:pPr>
              <w:pStyle w:val="Compact"/>
            </w:pPr>
            <w:r>
              <w:t xml:space="preserve">Model Governance</w:t>
            </w:r>
          </w:p>
        </w:tc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5 daily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RBC20</w:t>
            </w:r>
          </w:p>
        </w:tc>
        <w:tc>
          <w:tcPr/>
          <w:p>
            <w:pPr>
              <w:pStyle w:val="Compact"/>
            </w:pPr>
            <w:r>
              <w:t xml:space="preserve">RBC20.11</w:t>
            </w:r>
          </w:p>
        </w:tc>
        <w:tc>
          <w:tcPr/>
          <w:p>
            <w:pPr>
              <w:pStyle w:val="Compact"/>
            </w:pPr>
            <w:r>
              <w:t xml:space="preserve">Floor Formula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CRR3-compliant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RBC20</w:t>
            </w:r>
          </w:p>
        </w:tc>
        <w:tc>
          <w:tcPr/>
          <w:p>
            <w:pPr>
              <w:pStyle w:val="Compact"/>
            </w:pPr>
            <w:r>
              <w:t xml:space="preserve">RBC20.9</w:t>
            </w:r>
          </w:p>
        </w:tc>
        <w:tc>
          <w:tcPr/>
          <w:p>
            <w:pPr>
              <w:pStyle w:val="Compact"/>
            </w:pPr>
            <w:r>
              <w:t xml:space="preserve">5-Part RWA</w:t>
            </w:r>
          </w:p>
        </w:tc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Complete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CRE30–36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A-IRB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Full implementation + Phase 2A ESG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CRE52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SA-CCR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Full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CRE53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IMM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Full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CRE54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CCP</w:t>
            </w:r>
          </w:p>
        </w:tc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Full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MAR20–33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FRTB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Full implementation + Phase 2A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MAR50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CVA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Full implementation + Phase 2A Greeks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MAR99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Backtesting</w:t>
            </w:r>
          </w:p>
        </w:tc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Full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MGN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Margins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CSA/IM/VM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8" w:name="section-1-project-foundation-1"/>
    <w:p>
      <w:pPr>
        <w:pStyle w:val="Heading1"/>
      </w:pPr>
      <w:r>
        <w:t xml:space="preserve">SECTION 1: PROJECT FOUNDATION</w:t>
      </w:r>
    </w:p>
    <w:bookmarkStart w:id="37" w:name="project-description-vision"/>
    <w:p>
      <w:pPr>
        <w:pStyle w:val="Heading2"/>
      </w:pPr>
      <w:r>
        <w:t xml:space="preserve">Project Description &amp; Vision</w:t>
      </w:r>
    </w:p>
    <w:bookmarkStart w:id="35" w:name="prometheus-platform-mission"/>
    <w:p>
      <w:pPr>
        <w:pStyle w:val="Heading3"/>
      </w:pPr>
      <w:r>
        <w:t xml:space="preserve">PROMETHEUS Platform Mission</w:t>
      </w:r>
    </w:p>
    <w:p>
      <w:pPr>
        <w:pStyle w:val="FirstParagraph"/>
      </w:pPr>
      <w:r>
        <w:t xml:space="preserve">To provide banks with an open, auditable, fully-documented calculation engine for regulatory capital that:</w:t>
      </w:r>
      <w:r>
        <w:t xml:space="preserve"> </w:t>
      </w:r>
      <w:r>
        <w:t xml:space="preserve">- Replaces opaque vendor black boxes with transparent Python code</w:t>
      </w:r>
      <w:r>
        <w:t xml:space="preserve"> </w:t>
      </w:r>
      <w:r>
        <w:t xml:space="preserve">- Enables regulatory examiners to trace any RWA calculation to the exact Basel standard</w:t>
      </w:r>
      <w:r>
        <w:t xml:space="preserve"> </w:t>
      </w:r>
      <w:r>
        <w:t xml:space="preserve">- Supports rapid methodology updates without multi-million-dollar vendor renegotiations</w:t>
      </w:r>
      <w:r>
        <w:t xml:space="preserve"> </w:t>
      </w:r>
      <w:r>
        <w:t xml:space="preserve">- Demonstrates best-in-class governance and model risk management</w:t>
      </w:r>
    </w:p>
    <w:bookmarkEnd w:id="35"/>
    <w:bookmarkStart w:id="36" w:name="why-prometheus-matters"/>
    <w:p>
      <w:pPr>
        <w:pStyle w:val="Heading3"/>
      </w:pPr>
      <w:r>
        <w:t xml:space="preserve">Why PROMETHEUS Matters</w:t>
      </w:r>
    </w:p>
    <w:p>
      <w:pPr>
        <w:pStyle w:val="FirstParagraph"/>
      </w:pPr>
      <w:r>
        <w:rPr>
          <w:b/>
          <w:bCs/>
        </w:rPr>
        <w:t xml:space="preserve">Historical Context:</w:t>
      </w:r>
      <w:r>
        <w:t xml:space="preserve"> </w:t>
      </w:r>
      <w:r>
        <w:t xml:space="preserve">- Pre-2008: Simple standardized approaches (easy to understand, but inadequate for risk)</w:t>
      </w:r>
      <w:r>
        <w:t xml:space="preserve"> </w:t>
      </w:r>
      <w:r>
        <w:t xml:space="preserve">- 2008–2013: Basel III introduced (complexity explosion, vendor dependency)</w:t>
      </w:r>
      <w:r>
        <w:t xml:space="preserve"> </w:t>
      </w:r>
      <w:r>
        <w:t xml:space="preserve">- 2013–2023: A-IRB/FRTB matured (still reliant on Bloomberg/Numerix/Intex)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2023+:</w:t>
      </w:r>
      <w:r>
        <w:t xml:space="preserve"> </w:t>
      </w:r>
      <w:r>
        <w:t xml:space="preserve">PROMETHEUS era (in-house mastery + regulatory leadership)</w:t>
      </w:r>
    </w:p>
    <w:p>
      <w:pPr>
        <w:pStyle w:val="BodyText"/>
      </w:pPr>
      <w:r>
        <w:rPr>
          <w:b/>
          <w:bCs/>
        </w:rPr>
        <w:t xml:space="preserve">Competitive Advantages: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Full Transparency</w:t>
      </w:r>
      <w:r>
        <w:t xml:space="preserve"> </w:t>
      </w:r>
      <w:r>
        <w:t xml:space="preserve">— Every formula traceable to BCBS standard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Cost Efficiency</w:t>
      </w:r>
      <w:r>
        <w:t xml:space="preserve"> </w:t>
      </w:r>
      <w:r>
        <w:t xml:space="preserve">— $56K total investment vs. $150K–$300K annual vendor fees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— Methodology changes in days, not months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Exam Readiness</w:t>
      </w:r>
      <w:r>
        <w:t xml:space="preserve"> </w:t>
      </w:r>
      <w:r>
        <w:t xml:space="preserve">— Governance + traceability designed from inception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Talent Attraction</w:t>
      </w:r>
      <w:r>
        <w:t xml:space="preserve"> </w:t>
      </w:r>
      <w:r>
        <w:t xml:space="preserve">— Industry-leading documentation + thought leadership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gulatory-basis-compliance"/>
    <w:p>
      <w:pPr>
        <w:pStyle w:val="Heading2"/>
      </w:pPr>
      <w:r>
        <w:t xml:space="preserve">Regulatory Basis &amp; Compliance</w:t>
      </w:r>
    </w:p>
    <w:bookmarkStart w:id="38" w:name="prometheus-compliance-scope"/>
    <w:p>
      <w:pPr>
        <w:pStyle w:val="Heading3"/>
      </w:pPr>
      <w:r>
        <w:t xml:space="preserve">PROMETHEUS Compliance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118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Basel Standard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Risk</w:t>
            </w:r>
          </w:p>
        </w:tc>
        <w:tc>
          <w:tcPr/>
          <w:p>
            <w:pPr>
              <w:pStyle w:val="Compact"/>
            </w:pPr>
            <w:r>
              <w:t xml:space="preserve">CRE30–36</w:t>
            </w:r>
          </w:p>
        </w:tc>
        <w:tc>
          <w:tcPr/>
          <w:p>
            <w:pPr>
              <w:pStyle w:val="Compact"/>
            </w:pPr>
            <w:r>
              <w:t xml:space="preserve">A-IRB</w:t>
            </w:r>
          </w:p>
        </w:tc>
        <w:tc>
          <w:tcPr/>
          <w:p>
            <w:pPr>
              <w:pStyle w:val="Compact"/>
            </w:pPr>
            <w:r>
              <w:t xml:space="preserve">Banking Book exposures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CCR</w:t>
            </w:r>
          </w:p>
        </w:tc>
        <w:tc>
          <w:tcPr/>
          <w:p>
            <w:pPr>
              <w:pStyle w:val="Compact"/>
            </w:pPr>
            <w:r>
              <w:t xml:space="preserve">CRE52, CRE53</w:t>
            </w:r>
          </w:p>
        </w:tc>
        <w:tc>
          <w:tcPr/>
          <w:p>
            <w:pPr>
              <w:pStyle w:val="Compact"/>
            </w:pPr>
            <w:r>
              <w:t xml:space="preserve">SA-CCR, IMM</w:t>
            </w:r>
          </w:p>
        </w:tc>
        <w:tc>
          <w:tcPr/>
          <w:p>
            <w:pPr>
              <w:pStyle w:val="Compact"/>
            </w:pPr>
            <w:r>
              <w:t xml:space="preserve">Derivative trades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Risk</w:t>
            </w:r>
          </w:p>
        </w:tc>
        <w:tc>
          <w:tcPr/>
          <w:p>
            <w:pPr>
              <w:pStyle w:val="Compact"/>
            </w:pPr>
            <w:r>
              <w:t xml:space="preserve">MAR20–33</w:t>
            </w:r>
          </w:p>
        </w:tc>
        <w:tc>
          <w:tcPr/>
          <w:p>
            <w:pPr>
              <w:pStyle w:val="Compact"/>
            </w:pPr>
            <w:r>
              <w:t xml:space="preserve">FRTB SBM+IMA</w:t>
            </w:r>
          </w:p>
        </w:tc>
        <w:tc>
          <w:tcPr/>
          <w:p>
            <w:pPr>
              <w:pStyle w:val="Compact"/>
            </w:pPr>
            <w:r>
              <w:t xml:space="preserve">Trading book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CVA</w:t>
            </w:r>
          </w:p>
        </w:tc>
        <w:tc>
          <w:tcPr/>
          <w:p>
            <w:pPr>
              <w:pStyle w:val="Compact"/>
            </w:pPr>
            <w:r>
              <w:t xml:space="preserve">MAR50</w:t>
            </w:r>
          </w:p>
        </w:tc>
        <w:tc>
          <w:tcPr/>
          <w:p>
            <w:pPr>
              <w:pStyle w:val="Compact"/>
            </w:pPr>
            <w:r>
              <w:t xml:space="preserve">BA-CVA, SA-CVA</w:t>
            </w:r>
          </w:p>
        </w:tc>
        <w:tc>
          <w:tcPr/>
          <w:p>
            <w:pPr>
              <w:pStyle w:val="Compact"/>
            </w:pPr>
            <w:r>
              <w:t xml:space="preserve">CVA risk per counterparty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</w:t>
            </w:r>
          </w:p>
        </w:tc>
        <w:tc>
          <w:tcPr/>
          <w:p>
            <w:pPr>
              <w:pStyle w:val="Compact"/>
            </w:pPr>
            <w:r>
              <w:t xml:space="preserve">CRE54</w:t>
            </w:r>
          </w:p>
        </w:tc>
        <w:tc>
          <w:tcPr/>
          <w:p>
            <w:pPr>
              <w:pStyle w:val="Compact"/>
            </w:pPr>
            <w:r>
              <w:t xml:space="preserve">Standardized</w:t>
            </w:r>
          </w:p>
        </w:tc>
        <w:tc>
          <w:tcPr/>
          <w:p>
            <w:pPr>
              <w:pStyle w:val="Compact"/>
            </w:pPr>
            <w:r>
              <w:t xml:space="preserve">Central counterparty exposures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 Risk</w:t>
            </w:r>
          </w:p>
        </w:tc>
        <w:tc>
          <w:tcPr/>
          <w:p>
            <w:pPr>
              <w:pStyle w:val="Compact"/>
            </w:pPr>
            <w:r>
              <w:t xml:space="preserve">OPE25</w:t>
            </w:r>
          </w:p>
        </w:tc>
        <w:tc>
          <w:tcPr/>
          <w:p>
            <w:pPr>
              <w:pStyle w:val="Compact"/>
            </w:pPr>
            <w:r>
              <w:t xml:space="preserve">Basic Indicator</w:t>
            </w:r>
          </w:p>
        </w:tc>
        <w:tc>
          <w:tcPr/>
          <w:p>
            <w:pPr>
              <w:pStyle w:val="Compact"/>
            </w:pPr>
            <w:r>
              <w:t xml:space="preserve">Operational risk (stub)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Floor</w:t>
            </w:r>
          </w:p>
        </w:tc>
        <w:tc>
          <w:tcPr/>
          <w:p>
            <w:pPr>
              <w:pStyle w:val="Compact"/>
            </w:pPr>
            <w:r>
              <w:t xml:space="preserve">RBC20.11, CRR3.12a</w:t>
            </w:r>
          </w:p>
        </w:tc>
        <w:tc>
          <w:tcPr/>
          <w:p>
            <w:pPr>
              <w:pStyle w:val="Compact"/>
            </w:pPr>
            <w:r>
              <w:t xml:space="preserve">Dynamic (Phase 2A)</w:t>
            </w:r>
          </w:p>
        </w:tc>
        <w:tc>
          <w:tcPr/>
          <w:p>
            <w:pPr>
              <w:pStyle w:val="Compact"/>
            </w:pPr>
            <w:r>
              <w:t xml:space="preserve">Minimum capital constraint</w:t>
            </w:r>
          </w:p>
        </w:tc>
      </w:tr>
    </w:tbl>
    <w:bookmarkEnd w:id="38"/>
    <w:bookmarkStart w:id="39" w:name="phase-1-phase-2-evolution"/>
    <w:p>
      <w:pPr>
        <w:pStyle w:val="Heading3"/>
      </w:pPr>
      <w:r>
        <w:t xml:space="preserve">Phase 1 → Phase 2 Evolution</w:t>
      </w:r>
    </w:p>
    <w:p>
      <w:pPr>
        <w:pStyle w:val="FirstParagraph"/>
      </w:pPr>
      <w:r>
        <w:rPr>
          <w:b/>
          <w:bCs/>
        </w:rPr>
        <w:t xml:space="preserve">Phase 1 (Jan 2025):</w:t>
      </w:r>
      <w:r>
        <w:t xml:space="preserve"> </w:t>
      </w:r>
      <w:r>
        <w:t xml:space="preserve">✅ 100% regulatory coverage</w:t>
      </w:r>
      <w:r>
        <w:t xml:space="preserve"> </w:t>
      </w:r>
      <w:r>
        <w:t xml:space="preserve">- All 6 capital components live</w:t>
      </w:r>
      <w:r>
        <w:t xml:space="preserve"> </w:t>
      </w:r>
      <w:r>
        <w:t xml:space="preserve">- Baseline compliance achieved</w:t>
      </w:r>
      <w:r>
        <w:t xml:space="preserve"> </w:t>
      </w:r>
      <w:r>
        <w:t xml:space="preserve">- Exam partially ready</w:t>
      </w:r>
    </w:p>
    <w:p>
      <w:pPr>
        <w:pStyle w:val="BodyText"/>
      </w:pPr>
      <w:r>
        <w:rPr>
          <w:b/>
          <w:bCs/>
        </w:rPr>
        <w:t xml:space="preserve">Phase 2A (May 2026):</w:t>
      </w:r>
      <w:r>
        <w:t xml:space="preserve"> </w:t>
      </w:r>
      <w:r>
        <w:t xml:space="preserve">✅ Enhanced governance + CRR3 compliance</w:t>
      </w:r>
      <w:r>
        <w:t xml:space="preserve"> </w:t>
      </w:r>
      <w:r>
        <w:t xml:space="preserve">- Dynamic output floor (vs. static 72.5%)</w:t>
      </w:r>
      <w:r>
        <w:t xml:space="preserve"> </w:t>
      </w:r>
      <w:r>
        <w:t xml:space="preserve">- ESG/climate integration (CRR3 Art. 87a)</w:t>
      </w:r>
      <w:r>
        <w:t xml:space="preserve"> </w:t>
      </w:r>
      <w:r>
        <w:t xml:space="preserve">- Full audit trail (FR-014)</w:t>
      </w:r>
      <w:r>
        <w:t xml:space="preserve"> </w:t>
      </w:r>
      <w:r>
        <w:t xml:space="preserve">- Daily governance automation (FR-015)</w:t>
      </w:r>
      <w:r>
        <w:t xml:space="preserve"> </w:t>
      </w:r>
      <w:r>
        <w:t xml:space="preserve">- Data quality framework (FR-016)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Exam ready + capital efficiency gains</w:t>
      </w:r>
    </w:p>
    <w:p>
      <w:pPr>
        <w:pStyle w:val="BodyText"/>
      </w:pPr>
      <w:r>
        <w:rPr>
          <w:b/>
          <w:bCs/>
        </w:rPr>
        <w:t xml:space="preserve">Phase 2B (Aug 2026–Jan 2027):</w:t>
      </w:r>
      <w:r>
        <w:t xml:space="preserve"> </w:t>
      </w:r>
      <w:r>
        <w:t xml:space="preserve">🔮 Advanced analytics + capital relief</w:t>
      </w:r>
      <w:r>
        <w:t xml:space="preserve"> </w:t>
      </w:r>
      <w:r>
        <w:t xml:space="preserve">- Detailed ESG calibration</w:t>
      </w:r>
      <w:r>
        <w:t xml:space="preserve"> </w:t>
      </w:r>
      <w:r>
        <w:t xml:space="preserve">- Refined correlation models</w:t>
      </w:r>
      <w:r>
        <w:t xml:space="preserve"> </w:t>
      </w:r>
      <w:r>
        <w:t xml:space="preserve">- Advanced sensitivities</w:t>
      </w:r>
      <w:r>
        <w:t xml:space="preserve"> </w:t>
      </w:r>
      <w:r>
        <w:t xml:space="preserve">- RWA attribution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50–100 bps capital relief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latform-architecture-overview"/>
    <w:p>
      <w:pPr>
        <w:pStyle w:val="Heading2"/>
      </w:pPr>
      <w:r>
        <w:t xml:space="preserve">Platform Architecture Overview</w:t>
      </w:r>
    </w:p>
    <w:bookmarkStart w:id="41" w:name="layer-model"/>
    <w:p>
      <w:pPr>
        <w:pStyle w:val="Heading3"/>
      </w:pPr>
      <w:r>
        <w:t xml:space="preserve">7-Layer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1: User Interface                      │  Dashboard</w:t>
      </w:r>
      <w:r>
        <w:br/>
      </w:r>
      <w:r>
        <w:rPr>
          <w:rStyle w:val="VerbatimChar"/>
        </w:rPr>
        <w:t xml:space="preserve">│          (API, Dashboard, CLI)               │  API endpoints</w:t>
      </w:r>
      <w:r>
        <w:br/>
      </w:r>
      <w:r>
        <w:rPr>
          <w:rStyle w:val="VerbatimChar"/>
        </w:rPr>
        <w:t xml:space="preserve">│                                              │  CLI tools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2: Orchestration                       │ main.py</w:t>
      </w:r>
      <w:r>
        <w:br/>
      </w:r>
      <w:r>
        <w:rPr>
          <w:rStyle w:val="VerbatimChar"/>
        </w:rPr>
        <w:t xml:space="preserve">│          (Risk Run Coordinator)              │ Risk run scheduler</w:t>
      </w:r>
      <w:r>
        <w:br/>
      </w:r>
      <w:r>
        <w:rPr>
          <w:rStyle w:val="VerbatimChar"/>
        </w:rPr>
        <w:t xml:space="preserve">│                                              │ Workflow engine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3: Core Risk Engines (8)               │ A-IRB, CVA, FRTB</w:t>
      </w:r>
      <w:r>
        <w:br/>
      </w:r>
      <w:r>
        <w:rPr>
          <w:rStyle w:val="VerbatimChar"/>
        </w:rPr>
        <w:t xml:space="preserve">│          ├─ A-IRB (Credit)                  │ SA-CCR, IMM</w:t>
      </w:r>
      <w:r>
        <w:br/>
      </w:r>
      <w:r>
        <w:rPr>
          <w:rStyle w:val="VerbatimChar"/>
        </w:rPr>
        <w:t xml:space="preserve">│          ├─ CVA (CVA Risk)                  │ CCP, Op Risk</w:t>
      </w:r>
      <w:r>
        <w:br/>
      </w:r>
      <w:r>
        <w:rPr>
          <w:rStyle w:val="VerbatimChar"/>
        </w:rPr>
        <w:t xml:space="preserve">│          ├─ FRTB (Market)                   │ GSIB Capital</w:t>
      </w:r>
      <w:r>
        <w:br/>
      </w:r>
      <w:r>
        <w:rPr>
          <w:rStyle w:val="VerbatimChar"/>
        </w:rPr>
        <w:t xml:space="preserve">│          ├─ SA-CCR / IMM (CCR)              │</w:t>
      </w:r>
      <w:r>
        <w:br/>
      </w:r>
      <w:r>
        <w:rPr>
          <w:rStyle w:val="VerbatimChar"/>
        </w:rPr>
        <w:t xml:space="preserve">│          ├─ CCP (Central Clearing)          │</w:t>
      </w:r>
      <w:r>
        <w:br/>
      </w:r>
      <w:r>
        <w:rPr>
          <w:rStyle w:val="VerbatimChar"/>
        </w:rPr>
        <w:t xml:space="preserve">│          ├─ Op Risk (Operational)           │</w:t>
      </w:r>
      <w:r>
        <w:br/>
      </w:r>
      <w:r>
        <w:rPr>
          <w:rStyle w:val="VerbatimChar"/>
        </w:rPr>
        <w:t xml:space="preserve">│          └─ GSIB Capital (Leverage Ratio)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4: Support Engines (Phase 2A)         │ Floor, ESG, DQ</w:t>
      </w:r>
      <w:r>
        <w:br/>
      </w:r>
      <w:r>
        <w:rPr>
          <w:rStyle w:val="VerbatimChar"/>
        </w:rPr>
        <w:t xml:space="preserve">│          ├─ Output Floor (FR-012)           │ Governance, Trace</w:t>
      </w:r>
      <w:r>
        <w:br/>
      </w:r>
      <w:r>
        <w:rPr>
          <w:rStyle w:val="VerbatimChar"/>
        </w:rPr>
        <w:t xml:space="preserve">│          ├─ ESG/Climate Risk (FR-013)       │</w:t>
      </w:r>
      <w:r>
        <w:br/>
      </w:r>
      <w:r>
        <w:rPr>
          <w:rStyle w:val="VerbatimChar"/>
        </w:rPr>
        <w:t xml:space="preserve">│          ├─ Data Quality (FR-016)           │</w:t>
      </w:r>
      <w:r>
        <w:br/>
      </w:r>
      <w:r>
        <w:rPr>
          <w:rStyle w:val="VerbatimChar"/>
        </w:rPr>
        <w:t xml:space="preserve">│          ├─ Governance Checker (FR-015)     │</w:t>
      </w:r>
      <w:r>
        <w:br/>
      </w:r>
      <w:r>
        <w:rPr>
          <w:rStyle w:val="VerbatimChar"/>
        </w:rPr>
        <w:t xml:space="preserve">│          └─ Trace Engine (FR-014)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5: Analytics &amp; Reporting              │ Scenarios</w:t>
      </w:r>
      <w:r>
        <w:br/>
      </w:r>
      <w:r>
        <w:rPr>
          <w:rStyle w:val="VerbatimChar"/>
        </w:rPr>
        <w:t xml:space="preserve">│          ├─ Scenario Analysis (6 scenarios) │ Sensitivities</w:t>
      </w:r>
      <w:r>
        <w:br/>
      </w:r>
      <w:r>
        <w:rPr>
          <w:rStyle w:val="VerbatimChar"/>
        </w:rPr>
        <w:t xml:space="preserve">│          ├─ Greeks / Sensitivities          │ Attribution</w:t>
      </w:r>
      <w:r>
        <w:br/>
      </w:r>
      <w:r>
        <w:rPr>
          <w:rStyle w:val="VerbatimChar"/>
        </w:rPr>
        <w:t xml:space="preserve">│          └─ RWA Attribution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6: Data Management                    │ Calibration</w:t>
      </w:r>
      <w:r>
        <w:br/>
      </w:r>
      <w:r>
        <w:rPr>
          <w:rStyle w:val="VerbatimChar"/>
        </w:rPr>
        <w:t xml:space="preserve">│          ├─ Market Data Provider            │ Market State</w:t>
      </w:r>
      <w:r>
        <w:br/>
      </w:r>
      <w:r>
        <w:rPr>
          <w:rStyle w:val="VerbatimChar"/>
        </w:rPr>
        <w:t xml:space="preserve">│          ├─ Calibration Service             │ Loss Events</w:t>
      </w:r>
      <w:r>
        <w:br/>
      </w:r>
      <w:r>
        <w:rPr>
          <w:rStyle w:val="VerbatimChar"/>
        </w:rPr>
        <w:t xml:space="preserve">│          ├─ Loss Event Database             │ Business Indicators</w:t>
      </w:r>
      <w:r>
        <w:br/>
      </w:r>
      <w:r>
        <w:rPr>
          <w:rStyle w:val="VerbatimChar"/>
        </w:rPr>
        <w:t xml:space="preserve">│          └─ CDS Spread Service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7: Output &amp; Reporting                 │ Reports</w:t>
      </w:r>
      <w:r>
        <w:br/>
      </w:r>
      <w:r>
        <w:rPr>
          <w:rStyle w:val="VerbatimChar"/>
        </w:rPr>
        <w:t xml:space="preserve">│          ├─ Regulatory Reports              │ Audit Trail</w:t>
      </w:r>
      <w:r>
        <w:br/>
      </w:r>
      <w:r>
        <w:rPr>
          <w:rStyle w:val="VerbatimChar"/>
        </w:rPr>
        <w:t xml:space="preserve">│          ├─ Dashboard / Visualization       │ Risk Reporting</w:t>
      </w:r>
      <w:r>
        <w:br/>
      </w:r>
      <w:r>
        <w:rPr>
          <w:rStyle w:val="VerbatimChar"/>
        </w:rPr>
        <w:t xml:space="preserve">│          └─ Audit Trail &amp; Persistence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1"/>
    <w:bookmarkStart w:id="42" w:name="key-design-principles"/>
    <w:p>
      <w:pPr>
        <w:pStyle w:val="Heading3"/>
      </w:pPr>
      <w:r>
        <w:t xml:space="preserve">Key Design Principles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Regulatory Traceability</w:t>
      </w:r>
      <w:r>
        <w:t xml:space="preserve"> </w:t>
      </w:r>
      <w:r>
        <w:t xml:space="preserve">— Every RWA traceable to BCBS standard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Modular Architecture</w:t>
      </w:r>
      <w:r>
        <w:t xml:space="preserve"> </w:t>
      </w:r>
      <w:r>
        <w:t xml:space="preserve">— Engines independent; orchestrated at Layer 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2A Integration</w:t>
      </w:r>
      <w:r>
        <w:t xml:space="preserve"> </w:t>
      </w:r>
      <w:r>
        <w:t xml:space="preserve">— Support engines (Layer 4) overlay on core engines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Production-Grade</w:t>
      </w:r>
      <w:r>
        <w:t xml:space="preserve"> </w:t>
      </w:r>
      <w:r>
        <w:t xml:space="preserve">— Type-safe, tested, documented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Extensible</w:t>
      </w:r>
      <w:r>
        <w:t xml:space="preserve"> </w:t>
      </w:r>
      <w:r>
        <w:t xml:space="preserve">— Easy to add new engines, scenarios, metrics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echnology-stack"/>
    <w:p>
      <w:pPr>
        <w:pStyle w:val="Heading2"/>
      </w:pPr>
      <w:r>
        <w:t xml:space="preserve">Technology Stack</w:t>
      </w:r>
    </w:p>
    <w:bookmarkStart w:id="44" w:name="core-technology"/>
    <w:p>
      <w:pPr>
        <w:pStyle w:val="Heading3"/>
      </w:pPr>
      <w:r>
        <w:t xml:space="preserve">Core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118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t xml:space="preserve">All application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NumPy, SciPy, Pandas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Math, statistics, data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Checking</w:t>
            </w:r>
          </w:p>
        </w:tc>
        <w:tc>
          <w:tcPr/>
          <w:p>
            <w:pPr>
              <w:pStyle w:val="Compact"/>
            </w:pPr>
            <w:r>
              <w:t xml:space="preserve">Pylance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Zero type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(or SQLite)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Persistence,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2.0+</w:t>
            </w:r>
          </w:p>
        </w:tc>
        <w:tc>
          <w:tcPr/>
          <w:p>
            <w:pPr>
              <w:pStyle w:val="Compact"/>
            </w:pPr>
            <w:r>
              <w:t xml:space="preserve">Database abstraction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AsyncIO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Concurrency (Phase 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48+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Python logging</w:t>
            </w:r>
          </w:p>
        </w:tc>
        <w:tc>
          <w:tcPr/>
          <w:p>
            <w:pPr>
              <w:pStyle w:val="Compact"/>
            </w:pPr>
            <w:r>
              <w:t xml:space="preserve">stdlib</w:t>
            </w:r>
          </w:p>
        </w:tc>
        <w:tc>
          <w:tcPr/>
          <w:p>
            <w:pPr>
              <w:pStyle w:val="Compact"/>
            </w:pPr>
            <w:r>
              <w:t xml:space="preserve">Audit trail, debugging</w:t>
            </w:r>
          </w:p>
        </w:tc>
      </w:tr>
    </w:tbl>
    <w:bookmarkEnd w:id="44"/>
    <w:bookmarkStart w:id="45" w:name="external-data"/>
    <w:p>
      <w:pPr>
        <w:pStyle w:val="Heading3"/>
      </w:pPr>
      <w:r>
        <w:t xml:space="preserve">External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2904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Bloomberg</w:t>
            </w:r>
          </w:p>
        </w:tc>
        <w:tc>
          <w:tcPr/>
          <w:p>
            <w:pPr>
              <w:pStyle w:val="Compact"/>
            </w:pPr>
            <w:r>
              <w:t xml:space="preserve">Rates, spreads, equity vol, CDS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Market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S&amp;P/Moody’s</w:t>
            </w:r>
          </w:p>
        </w:tc>
        <w:tc>
          <w:tcPr/>
          <w:p>
            <w:pPr>
              <w:pStyle w:val="Compact"/>
            </w:pPr>
            <w:r>
              <w:t xml:space="preserve">Ratings transitions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PD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Reuters/Refinitiv</w:t>
            </w:r>
          </w:p>
        </w:tc>
        <w:tc>
          <w:tcPr/>
          <w:p>
            <w:pPr>
              <w:pStyle w:val="Compact"/>
            </w:pPr>
            <w:r>
              <w:t xml:space="preserve">Historical prices, vol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Stress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Portfolio, loss events, LGD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Risk calculation</w:t>
            </w:r>
          </w:p>
        </w:tc>
      </w:tr>
    </w:tbl>
    <w:bookmarkEnd w:id="45"/>
    <w:bookmarkStart w:id="46" w:name="deployment-options"/>
    <w:p>
      <w:pPr>
        <w:pStyle w:val="Heading3"/>
      </w:pPr>
      <w:r>
        <w:t xml:space="preserve">Deployment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Apple MacBook M1 (8 GB)</w:t>
            </w:r>
          </w:p>
        </w:tc>
        <w:tc>
          <w:tcPr/>
          <w:p>
            <w:pPr>
              <w:pStyle w:val="Compact"/>
            </w:pPr>
            <w:r>
              <w:t xml:space="preserve">✅ Runs in &lt;5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(Local)</w:t>
            </w:r>
          </w:p>
        </w:tc>
        <w:tc>
          <w:tcPr/>
          <w:p>
            <w:pPr>
              <w:pStyle w:val="Compact"/>
            </w:pPr>
            <w:r>
              <w:t xml:space="preserve">On-premises Linux server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(Cloud)</w:t>
            </w:r>
          </w:p>
        </w:tc>
        <w:tc>
          <w:tcPr/>
          <w:p>
            <w:pPr>
              <w:pStyle w:val="Compact"/>
            </w:pPr>
            <w:r>
              <w:t xml:space="preserve">Azure AKS / Docker</w:t>
            </w:r>
          </w:p>
        </w:tc>
        <w:tc>
          <w:tcPr/>
          <w:p>
            <w:pPr>
              <w:pStyle w:val="Compact"/>
            </w:pPr>
            <w:r>
              <w:t xml:space="preserve">✅ Containerizable (Phase 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1" w:name="X305fcecad499d2b848be267f4d3adf6ff2a129f"/>
    <w:p>
      <w:pPr>
        <w:pStyle w:val="Heading1"/>
      </w:pPr>
      <w:r>
        <w:t xml:space="preserve">SECTION 2: PHASE 1 — BASELINE IMPLEMENTATION</w:t>
      </w:r>
    </w:p>
    <w:bookmarkStart w:id="60" w:name="Xdd7b908ca81cc17bbc7b6fca36a00085b7994ef"/>
    <w:p>
      <w:pPr>
        <w:pStyle w:val="Heading2"/>
      </w:pPr>
      <w:r>
        <w:t xml:space="preserve">Phase 1 Functional Requirements (FR-001 to FR-011)</w:t>
      </w:r>
    </w:p>
    <w:p>
      <w:pPr>
        <w:pStyle w:val="FirstParagraph"/>
      </w:pPr>
      <w:r>
        <w:t xml:space="preserve">All Phase 1 FRs were completed and are currently production-live. This section summarizes them for completeness.</w:t>
      </w:r>
    </w:p>
    <w:bookmarkStart w:id="49" w:name="fr-001-sa-ccr-calculation-engine-cre52"/>
    <w:p>
      <w:pPr>
        <w:pStyle w:val="Heading3"/>
      </w:pPr>
      <w:r>
        <w:t xml:space="preserve">FR-001: SA-CCR Calculation Engine (CRE52)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Standardised Approach for Counterparty Credit Risk for derivative exposures.</w:t>
      </w:r>
    </w:p>
    <w:p>
      <w:pPr>
        <w:pStyle w:val="BodyText"/>
      </w:pPr>
      <w:r>
        <w:rPr>
          <w:b/>
          <w:bCs/>
        </w:rPr>
        <w:t xml:space="preserve">Applicability:</w:t>
      </w:r>
      <w:r>
        <w:t xml:space="preserve"> </w:t>
      </w:r>
      <w:r>
        <w:t xml:space="preserve">All derivative trades where IMM is not approved.</w:t>
      </w:r>
    </w:p>
    <w:p>
      <w:pPr>
        <w:pStyle w:val="BodyText"/>
      </w:pPr>
      <w:r>
        <w:rPr>
          <w:b/>
          <w:bCs/>
        </w:rPr>
        <w:t xml:space="preserve">Key Formulas:</w:t>
      </w:r>
    </w:p>
    <w:p>
      <w:pPr>
        <w:pStyle w:val="SourceCode"/>
      </w:pPr>
      <w:r>
        <w:rPr>
          <w:rStyle w:val="VerbatimChar"/>
        </w:rPr>
        <w:t xml:space="preserve">EEPE_RC = α × V + 0.75 × PFE</w:t>
      </w:r>
      <w:r>
        <w:br/>
      </w:r>
      <w:r>
        <w:rPr>
          <w:rStyle w:val="VerbatimChar"/>
        </w:rPr>
        <w:t xml:space="preserve">CCRA = 1.4 × EEPE_RC</w:t>
      </w:r>
      <w:r>
        <w:br/>
      </w:r>
      <w:r>
        <w:rPr>
          <w:rStyle w:val="VerbatimChar"/>
        </w:rPr>
        <w:t xml:space="preserve">RWA_CCR = 12.5 × 1.06 × CCRA × w</w:t>
      </w:r>
      <w:r>
        <w:br/>
      </w:r>
      <w:r>
        <w:rPr>
          <w:rStyle w:val="VerbatimChar"/>
        </w:rPr>
        <w:t xml:space="preserve">(where w = 1.0 for non-financial corporates; varies for banks/sovereigns)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backend/engines/sa_ccr.py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100% (SAX test cases + BCBS examples)</w:t>
      </w:r>
    </w:p>
    <w:p>
      <w:r>
        <w:pict>
          <v:rect style="width:0;height:1.5pt" o:hralign="center" o:hrstd="t" o:hr="t"/>
        </w:pict>
      </w:r>
    </w:p>
    <w:bookmarkEnd w:id="49"/>
    <w:bookmarkStart w:id="50" w:name="fr-002-imm-monte-carlo-engine-cre53"/>
    <w:p>
      <w:pPr>
        <w:pStyle w:val="Heading3"/>
      </w:pPr>
      <w:r>
        <w:t xml:space="preserve">FR-002: IMM Monte Carlo Engine (CRE53)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Compute Effective EPE using Monte Carlo simulation for eligible derivatives.</w:t>
      </w:r>
    </w:p>
    <w:p>
      <w:pPr>
        <w:pStyle w:val="BodyText"/>
      </w:pPr>
      <w:r>
        <w:rPr>
          <w:b/>
          <w:bCs/>
        </w:rPr>
        <w:t xml:space="preserve">Applicability:</w:t>
      </w:r>
      <w:r>
        <w:t xml:space="preserve"> </w:t>
      </w:r>
      <w:r>
        <w:t xml:space="preserve">Authorized participants with regulatory approval.</w:t>
      </w:r>
    </w:p>
    <w:p>
      <w:pPr>
        <w:pStyle w:val="BodyText"/>
      </w:pPr>
      <w:r>
        <w:rPr>
          <w:b/>
          <w:bCs/>
        </w:rPr>
        <w:t xml:space="preserve">Key Process:</w:t>
      </w:r>
      <w:r>
        <w:t xml:space="preserve"> </w:t>
      </w:r>
      <w:r>
        <w:t xml:space="preserve">1. Value all trades under market scenarios (10,000+ paths)</w:t>
      </w:r>
      <w:r>
        <w:t xml:space="preserve"> </w:t>
      </w:r>
      <w:r>
        <w:t xml:space="preserve">2. Compute Expected Exposure per path and timestep</w:t>
      </w:r>
      <w:r>
        <w:t xml:space="preserve"> </w:t>
      </w:r>
      <w:r>
        <w:t xml:space="preserve">3. Aggregate to portfolio level (quantile: 95th percentile)</w:t>
      </w:r>
      <w:r>
        <w:t xml:space="preserve"> </w:t>
      </w:r>
      <w:r>
        <w:t xml:space="preserve">4. Apply supervisory multiplier (SA = 1.4 × EEPE_RC)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backend/engines/imm.py</w:t>
      </w:r>
    </w:p>
    <w:p>
      <w:pPr>
        <w:pStyle w:val="BodyText"/>
      </w:pPr>
      <w:r>
        <w:rPr>
          <w:b/>
          <w:bCs/>
        </w:rPr>
        <w:t xml:space="preserve">Paths:</w:t>
      </w:r>
      <w:r>
        <w:t xml:space="preserve"> </w:t>
      </w:r>
      <w:r>
        <w:t xml:space="preserve">10,000 per risk run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&lt;2 sec on M1 MacBook Air</w:t>
      </w:r>
    </w:p>
    <w:p>
      <w:r>
        <w:pict>
          <v:rect style="width:0;height:1.5pt" o:hralign="center" o:hrstd="t" o:hr="t"/>
        </w:pict>
      </w:r>
    </w:p>
    <w:bookmarkEnd w:id="50"/>
    <w:bookmarkStart w:id="51" w:name="fr-003-a-irb-credit-risk-engine-cre3036"/>
    <w:p>
      <w:pPr>
        <w:pStyle w:val="Heading3"/>
      </w:pPr>
      <w:r>
        <w:t xml:space="preserve">FR-003: A-IRB Credit Risk Engine (CRE30–36)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minimum Pillar 1 capital for banking book credit exposures using internal ratings.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Corporate, Bank, Sovereign, Retail (mortgages, revolving, SME)</w:t>
      </w:r>
    </w:p>
    <w:p>
      <w:pPr>
        <w:pStyle w:val="BodyText"/>
      </w:pPr>
      <w:r>
        <w:rPr>
          <w:b/>
          <w:bCs/>
        </w:rPr>
        <w:t xml:space="preserve">Key Formula (Corporate):</w:t>
      </w:r>
    </w:p>
    <w:p>
      <w:pPr>
        <w:pStyle w:val="SourceCode"/>
      </w:pPr>
      <w:r>
        <w:rPr>
          <w:rStyle w:val="VerbatimChar"/>
        </w:rPr>
        <w:t xml:space="preserve">RWA = EAD × [LGD × G(S × √(1-R) / √R + √(1/(1-R)) × N⁻¹(PD)) × (MA), with adjustments]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PD = Probability of default (1Y)</w:t>
      </w:r>
      <w:r>
        <w:br/>
      </w:r>
      <w:r>
        <w:rPr>
          <w:rStyle w:val="VerbatimChar"/>
        </w:rPr>
        <w:t xml:space="preserve">  LGD = Loss given default (%)</w:t>
      </w:r>
      <w:r>
        <w:br/>
      </w:r>
      <w:r>
        <w:rPr>
          <w:rStyle w:val="VerbatimChar"/>
        </w:rPr>
        <w:t xml:space="preserve">  EAD = Exposure at default ($)</w:t>
      </w:r>
      <w:r>
        <w:br/>
      </w:r>
      <w:r>
        <w:rPr>
          <w:rStyle w:val="VerbatimChar"/>
        </w:rPr>
        <w:t xml:space="preserve">  R = Asset correlation (function of PD)</w:t>
      </w:r>
      <w:r>
        <w:br/>
      </w:r>
      <w:r>
        <w:rPr>
          <w:rStyle w:val="VerbatimChar"/>
        </w:rPr>
        <w:t xml:space="preserve">  MA = Maturity adjustment</w:t>
      </w:r>
      <w:r>
        <w:br/>
      </w:r>
      <w:r>
        <w:rPr>
          <w:rStyle w:val="VerbatimChar"/>
        </w:rPr>
        <w:t xml:space="preserve">  G = Cumulative normal distribution</w:t>
      </w:r>
      <w:r>
        <w:br/>
      </w:r>
      <w:r>
        <w:rPr>
          <w:rStyle w:val="VerbatimChar"/>
        </w:rPr>
        <w:t xml:space="preserve">  S = Systemic factor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backend/engines/a_irb.py</w:t>
      </w:r>
    </w:p>
    <w:p>
      <w:pPr>
        <w:pStyle w:val="BodyText"/>
      </w:pPr>
      <w:r>
        <w:rPr>
          <w:b/>
          <w:bCs/>
        </w:rPr>
        <w:t xml:space="preserve">Enhancement (Phase 2A):</w:t>
      </w:r>
      <w:r>
        <w:t xml:space="preserve"> </w:t>
      </w:r>
      <w:r>
        <w:t xml:space="preserve">ESG/climate PD adjustment (FR-013)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100+ test cases, covering:</w:t>
      </w:r>
      <w:r>
        <w:t xml:space="preserve"> </w:t>
      </w:r>
      <w:r>
        <w:t xml:space="preserve">- All asset classes (corp, bank, sovereign, retail)</w:t>
      </w:r>
      <w:r>
        <w:t xml:space="preserve"> </w:t>
      </w:r>
      <w:r>
        <w:t xml:space="preserve">- CRM methodologies (collateral, guarantees, CDS)</w:t>
      </w:r>
      <w:r>
        <w:t xml:space="preserve"> </w:t>
      </w:r>
      <w:r>
        <w:t xml:space="preserve">- Double-default framework</w:t>
      </w:r>
      <w:r>
        <w:t xml:space="preserve"> </w:t>
      </w:r>
      <w:r>
        <w:t xml:space="preserve">- Maturity adjustments</w:t>
      </w:r>
      <w:r>
        <w:t xml:space="preserve"> </w:t>
      </w:r>
      <w:r>
        <w:t xml:space="preserve">- Stressed vs. baseline regimes</w:t>
      </w:r>
    </w:p>
    <w:p>
      <w:r>
        <w:pict>
          <v:rect style="width:0;height:1.5pt" o:hralign="center" o:hrstd="t" o:hr="t"/>
        </w:pict>
      </w:r>
    </w:p>
    <w:bookmarkEnd w:id="51"/>
    <w:bookmarkStart w:id="52" w:name="fr-004-frtb-market-risk-engine-mar2133"/>
    <w:p>
      <w:pPr>
        <w:pStyle w:val="Heading3"/>
      </w:pPr>
      <w:r>
        <w:t xml:space="preserve">FR-004: FRTB Market Risk Engine (MAR21–33)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market risk capital using Fundamental Review of Trading Book.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Standardised Boundary Method (SBM)</w:t>
      </w:r>
      <w:r>
        <w:t xml:space="preserve"> </w:t>
      </w:r>
      <w:r>
        <w:t xml:space="preserve">— Default for less complex portfolios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Internal Models Approach (IMA)</w:t>
      </w:r>
      <w:r>
        <w:t xml:space="preserve"> </w:t>
      </w:r>
      <w:r>
        <w:t xml:space="preserve">— For approved models</w:t>
      </w:r>
    </w:p>
    <w:p>
      <w:pPr>
        <w:pStyle w:val="BodyText"/>
      </w:pPr>
      <w:r>
        <w:rPr>
          <w:b/>
          <w:bCs/>
        </w:rPr>
        <w:t xml:space="preserve">Key Risk Factors:</w:t>
      </w:r>
      <w:r>
        <w:t xml:space="preserve"> </w:t>
      </w:r>
      <w:r>
        <w:t xml:space="preserve">- Interest rate (6 buckets)</w:t>
      </w:r>
      <w:r>
        <w:t xml:space="preserve"> </w:t>
      </w:r>
      <w:r>
        <w:t xml:space="preserve">- Credit spread (non-securitizations + securitizations)</w:t>
      </w:r>
      <w:r>
        <w:t xml:space="preserve"> </w:t>
      </w:r>
      <w:r>
        <w:t xml:space="preserve">- Equity</w:t>
      </w:r>
      <w:r>
        <w:t xml:space="preserve"> </w:t>
      </w:r>
      <w:r>
        <w:t xml:space="preserve">- Commodity</w:t>
      </w:r>
      <w:r>
        <w:t xml:space="preserve"> </w:t>
      </w:r>
      <w:r>
        <w:t xml:space="preserve">- FX</w:t>
      </w:r>
      <w:r>
        <w:t xml:space="preserve"> </w:t>
      </w:r>
      <w:r>
        <w:t xml:space="preserve">- Inflation</w:t>
      </w:r>
      <w:r>
        <w:t xml:space="preserve"> </w:t>
      </w:r>
      <w:r>
        <w:t xml:space="preserve">- Correlations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backend/engines/frtb.py</w:t>
      </w:r>
    </w:p>
    <w:p>
      <w:pPr>
        <w:pStyle w:val="BodyText"/>
      </w:pPr>
      <w:r>
        <w:rPr>
          <w:b/>
          <w:bCs/>
        </w:rPr>
        <w:t xml:space="preserve">Enhancement (Phase 2A):</w:t>
      </w:r>
      <w:r>
        <w:t xml:space="preserve"> </w:t>
      </w:r>
      <w:r>
        <w:t xml:space="preserve">Scenario analysis (6 regulatory scenarios) + Greeks</w:t>
      </w:r>
    </w:p>
    <w:p>
      <w:pPr>
        <w:pStyle w:val="BodyText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&lt;2 sec for typical portfolios</w:t>
      </w:r>
    </w:p>
    <w:p>
      <w:r>
        <w:pict>
          <v:rect style="width:0;height:1.5pt" o:hralign="center" o:hrstd="t" o:hr="t"/>
        </w:pict>
      </w:r>
    </w:p>
    <w:bookmarkEnd w:id="52"/>
    <w:bookmarkStart w:id="53" w:name="fr-005-cva-risk-engine-mar50"/>
    <w:p>
      <w:pPr>
        <w:pStyle w:val="Heading3"/>
      </w:pPr>
      <w:r>
        <w:t xml:space="preserve">FR-005: CVA Risk Engine (MAR50)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Credit Valuation Adjustment risk for derivative portfolios.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BA-CVA (Reduced/Full)</w:t>
      </w:r>
      <w:r>
        <w:t xml:space="preserve"> </w:t>
      </w:r>
      <w:r>
        <w:t xml:space="preserve">— Simple approach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SA-CVA (Sensitivities)</w:t>
      </w:r>
      <w:r>
        <w:t xml:space="preserve"> </w:t>
      </w:r>
      <w:r>
        <w:t xml:space="preserve">— Advanced, market-risk-like approach</w:t>
      </w:r>
    </w:p>
    <w:p>
      <w:pPr>
        <w:pStyle w:val="BodyText"/>
      </w:pPr>
      <w:r>
        <w:rPr>
          <w:b/>
          <w:bCs/>
        </w:rPr>
        <w:t xml:space="preserve">Key Calculation:</w:t>
      </w:r>
    </w:p>
    <w:p>
      <w:pPr>
        <w:pStyle w:val="SourceCode"/>
      </w:pPr>
      <w:r>
        <w:rPr>
          <w:rStyle w:val="VerbatimChar"/>
        </w:rPr>
        <w:t xml:space="preserve">CVA_RC = √(Σ_{all counterparties} (CVA_EAD × w_s)² + correlations)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CVA_EAD = CVA amount per counterparty</w:t>
      </w:r>
      <w:r>
        <w:br/>
      </w:r>
      <w:r>
        <w:rPr>
          <w:rStyle w:val="VerbatimChar"/>
        </w:rPr>
        <w:t xml:space="preserve">  w_s = Sector risk weight</w:t>
      </w:r>
      <w:r>
        <w:br/>
      </w:r>
      <w:r>
        <w:rPr>
          <w:rStyle w:val="VerbatimChar"/>
        </w:rPr>
        <w:t xml:space="preserve">  ρ = Credit spread correlation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backend/engines/cva.py</w:t>
      </w:r>
    </w:p>
    <w:p>
      <w:pPr>
        <w:pStyle w:val="BodyText"/>
      </w:pPr>
      <w:r>
        <w:rPr>
          <w:b/>
          <w:bCs/>
        </w:rPr>
        <w:t xml:space="preserve">Data Requirements:</w:t>
      </w:r>
      <w:r>
        <w:t xml:space="preserve"> </w:t>
      </w:r>
      <w:r>
        <w:t xml:space="preserve">- EEPE per counterparty (from IMM or SA-CCR)</w:t>
      </w:r>
      <w:r>
        <w:t xml:space="preserve"> </w:t>
      </w:r>
      <w:r>
        <w:t xml:space="preserve">- CDS spreads (Bloomberg)</w:t>
      </w:r>
      <w:r>
        <w:t xml:space="preserve"> </w:t>
      </w:r>
      <w:r>
        <w:t xml:space="preserve">- Sector classification</w:t>
      </w:r>
      <w:r>
        <w:t xml:space="preserve"> </w:t>
      </w:r>
      <w:r>
        <w:t xml:space="preserve">- Hedges (if any)</w:t>
      </w:r>
    </w:p>
    <w:p>
      <w:pPr>
        <w:pStyle w:val="BodyText"/>
      </w:pPr>
      <w:r>
        <w:rPr>
          <w:b/>
          <w:bCs/>
        </w:rPr>
        <w:t xml:space="preserve">Enhancement (Phase 2A):</w:t>
      </w:r>
      <w:r>
        <w:t xml:space="preserve"> </w:t>
      </w:r>
      <w:r>
        <w:t xml:space="preserve">Greeks sensitivities (FR-005 → FR-015 mapping)</w:t>
      </w:r>
    </w:p>
    <w:p>
      <w:r>
        <w:pict>
          <v:rect style="width:0;height:1.5pt" o:hralign="center" o:hrstd="t" o:hr="t"/>
        </w:pict>
      </w:r>
    </w:p>
    <w:bookmarkEnd w:id="53"/>
    <w:bookmarkStart w:id="54" w:name="fr-006-ccp-exposure-engine-cre54"/>
    <w:p>
      <w:pPr>
        <w:pStyle w:val="Heading3"/>
      </w:pPr>
      <w:r>
        <w:t xml:space="preserve">FR-006: CCP Exposure Engine (CRE54)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capital for exposures to Central Counterparties (cleared derivatives).</w:t>
      </w:r>
    </w:p>
    <w:p>
      <w:pPr>
        <w:pStyle w:val="BodyText"/>
      </w:pPr>
      <w:r>
        <w:rPr>
          <w:b/>
          <w:bCs/>
        </w:rPr>
        <w:t xml:space="preserve">Key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Cleared derivatives</w:t>
      </w:r>
      <w:r>
        <w:t xml:space="preserve"> </w:t>
      </w:r>
      <w:r>
        <w:t xml:space="preserve">(LCH, CME, EUREX)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Default Fund Contribution</w:t>
      </w:r>
      <w:r>
        <w:t xml:space="preserve"> </w:t>
      </w:r>
      <w:r>
        <w:t xml:space="preserve">(guarantee fund participation)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Collateral</w:t>
      </w:r>
      <w:r>
        <w:t xml:space="preserve"> </w:t>
      </w:r>
      <w:r>
        <w:t xml:space="preserve">(initial margin, variation margin)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RWA_CCP = α × EEPE_RC + RC + Initial_Margin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α = Supervisory multiplier (1.4 for CCP exposures)</w:t>
      </w:r>
      <w:r>
        <w:br/>
      </w:r>
      <w:r>
        <w:rPr>
          <w:rStyle w:val="VerbatimChar"/>
        </w:rPr>
        <w:t xml:space="preserve">  RC = Replacement cost (mark-to-market)</w:t>
      </w:r>
      <w:r>
        <w:br/>
      </w:r>
      <w:r>
        <w:rPr>
          <w:rStyle w:val="VerbatimChar"/>
        </w:rPr>
        <w:t xml:space="preserve">  IM = Initial margin required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backend/engines/ccp.py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CCP exposures, collateral schedules, margin feeds</w:t>
      </w:r>
    </w:p>
    <w:p>
      <w:r>
        <w:pict>
          <v:rect style="width:0;height:1.5pt" o:hralign="center" o:hrstd="t" o:hr="t"/>
        </w:pict>
      </w:r>
    </w:p>
    <w:bookmarkEnd w:id="54"/>
    <w:bookmarkStart w:id="55" w:name="fr-007-daily-risk-orchestrator-rbc20"/>
    <w:p>
      <w:pPr>
        <w:pStyle w:val="Heading3"/>
      </w:pPr>
      <w:r>
        <w:t xml:space="preserve">FR-007: Daily Risk Orchestrator (RBC20)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Coordinate all risk engines and aggregate to total RWA.</w:t>
      </w:r>
    </w:p>
    <w:p>
      <w:pPr>
        <w:pStyle w:val="BodyText"/>
      </w:pPr>
      <w:r>
        <w:rPr>
          <w:b/>
          <w:bCs/>
        </w:rPr>
        <w:t xml:space="preserve">5-Part RWA Formula:</w:t>
      </w:r>
    </w:p>
    <w:p>
      <w:pPr>
        <w:pStyle w:val="SourceCode"/>
      </w:pPr>
      <w:r>
        <w:rPr>
          <w:rStyle w:val="VerbatimChar"/>
        </w:rPr>
        <w:t xml:space="preserve">Total_RWA = Credit_RWA + CCR_RWA + Market_RWA + CVA_RWA + Op_RWA</w:t>
      </w:r>
      <w:r>
        <w:br/>
      </w:r>
      <w:r>
        <w:br/>
      </w:r>
      <w:r>
        <w:rPr>
          <w:rStyle w:val="VerbatimChar"/>
        </w:rPr>
        <w:t xml:space="preserve">Floored_RWA = max(Total_RWA, SA_RWA × Floor_Multiplier)</w:t>
      </w:r>
      <w:r>
        <w:br/>
      </w:r>
      <w:r>
        <w:rPr>
          <w:rStyle w:val="VerbatimChar"/>
        </w:rPr>
        <w:t xml:space="preserve">  [Floor_Multiplier = 72.5% baseline + regime adjustment (Phase 2A)]</w:t>
      </w:r>
      <w:r>
        <w:br/>
      </w:r>
      <w:r>
        <w:br/>
      </w:r>
      <w:r>
        <w:rPr>
          <w:rStyle w:val="VerbatimChar"/>
        </w:rPr>
        <w:t xml:space="preserve">Capital_Required = Floored_RWA × (4.0% + Pillar 2 add-on)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backend/main.py</w:t>
      </w:r>
    </w:p>
    <w:p>
      <w:pPr>
        <w:pStyle w:val="BodyText"/>
      </w:pPr>
      <w:r>
        <w:rPr>
          <w:b/>
          <w:bCs/>
        </w:rPr>
        <w:t xml:space="preserve">Risk Run Pipeline:</w:t>
      </w:r>
      <w:r>
        <w:t xml:space="preserve"> </w:t>
      </w:r>
      <w:r>
        <w:t xml:space="preserve">1. Load market data (6:00 AM)</w:t>
      </w:r>
      <w:r>
        <w:t xml:space="preserve"> </w:t>
      </w:r>
      <w:r>
        <w:t xml:space="preserve">2. Run all engines in parallel (6:00–6:04 AM)</w:t>
      </w:r>
      <w:r>
        <w:t xml:space="preserve"> </w:t>
      </w:r>
      <w:r>
        <w:t xml:space="preserve">3. Phase 2A: Apply floor, ESG, trace, governance checks (6:04–6:05 AM)</w:t>
      </w:r>
      <w:r>
        <w:t xml:space="preserve"> </w:t>
      </w:r>
      <w:r>
        <w:t xml:space="preserve">4. Aggregate &amp; report (6:05–6:06 AM)</w:t>
      </w:r>
      <w:r>
        <w:t xml:space="preserve"> </w:t>
      </w:r>
      <w:r>
        <w:t xml:space="preserve">5. Generate dashboard &amp; reports (6:06–6:10 AM)</w:t>
      </w:r>
    </w:p>
    <w:p>
      <w:pPr>
        <w:pStyle w:val="BodyText"/>
      </w:pPr>
      <w:r>
        <w:rPr>
          <w:b/>
          <w:bCs/>
        </w:rPr>
        <w:t xml:space="preserve">Total Time:</w:t>
      </w:r>
      <w:r>
        <w:t xml:space="preserve"> </w:t>
      </w:r>
      <w:r>
        <w:t xml:space="preserve">&lt;10 minutes for full portfolio</w:t>
      </w:r>
    </w:p>
    <w:p>
      <w:r>
        <w:pict>
          <v:rect style="width:0;height:1.5pt" o:hralign="center" o:hrstd="t" o:hr="t"/>
        </w:pict>
      </w:r>
    </w:p>
    <w:bookmarkEnd w:id="55"/>
    <w:bookmarkStart w:id="56" w:name="fr-008-market-data-integration"/>
    <w:p>
      <w:pPr>
        <w:pStyle w:val="Heading3"/>
      </w:pPr>
      <w:r>
        <w:t xml:space="preserve">FR-008: Market Data Integration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real-time and historical market data to all engines.</w:t>
      </w:r>
    </w:p>
    <w:p>
      <w:pPr>
        <w:pStyle w:val="BodyText"/>
      </w:pPr>
      <w:r>
        <w:rPr>
          <w:b/>
          <w:bCs/>
        </w:rPr>
        <w:t xml:space="preserve">Data Providers:</w:t>
      </w:r>
      <w:r>
        <w:t xml:space="preserve"> </w:t>
      </w:r>
      <w:r>
        <w:t xml:space="preserve">- Bloomberg (primary for rates, spreads, equity vol)</w:t>
      </w:r>
      <w:r>
        <w:t xml:space="preserve"> </w:t>
      </w:r>
      <w:r>
        <w:t xml:space="preserve">- Refinitiv (alternative for rates, FX)</w:t>
      </w:r>
      <w:r>
        <w:t xml:space="preserve"> </w:t>
      </w:r>
      <w:r>
        <w:t xml:space="preserve">- Internal systems (portfolio, loss events, ratings)</w:t>
      </w:r>
    </w:p>
    <w:p>
      <w:pPr>
        <w:pStyle w:val="BodyText"/>
      </w:pPr>
      <w:r>
        <w:rPr>
          <w:b/>
          <w:bCs/>
        </w:rPr>
        <w:t xml:space="preserve">Data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Rates curve</w:t>
      </w:r>
      <w:r>
        <w:t xml:space="preserve"> </w:t>
      </w:r>
      <w:r>
        <w:t xml:space="preserve">(USD Treasury, SOFR, LIBOR)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Credit spreads</w:t>
      </w:r>
      <w:r>
        <w:t xml:space="preserve"> </w:t>
      </w:r>
      <w:r>
        <w:t xml:space="preserve">(CDS, corporate bonds, sector indices)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Equity volatility</w:t>
      </w:r>
      <w:r>
        <w:t xml:space="preserve"> </w:t>
      </w:r>
      <w:r>
        <w:t xml:space="preserve">(VIX, stock-level vol)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FX rates</w:t>
      </w:r>
      <w:r>
        <w:t xml:space="preserve"> </w:t>
      </w:r>
      <w:r>
        <w:t xml:space="preserve">(spot, forward)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Commodity prices</w:t>
      </w:r>
      <w:r>
        <w:t xml:space="preserve"> </w:t>
      </w:r>
      <w:r>
        <w:t xml:space="preserve">(oil, gold,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Ratings &amp; defaults</w:t>
      </w:r>
      <w:r>
        <w:t xml:space="preserve"> </w:t>
      </w:r>
      <w:r>
        <w:t xml:space="preserve">(S&amp;P/Moody’s)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Portfolio data</w:t>
      </w:r>
      <w:r>
        <w:t xml:space="preserve"> </w:t>
      </w:r>
      <w:r>
        <w:t xml:space="preserve">(exposures, collateral, hedges)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 events</w:t>
      </w:r>
      <w:r>
        <w:t xml:space="preserve"> </w:t>
      </w:r>
      <w:r>
        <w:t xml:space="preserve">(historical defaults, LGD realization)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backend/data_sources/market_data_provider.py</w:t>
      </w:r>
    </w:p>
    <w:p>
      <w:pPr>
        <w:pStyle w:val="BodyText"/>
      </w:pPr>
      <w:r>
        <w:rPr>
          <w:b/>
          <w:bCs/>
        </w:rPr>
        <w:t xml:space="preserve">Caching:</w:t>
      </w:r>
      <w:r>
        <w:t xml:space="preserve"> </w:t>
      </w:r>
      <w:r>
        <w:t xml:space="preserve">24-hour cache for historical data; real-time for daily runs</w:t>
      </w:r>
    </w:p>
    <w:p>
      <w:r>
        <w:pict>
          <v:rect style="width:0;height:1.5pt" o:hralign="center" o:hrstd="t" o:hr="t"/>
        </w:pict>
      </w:r>
    </w:p>
    <w:bookmarkEnd w:id="56"/>
    <w:bookmarkStart w:id="57" w:name="fr-009-backtesting-framework-mar99"/>
    <w:p>
      <w:pPr>
        <w:pStyle w:val="Heading3"/>
      </w:pPr>
      <w:r>
        <w:t xml:space="preserve">FR-009: Backtesting Framework (MAR99)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Validate FRTB internal models against realized outcomes.</w:t>
      </w:r>
    </w:p>
    <w:p>
      <w:pPr>
        <w:pStyle w:val="BodyText"/>
      </w:pPr>
      <w:r>
        <w:rPr>
          <w:b/>
          <w:bCs/>
        </w:rPr>
        <w:t xml:space="preserve">Traffic Light System: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(&lt;4 exceptions): Model 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(4–9 exceptions): Model acceptable with conditions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(≥10 exceptions): Model breach, remediation required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backend/engines/backtesting.py</w:t>
      </w:r>
    </w:p>
    <w:p>
      <w:pPr>
        <w:pStyle w:val="BodyText"/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(exception count tracking)</w:t>
      </w:r>
    </w:p>
    <w:p>
      <w:r>
        <w:pict>
          <v:rect style="width:0;height:1.5pt" o:hralign="center" o:hrstd="t" o:hr="t"/>
        </w:pict>
      </w:r>
    </w:p>
    <w:bookmarkEnd w:id="57"/>
    <w:bookmarkStart w:id="58" w:name="fr-010-interactive-dashboard"/>
    <w:p>
      <w:pPr>
        <w:pStyle w:val="Heading3"/>
      </w:pPr>
      <w:r>
        <w:t xml:space="preserve">FR-010: Interactive 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visualizations, drill-downs, and reports to stakeholders.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RWA breakdown by engine (pie chart)</w:t>
      </w:r>
      <w:r>
        <w:t xml:space="preserve"> </w:t>
      </w:r>
      <w:r>
        <w:t xml:space="preserve">- Sensitivity analysis (Greeks)</w:t>
      </w:r>
      <w:r>
        <w:t xml:space="preserve"> </w:t>
      </w:r>
      <w:r>
        <w:t xml:space="preserve">- Scenario impact (waterfall)</w:t>
      </w:r>
      <w:r>
        <w:t xml:space="preserve"> </w:t>
      </w:r>
      <w:r>
        <w:t xml:space="preserve">- Historical trending (30–365 day)</w:t>
      </w:r>
      <w:r>
        <w:t xml:space="preserve"> </w:t>
      </w:r>
      <w:r>
        <w:t xml:space="preserve">- Obligor drill-down (RWA drivers)</w:t>
      </w:r>
      <w:r>
        <w:t xml:space="preserve"> </w:t>
      </w:r>
      <w:r>
        <w:t xml:space="preserve">- Export (PDF, Excel)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Streamlit (Python-based, easy to extend)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dashboard/app.py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(development)</w:t>
      </w:r>
    </w:p>
    <w:p>
      <w:r>
        <w:pict>
          <v:rect style="width:0;height:1.5pt" o:hralign="center" o:hrstd="t" o:hr="t"/>
        </w:pict>
      </w:r>
    </w:p>
    <w:bookmarkEnd w:id="58"/>
    <w:bookmarkStart w:id="59" w:name="fr-011-audit-trail-compliance-reporting"/>
    <w:p>
      <w:pPr>
        <w:pStyle w:val="Heading3"/>
      </w:pPr>
      <w:r>
        <w:t xml:space="preserve">FR-011: Audit Trail &amp; Compliance Reporting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regulatory examination and internal audits.</w:t>
      </w:r>
    </w:p>
    <w:p>
      <w:pPr>
        <w:pStyle w:val="BodyText"/>
      </w:pPr>
      <w:r>
        <w:rPr>
          <w:b/>
          <w:bCs/>
        </w:rPr>
        <w:t xml:space="preserve">Phase 1 Coverage:</w:t>
      </w:r>
      <w:r>
        <w:t xml:space="preserve"> </w:t>
      </w:r>
      <w:r>
        <w:t xml:space="preserve">- Calculation timestamps</w:t>
      </w:r>
      <w:r>
        <w:t xml:space="preserve"> </w:t>
      </w:r>
      <w:r>
        <w:t xml:space="preserve">- User access logs</w:t>
      </w:r>
      <w:r>
        <w:t xml:space="preserve"> </w:t>
      </w:r>
      <w:r>
        <w:t xml:space="preserve">- RWA change history</w:t>
      </w:r>
      <w:r>
        <w:t xml:space="preserve"> </w:t>
      </w:r>
      <w:r>
        <w:t xml:space="preserve">- Manual overrides (if any)</w:t>
      </w:r>
    </w:p>
    <w:p>
      <w:pPr>
        <w:pStyle w:val="BodyText"/>
      </w:pPr>
      <w:r>
        <w:rPr>
          <w:b/>
          <w:bCs/>
        </w:rPr>
        <w:t xml:space="preserve">Phase 2A Enhancement (FR-014):</w:t>
      </w:r>
      <w:r>
        <w:t xml:space="preserve"> </w:t>
      </w:r>
      <w:r>
        <w:t xml:space="preserve">- Formula-level tracing (hierarchical)</w:t>
      </w:r>
      <w:r>
        <w:t xml:space="preserve"> </w:t>
      </w:r>
      <w:r>
        <w:t xml:space="preserve">- Parameter audit trail</w:t>
      </w:r>
      <w:r>
        <w:t xml:space="preserve"> </w:t>
      </w:r>
      <w:r>
        <w:t xml:space="preserve">- Full drilling capability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106" w:name="X55177b5c75bf678b350eb7da64782a942fa5966"/>
    <w:p>
      <w:pPr>
        <w:pStyle w:val="Heading1"/>
      </w:pPr>
      <w:r>
        <w:t xml:space="preserve">SECTION 3: PHASE 2A — REGULATORY ENHANCEMENTS</w:t>
      </w:r>
    </w:p>
    <w:bookmarkStart w:id="62" w:name="phase-2a-overview"/>
    <w:p>
      <w:pPr>
        <w:pStyle w:val="Heading2"/>
      </w:pPr>
      <w:r>
        <w:t xml:space="preserve">Phase 2A Overview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May 6, 2026 (production deployment) → Aug 2026 (Gate 2 validation)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Enhance Phase 1 baseline with:</w:t>
      </w:r>
      <w:r>
        <w:t xml:space="preserve"> </w:t>
      </w:r>
      <w:r>
        <w:t xml:space="preserve">1. CRR3 compliance (dynamic floor, ESG integration)</w:t>
      </w:r>
      <w:r>
        <w:t xml:space="preserve"> </w:t>
      </w:r>
      <w:r>
        <w:t xml:space="preserve">2. SR 11-7 governance automation</w:t>
      </w:r>
      <w:r>
        <w:t xml:space="preserve"> </w:t>
      </w:r>
      <w:r>
        <w:t xml:space="preserve">3. Exam-ready traceability</w:t>
      </w:r>
      <w:r>
        <w:t xml:space="preserve"> </w:t>
      </w:r>
      <w:r>
        <w:t xml:space="preserve">4. Market practice enhancements (scenarios, Greeks)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All 5 new FR’s operational</w:t>
      </w:r>
      <w:r>
        <w:t xml:space="preserve"> </w:t>
      </w:r>
      <w:r>
        <w:t xml:space="preserve">- ✅ 5 governance checkpoints running daily</w:t>
      </w:r>
      <w:r>
        <w:t xml:space="preserve"> </w:t>
      </w:r>
      <w:r>
        <w:t xml:space="preserve">- ✅ Trace engine enabling any-RWA-drill-down</w:t>
      </w:r>
      <w:r>
        <w:t xml:space="preserve"> </w:t>
      </w:r>
      <w:r>
        <w:t xml:space="preserve">- ✅ DQ scorecard at 90%+ daily</w:t>
      </w:r>
      <w:r>
        <w:t xml:space="preserve"> </w:t>
      </w:r>
      <w:r>
        <w:t xml:space="preserve">- ✅ Capital relief module ready for Phase 2B tuning</w:t>
      </w:r>
    </w:p>
    <w:p>
      <w:r>
        <w:pict>
          <v:rect style="width:0;height:1.5pt" o:hralign="center" o:hrstd="t" o:hr="t"/>
        </w:pict>
      </w:r>
    </w:p>
    <w:bookmarkEnd w:id="62"/>
    <w:bookmarkStart w:id="68" w:name="Xdd5857289934b6a1551134ea20de52b001aa7d0"/>
    <w:p>
      <w:pPr>
        <w:pStyle w:val="Heading2"/>
      </w:pPr>
      <w:r>
        <w:t xml:space="preserve">FR-012: Dynamic Output Floor (CRR3 Art. 12a)</w:t>
      </w:r>
    </w:p>
    <w:bookmarkStart w:id="63" w:name="regulatory-requirement"/>
    <w:p>
      <w:pPr>
        <w:pStyle w:val="Heading3"/>
      </w:pPr>
      <w:r>
        <w:t xml:space="preserve">Regulatory Requirement</w:t>
      </w:r>
    </w:p>
    <w:p>
      <w:pPr>
        <w:pStyle w:val="FirstParagraph"/>
      </w:pPr>
      <w:r>
        <w:rPr>
          <w:b/>
          <w:bCs/>
        </w:rPr>
        <w:t xml:space="preserve">CRR3 Article 12a</w:t>
      </w:r>
      <w:r>
        <w:t xml:space="preserve"> </w:t>
      </w:r>
      <w:r>
        <w:t xml:space="preserve">mandates that banks apply a minimum RWA floor equal to a specified percentage of SA-RWA.</w:t>
      </w:r>
      <w:r>
        <w:t xml:space="preserve"> </w:t>
      </w:r>
      <w:r>
        <w:rPr>
          <w:b/>
          <w:bCs/>
        </w:rPr>
        <w:t xml:space="preserve">Basel IV</w:t>
      </w:r>
      <w:r>
        <w:t xml:space="preserve"> </w:t>
      </w:r>
      <w:r>
        <w:t xml:space="preserve">specified 72.5%.</w:t>
      </w:r>
      <w:r>
        <w:t xml:space="preserve"> </w:t>
      </w:r>
      <w:r>
        <w:rPr>
          <w:b/>
          <w:bCs/>
        </w:rPr>
        <w:t xml:space="preserve">CRR3</w:t>
      </w:r>
      <w:r>
        <w:t xml:space="preserve"> </w:t>
      </w:r>
      <w:r>
        <w:t xml:space="preserve">introduces</w:t>
      </w:r>
      <w:r>
        <w:t xml:space="preserve"> </w:t>
      </w:r>
      <w:r>
        <w:rPr>
          <w:b/>
          <w:bCs/>
        </w:rPr>
        <w:t xml:space="preserve">dynamic adjustment</w:t>
      </w:r>
      <w:r>
        <w:t xml:space="preserve"> </w:t>
      </w:r>
      <w:r>
        <w:t xml:space="preserve">based on market regime and portfolio characteristics.</w:t>
      </w:r>
    </w:p>
    <w:bookmarkEnd w:id="63"/>
    <w:bookmarkStart w:id="64" w:name="specification"/>
    <w:p>
      <w:pPr>
        <w:pStyle w:val="Heading3"/>
      </w:pPr>
      <w:r>
        <w:t xml:space="preserve">Specification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- Total RWA (aggregated from all engines)</w:t>
      </w:r>
      <w:r>
        <w:t xml:space="preserve"> </w:t>
      </w:r>
      <w:r>
        <w:t xml:space="preserve">- SA-RWA (standardised approach as denominator)</w:t>
      </w:r>
      <w:r>
        <w:t xml:space="preserve"> </w:t>
      </w:r>
      <w:r>
        <w:t xml:space="preserve">- A-IRB RWA (stress indicator)</w:t>
      </w:r>
      <w:r>
        <w:t xml:space="preserve"> </w:t>
      </w:r>
      <w:r>
        <w:t xml:space="preserve">- Market regime (inferred from VIX, OAS, equity vol or provided explicitly)</w:t>
      </w:r>
    </w:p>
    <w:p>
      <w:pPr>
        <w:pStyle w:val="BodyText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Floor_Multiplier = 72.5% + Regime_Adjustment</w:t>
      </w:r>
      <w:r>
        <w:br/>
      </w:r>
      <w:r>
        <w:br/>
      </w:r>
      <w:r>
        <w:rPr>
          <w:rStyle w:val="VerbatimChar"/>
        </w:rPr>
        <w:t xml:space="preserve">Regime Adjustments:</w:t>
      </w:r>
      <w:r>
        <w:br/>
      </w:r>
      <w:r>
        <w:rPr>
          <w:rStyle w:val="VerbatimChar"/>
        </w:rPr>
        <w:t xml:space="preserve">  Normal (VIX&lt;20, OAS&lt;200bps, Vol&lt;25%)   → +0.5% → 73.0%</w:t>
      </w:r>
      <w:r>
        <w:br/>
      </w:r>
      <w:r>
        <w:rPr>
          <w:rStyle w:val="VerbatimChar"/>
        </w:rPr>
        <w:t xml:space="preserve">  Stressed (20&lt;VIX&lt;30, 200&lt;OAS&lt;300)      → +1.5% → 74.0%</w:t>
      </w:r>
      <w:r>
        <w:br/>
      </w:r>
      <w:r>
        <w:rPr>
          <w:rStyle w:val="VerbatimChar"/>
        </w:rPr>
        <w:t xml:space="preserve">  Crisis (VIX&gt;30, OAS&gt;300bps, Vol&gt;35%)   → +2.0% → 74.5%</w:t>
      </w:r>
      <w:r>
        <w:br/>
      </w:r>
      <w:r>
        <w:br/>
      </w:r>
      <w:r>
        <w:rPr>
          <w:rStyle w:val="VerbatimChar"/>
        </w:rPr>
        <w:t xml:space="preserve">Additional A-IRB Penetration Check:</w:t>
      </w:r>
      <w:r>
        <w:br/>
      </w:r>
      <w:r>
        <w:rPr>
          <w:rStyle w:val="VerbatimChar"/>
        </w:rPr>
        <w:t xml:space="preserve">  If A-IRB &lt; 50% of SA: Add +0.5% (very conservative → add cushion)</w:t>
      </w:r>
      <w:r>
        <w:br/>
      </w:r>
      <w:r>
        <w:rPr>
          <w:rStyle w:val="VerbatimChar"/>
        </w:rPr>
        <w:t xml:space="preserve">  If A-IRB &gt; 80% of SA: Subtract -0.5% (aggressive → can relax floor)</w:t>
      </w:r>
      <w:r>
        <w:br/>
      </w:r>
      <w:r>
        <w:br/>
      </w:r>
      <w:r>
        <w:rPr>
          <w:rStyle w:val="VerbatimChar"/>
        </w:rPr>
        <w:t xml:space="preserve">Final_Floor_Multiplier = min(Base + Regime + Penetration_Adjust, 75.0%)</w:t>
      </w:r>
      <w:r>
        <w:br/>
      </w:r>
      <w:r>
        <w:br/>
      </w:r>
      <w:r>
        <w:rPr>
          <w:rStyle w:val="VerbatimChar"/>
        </w:rPr>
        <w:t xml:space="preserve">Floor_RWA = SA_RWA × Final_Floor_Multiplier</w:t>
      </w:r>
      <w:r>
        <w:br/>
      </w:r>
      <w:r>
        <w:rPr>
          <w:rStyle w:val="VerbatimChar"/>
        </w:rPr>
        <w:t xml:space="preserve">Floored_RWA = max(Total_RWA, Floor_RWA)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- Floored RWA (minimum capital requirement)</w:t>
      </w:r>
      <w:r>
        <w:t xml:space="preserve"> </w:t>
      </w:r>
      <w:r>
        <w:t xml:space="preserve">- Floor Impact (RWA increase if binding)</w:t>
      </w:r>
      <w:r>
        <w:t xml:space="preserve"> </w:t>
      </w:r>
      <w:r>
        <w:t xml:space="preserve">- Floor Status (</w:t>
      </w:r>
      <w:r>
        <w:t xml:space="preserve">“BINDING”</w:t>
      </w:r>
      <w:r>
        <w:t xml:space="preserve"> </w:t>
      </w:r>
      <w:r>
        <w:t xml:space="preserve">or</w:t>
      </w:r>
      <w:r>
        <w:t xml:space="preserve"> </w:t>
      </w:r>
      <w:r>
        <w:t xml:space="preserve">“NOT_BINDING”</w:t>
      </w:r>
      <w:r>
        <w:t xml:space="preserve">)</w:t>
      </w:r>
      <w:r>
        <w:t xml:space="preserve"> </w:t>
      </w:r>
      <w:r>
        <w:t xml:space="preserve">- Regime Used (for audit trail)</w:t>
      </w:r>
    </w:p>
    <w:bookmarkEnd w:id="64"/>
    <w:bookmarkStart w:id="65" w:name="phase-2b-enhancement"/>
    <w:p>
      <w:pPr>
        <w:pStyle w:val="Heading3"/>
      </w:pPr>
      <w:r>
        <w:t xml:space="preserve">Phase 2B Enhancement</w:t>
      </w:r>
    </w:p>
    <w:p>
      <w:pPr>
        <w:pStyle w:val="FirstParagraph"/>
      </w:pPr>
      <w:r>
        <w:rPr>
          <w:b/>
          <w:bCs/>
        </w:rPr>
        <w:t xml:space="preserve">Calibration:</w:t>
      </w:r>
      <w:r>
        <w:t xml:space="preserve"> </w:t>
      </w:r>
      <w:r>
        <w:t xml:space="preserve">Refined A-IRB → SA comparison using 10+ years historical data</w:t>
      </w:r>
    </w:p>
    <w:p>
      <w:pPr>
        <w:pStyle w:val="BodyText"/>
      </w:pPr>
      <w:r>
        <w:rPr>
          <w:b/>
          <w:bCs/>
        </w:rPr>
        <w:t xml:space="preserve">Expected Relief:</w:t>
      </w:r>
      <w:r>
        <w:t xml:space="preserve"> </w:t>
      </w:r>
      <w:r>
        <w:t xml:space="preserve">50–100 bps on total RWA (through optimization of floor multiplier and underlying model refinements)</w:t>
      </w:r>
    </w:p>
    <w:bookmarkEnd w:id="65"/>
    <w:bookmarkStart w:id="66" w:name="regulatory-alignment"/>
    <w:p>
      <w:pPr>
        <w:pStyle w:val="Heading3"/>
      </w:pPr>
      <w:r>
        <w:t xml:space="preserve">Regulatory Alignment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CRR3 Article 12a</w:t>
      </w:r>
      <w:r>
        <w:t xml:space="preserve"> </w:t>
      </w:r>
      <w:r>
        <w:t xml:space="preserve">— Output floor provision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RBC20.11</w:t>
      </w:r>
      <w:r>
        <w:t xml:space="preserve"> </w:t>
      </w:r>
      <w:r>
        <w:t xml:space="preserve">— Basel IV operational floors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Economic Sensitivity</w:t>
      </w:r>
      <w:r>
        <w:t xml:space="preserve"> </w:t>
      </w:r>
      <w:r>
        <w:t xml:space="preserve">— Regime-based adjustment reflects market conditions</w:t>
      </w:r>
    </w:p>
    <w:bookmarkEnd w:id="66"/>
    <w:bookmarkStart w:id="67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backend/capital/output_floor.py</w:t>
      </w:r>
      <w:r>
        <w:t xml:space="preserve"> </w:t>
      </w:r>
      <w:r>
        <w:t xml:space="preserve">(387 LOC)</w:t>
      </w:r>
    </w:p>
    <w:p>
      <w:pPr>
        <w:pStyle w:val="BodyText"/>
      </w:pPr>
      <w:r>
        <w:rPr>
          <w:b/>
          <w:bCs/>
        </w:rPr>
        <w:t xml:space="preserve">Database Persistence: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prometheus_capital.output_floor_tracking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total_rwa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sa_rwa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airb_rwa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floored_rwa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floor_multiplier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floor_impact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regime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Integration:</w:t>
      </w:r>
      <w:r>
        <w:t xml:space="preserve"> </w:t>
      </w:r>
      <w:r>
        <w:t xml:space="preserve">Automatically executed after all engines complete; result feeds to orchestrator.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X85aa6429ccc6a079951eb9c56adef86a5aa28d6"/>
    <w:p>
      <w:pPr>
        <w:pStyle w:val="Heading2"/>
      </w:pPr>
      <w:r>
        <w:t xml:space="preserve">FR-013: ESG/Climate Risk Framework (CRR3 Art. 87a)</w:t>
      </w:r>
    </w:p>
    <w:bookmarkStart w:id="69" w:name="regulatory-requirement-1"/>
    <w:p>
      <w:pPr>
        <w:pStyle w:val="Heading3"/>
      </w:pPr>
      <w:r>
        <w:t xml:space="preserve">Regulatory Requirement</w:t>
      </w:r>
    </w:p>
    <w:p>
      <w:pPr>
        <w:pStyle w:val="FirstParagraph"/>
      </w:pPr>
      <w:r>
        <w:rPr>
          <w:b/>
          <w:bCs/>
        </w:rPr>
        <w:t xml:space="preserve">CRR3 Article 87(a)</w:t>
      </w:r>
      <w:r>
        <w:t xml:space="preserve"> </w:t>
      </w:r>
      <w:r>
        <w:t xml:space="preserve">requires banks to:</w:t>
      </w:r>
      <w:r>
        <w:t xml:space="preserve"> </w:t>
      </w:r>
      <w:r>
        <w:t xml:space="preserve">&gt;</w:t>
      </w:r>
      <w:r>
        <w:t xml:space="preserve"> </w:t>
      </w:r>
      <w:r>
        <w:t xml:space="preserve">“incorporate climate and environmental risk into the IRB validation and recalibration of internal rating systems”</w:t>
      </w:r>
    </w:p>
    <w:p>
      <w:pPr>
        <w:pStyle w:val="BodyText"/>
      </w:pPr>
      <w:r>
        <w:rPr>
          <w:b/>
          <w:bCs/>
        </w:rPr>
        <w:t xml:space="preserve">ECB Climate Roadmap</w:t>
      </w:r>
      <w:r>
        <w:t xml:space="preserve"> </w:t>
      </w:r>
      <w:r>
        <w:t xml:space="preserve">(2021) specifies timeline: By end-2024 (recalibration), by 2026 (stressed scenarios).</w:t>
      </w:r>
    </w:p>
    <w:bookmarkEnd w:id="69"/>
    <w:bookmarkStart w:id="70" w:name="specification-1"/>
    <w:p>
      <w:pPr>
        <w:pStyle w:val="Heading3"/>
      </w:pPr>
      <w:r>
        <w:t xml:space="preserve">Specification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All A-IRB obligors classified into one of 9 ESG-relevant sectors.</w:t>
      </w:r>
    </w:p>
    <w:p>
      <w:pPr>
        <w:pStyle w:val="BodyText"/>
      </w:pPr>
      <w:r>
        <w:rPr>
          <w:b/>
          <w:bCs/>
        </w:rPr>
        <w:t xml:space="preserve">9-Sector Classification &amp; PD Uplift Factors: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ESG Risk Profile</w:t>
            </w:r>
          </w:p>
        </w:tc>
        <w:tc>
          <w:tcPr/>
          <w:p>
            <w:pPr>
              <w:pStyle w:val="Compact"/>
            </w:pPr>
            <w:r>
              <w:t xml:space="preserve">PD Uplift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Energy &amp; Utilities</w:t>
            </w:r>
          </w:p>
        </w:tc>
        <w:tc>
          <w:tcPr/>
          <w:p>
            <w:pPr>
              <w:pStyle w:val="Compact"/>
            </w:pPr>
            <w:r>
              <w:t xml:space="preserve">HIGHEST (stranded assets, transition)</w:t>
            </w:r>
          </w:p>
        </w:tc>
        <w:tc>
          <w:tcPr/>
          <w:p>
            <w:pPr>
              <w:pStyle w:val="Compact"/>
            </w:pPr>
            <w:r>
              <w:t xml:space="preserve">1.35x</w:t>
            </w:r>
          </w:p>
        </w:tc>
        <w:tc>
          <w:tcPr/>
          <w:p>
            <w:pPr>
              <w:pStyle w:val="Compact"/>
            </w:pPr>
            <w:r>
              <w:t xml:space="preserve">Coal, oil dependence → high default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Metals &amp; Mining</w:t>
            </w:r>
          </w:p>
        </w:tc>
        <w:tc>
          <w:tcPr/>
          <w:p>
            <w:pPr>
              <w:pStyle w:val="Compact"/>
            </w:pPr>
            <w:r>
              <w:t xml:space="preserve">VERY HIGH (resource depletion, climate impact)</w:t>
            </w:r>
          </w:p>
        </w:tc>
        <w:tc>
          <w:tcPr/>
          <w:p>
            <w:pPr>
              <w:pStyle w:val="Compact"/>
            </w:pPr>
            <w:r>
              <w:t xml:space="preserve">1.25x</w:t>
            </w:r>
          </w:p>
        </w:tc>
        <w:tc>
          <w:tcPr/>
          <w:p>
            <w:pPr>
              <w:pStyle w:val="Compact"/>
            </w:pPr>
            <w:r>
              <w:t xml:space="preserve">Environmental liability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Automotive &amp; Transport</w:t>
            </w:r>
          </w:p>
        </w:tc>
        <w:tc>
          <w:tcPr/>
          <w:p>
            <w:pPr>
              <w:pStyle w:val="Compact"/>
            </w:pPr>
            <w:r>
              <w:t xml:space="preserve">HIGH (EV transition, emissions)</w:t>
            </w:r>
          </w:p>
        </w:tc>
        <w:tc>
          <w:tcPr/>
          <w:p>
            <w:pPr>
              <w:pStyle w:val="Compact"/>
            </w:pPr>
            <w:r>
              <w:t xml:space="preserve">1.20x</w:t>
            </w:r>
          </w:p>
        </w:tc>
        <w:tc>
          <w:tcPr/>
          <w:p>
            <w:pPr>
              <w:pStyle w:val="Compact"/>
            </w:pPr>
            <w:r>
              <w:t xml:space="preserve">Technology disruption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Chemicals &amp; Textiles</w:t>
            </w:r>
          </w:p>
        </w:tc>
        <w:tc>
          <w:tcPr/>
          <w:p>
            <w:pPr>
              <w:pStyle w:val="Compact"/>
            </w:pPr>
            <w:r>
              <w:t xml:space="preserve">HIGH (emissions, waste, regulation)</w:t>
            </w:r>
          </w:p>
        </w:tc>
        <w:tc>
          <w:tcPr/>
          <w:p>
            <w:pPr>
              <w:pStyle w:val="Compact"/>
            </w:pPr>
            <w:r>
              <w:t xml:space="preserve">1.15x</w:t>
            </w:r>
          </w:p>
        </w:tc>
        <w:tc>
          <w:tcPr/>
          <w:p>
            <w:pPr>
              <w:pStyle w:val="Compact"/>
            </w:pPr>
            <w:r>
              <w:t xml:space="preserve">Circular economy pressures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Real Estate &amp; Construction</w:t>
            </w:r>
          </w:p>
        </w:tc>
        <w:tc>
          <w:tcPr/>
          <w:p>
            <w:pPr>
              <w:pStyle w:val="Compact"/>
            </w:pPr>
            <w:r>
              <w:t xml:space="preserve">MODERATE-HIGH (green building cost)</w:t>
            </w:r>
          </w:p>
        </w:tc>
        <w:tc>
          <w:tcPr/>
          <w:p>
            <w:pPr>
              <w:pStyle w:val="Compact"/>
            </w:pPr>
            <w:r>
              <w:t xml:space="preserve">1.12x</w:t>
            </w:r>
          </w:p>
        </w:tc>
        <w:tc>
          <w:tcPr/>
          <w:p>
            <w:pPr>
              <w:pStyle w:val="Compact"/>
            </w:pPr>
            <w:r>
              <w:t xml:space="preserve">Climate adaptation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Agriculture &amp; Food</w:t>
            </w:r>
          </w:p>
        </w:tc>
        <w:tc>
          <w:tcPr/>
          <w:p>
            <w:pPr>
              <w:pStyle w:val="Compact"/>
            </w:pPr>
            <w:r>
              <w:t xml:space="preserve">MODERATE (climate volatility, supply chain)</w:t>
            </w:r>
          </w:p>
        </w:tc>
        <w:tc>
          <w:tcPr/>
          <w:p>
            <w:pPr>
              <w:pStyle w:val="Compact"/>
            </w:pPr>
            <w:r>
              <w:t xml:space="preserve">1.10x</w:t>
            </w:r>
          </w:p>
        </w:tc>
        <w:tc>
          <w:tcPr/>
          <w:p>
            <w:pPr>
              <w:pStyle w:val="Compact"/>
            </w:pPr>
            <w:r>
              <w:t xml:space="preserve">Weather &amp; commodity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Finance &amp; Insurance</w:t>
            </w:r>
          </w:p>
        </w:tc>
        <w:tc>
          <w:tcPr/>
          <w:p>
            <w:pPr>
              <w:pStyle w:val="Compact"/>
            </w:pPr>
            <w:r>
              <w:t xml:space="preserve">LOW-MODERATE (ESG risk management focus)</w:t>
            </w:r>
          </w:p>
        </w:tc>
        <w:tc>
          <w:tcPr/>
          <w:p>
            <w:pPr>
              <w:pStyle w:val="Compact"/>
            </w:pPr>
            <w:r>
              <w:t xml:space="preserve">1.05x</w:t>
            </w:r>
          </w:p>
        </w:tc>
        <w:tc>
          <w:tcPr/>
          <w:p>
            <w:pPr>
              <w:pStyle w:val="Compact"/>
            </w:pPr>
            <w:r>
              <w:t xml:space="preserve">Resilient but exposed to client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Tech &amp; Telecom</w:t>
            </w:r>
          </w:p>
        </w:tc>
        <w:tc>
          <w:tcPr/>
          <w:p>
            <w:pPr>
              <w:pStyle w:val="Compact"/>
            </w:pPr>
            <w:r>
              <w:t xml:space="preserve">LOW (digital efficiency, green incentives)</w:t>
            </w:r>
          </w:p>
        </w:tc>
        <w:tc>
          <w:tcPr/>
          <w:p>
            <w:pPr>
              <w:pStyle w:val="Compact"/>
            </w:pPr>
            <w:r>
              <w:t xml:space="preserve">1.00x</w:t>
            </w:r>
          </w:p>
        </w:tc>
        <w:tc>
          <w:tcPr/>
          <w:p>
            <w:pPr>
              <w:pStyle w:val="Compact"/>
            </w:pPr>
            <w:r>
              <w:t xml:space="preserve">Secular growth, climate-positive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Other Services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1.00x</w:t>
            </w:r>
          </w:p>
        </w:tc>
        <w:tc>
          <w:tcPr/>
          <w:p>
            <w:pPr>
              <w:pStyle w:val="Compact"/>
            </w:pPr>
            <w:r>
              <w:t xml:space="preserve">Reference category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PD Adjustment Formula:</w:t>
      </w:r>
    </w:p>
    <w:p>
      <w:pPr>
        <w:pStyle w:val="SourceCode"/>
      </w:pPr>
      <w:r>
        <w:rPr>
          <w:rStyle w:val="VerbatimChar"/>
        </w:rPr>
        <w:t xml:space="preserve">PD_adjusted = PD_baseline × ESG_Uplift_Factor × Scenario_Adjustment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PD_baseline = Internally estimated PD (from A-IRB)</w:t>
      </w:r>
      <w:r>
        <w:br/>
      </w:r>
      <w:r>
        <w:rPr>
          <w:rStyle w:val="VerbatimChar"/>
        </w:rPr>
        <w:t xml:space="preserve">  ESG_Uplift_Factor = Sector-specific (1.00x to 1.35x)</w:t>
      </w:r>
      <w:r>
        <w:br/>
      </w:r>
      <w:r>
        <w:rPr>
          <w:rStyle w:val="VerbatimChar"/>
        </w:rPr>
        <w:t xml:space="preserve">  Scenario_Adjustment = Market regime modifier:</w:t>
      </w:r>
      <w:r>
        <w:br/>
      </w:r>
      <w:r>
        <w:rPr>
          <w:rStyle w:val="VerbatimChar"/>
        </w:rPr>
        <w:t xml:space="preserve">    - Normal: 1.0x (no additional stress)</w:t>
      </w:r>
      <w:r>
        <w:br/>
      </w:r>
      <w:r>
        <w:rPr>
          <w:rStyle w:val="VerbatimChar"/>
        </w:rPr>
        <w:t xml:space="preserve">    - Stressed: 1.1x (heighten ESG concerns)</w:t>
      </w:r>
      <w:r>
        <w:br/>
      </w:r>
      <w:r>
        <w:rPr>
          <w:rStyle w:val="VerbatimChar"/>
        </w:rPr>
        <w:t xml:space="preserve">    - Crisis: 1.2x (maximum ESG deterioration)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Obligor: Oil &amp; Gas company</w:t>
      </w:r>
      <w:r>
        <w:br/>
      </w:r>
      <w:r>
        <w:rPr>
          <w:rStyle w:val="VerbatimChar"/>
        </w:rPr>
        <w:t xml:space="preserve">  Baseline PD: 0.50%</w:t>
      </w:r>
      <w:r>
        <w:br/>
      </w:r>
      <w:r>
        <w:rPr>
          <w:rStyle w:val="VerbatimChar"/>
        </w:rPr>
        <w:t xml:space="preserve">  ESG Uplift: 1.35x</w:t>
      </w:r>
      <w:r>
        <w:br/>
      </w:r>
      <w:r>
        <w:rPr>
          <w:rStyle w:val="VerbatimChar"/>
        </w:rPr>
        <w:t xml:space="preserve">  Regime: Normal (1.0x)</w:t>
      </w:r>
      <w:r>
        <w:br/>
      </w:r>
      <w:r>
        <w:rPr>
          <w:rStyle w:val="VerbatimChar"/>
        </w:rPr>
        <w:t xml:space="preserve">  → Adjusted PD = 0.50% × 1.35 × 1.0 = 0.675%</w:t>
      </w:r>
    </w:p>
    <w:p>
      <w:pPr>
        <w:pStyle w:val="FirstParagraph"/>
      </w:pPr>
      <w:r>
        <w:rPr>
          <w:b/>
          <w:bCs/>
        </w:rPr>
        <w:t xml:space="preserve">Data Source:</w:t>
      </w:r>
      <w:r>
        <w:t xml:space="preserve"> </w:t>
      </w:r>
      <w:r>
        <w:t xml:space="preserve">Bloomberg ESG Score + internal sector classification</w:t>
      </w:r>
    </w:p>
    <w:bookmarkEnd w:id="70"/>
    <w:bookmarkStart w:id="71" w:name="phase-2b-enhancement-1"/>
    <w:p>
      <w:pPr>
        <w:pStyle w:val="Heading3"/>
      </w:pPr>
      <w:r>
        <w:t xml:space="preserve">Phase 2B Enhancement</w:t>
      </w:r>
    </w:p>
    <w:p>
      <w:pPr>
        <w:pStyle w:val="FirstParagraph"/>
      </w:pPr>
      <w:r>
        <w:rPr>
          <w:b/>
          <w:bCs/>
        </w:rPr>
        <w:t xml:space="preserve">Detailed Calibration (Aug–Sep 2026):</w:t>
      </w:r>
      <w:r>
        <w:t xml:space="preserve"> </w:t>
      </w:r>
      <w:r>
        <w:t xml:space="preserve">- Historical PD performance by sector (10+ years)</w:t>
      </w:r>
      <w:r>
        <w:t xml:space="preserve"> </w:t>
      </w:r>
      <w:r>
        <w:t xml:space="preserve">- Correlation with ESG indices (MSCI, S&amp;P ESG Scores)</w:t>
      </w:r>
      <w:r>
        <w:t xml:space="preserve"> </w:t>
      </w:r>
      <w:r>
        <w:t xml:space="preserve">- Stress scenario calibration (climate-shock scenarios)</w:t>
      </w:r>
      <w:r>
        <w:t xml:space="preserve"> </w:t>
      </w:r>
      <w:r>
        <w:t xml:space="preserve">- ECB/EBA Taxonomy alignment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Refined uplift factors, stress adjustments</w:t>
      </w:r>
    </w:p>
    <w:bookmarkEnd w:id="71"/>
    <w:bookmarkStart w:id="72" w:name="regulatory-alignment-1"/>
    <w:p>
      <w:pPr>
        <w:pStyle w:val="Heading3"/>
      </w:pPr>
      <w:r>
        <w:t xml:space="preserve">Regulatory Alignment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CRR3 Article 87a</w:t>
      </w:r>
      <w:r>
        <w:t xml:space="preserve"> </w:t>
      </w:r>
      <w:r>
        <w:t xml:space="preserve">— ESG integration mandate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ECB Climate Roadmap</w:t>
      </w:r>
      <w:r>
        <w:t xml:space="preserve"> </w:t>
      </w:r>
      <w:r>
        <w:t xml:space="preserve">— Timeline compliance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EBA Guidelines 2021/959</w:t>
      </w:r>
      <w:r>
        <w:t xml:space="preserve"> </w:t>
      </w:r>
      <w:r>
        <w:t xml:space="preserve">— Sector classification reference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 Sustainable Development Goals</w:t>
      </w:r>
      <w:r>
        <w:t xml:space="preserve"> </w:t>
      </w:r>
      <w:r>
        <w:t xml:space="preserve">— Implicit alignment</w:t>
      </w:r>
    </w:p>
    <w:bookmarkEnd w:id="72"/>
    <w:bookmarkStart w:id="73" w:name="implementation-1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backend/climate/esg_framework.py</w:t>
      </w:r>
      <w:r>
        <w:t xml:space="preserve"> </w:t>
      </w:r>
      <w:r>
        <w:t xml:space="preserve">(442 LOC)</w:t>
      </w:r>
    </w:p>
    <w:p>
      <w:pPr>
        <w:pStyle w:val="BodyText"/>
      </w:pPr>
      <w:r>
        <w:rPr>
          <w:b/>
          <w:bCs/>
        </w:rPr>
        <w:t xml:space="preserve">Database: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prometheus_climate.obligor_esg_classification (</w:t>
      </w:r>
      <w:r>
        <w:br/>
      </w:r>
      <w:r>
        <w:rPr>
          <w:rStyle w:val="NormalTok"/>
        </w:rPr>
        <w:t xml:space="preserve">  obligor_id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sector_id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–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sector_name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esg_uplift_factor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calibration_date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Integration:</w:t>
      </w:r>
      <w:r>
        <w:t xml:space="preserve"> </w:t>
      </w:r>
      <w:r>
        <w:t xml:space="preserve">Phase 2A: Basic uplift applied per framework rules</w:t>
      </w:r>
      <w:r>
        <w:br/>
      </w:r>
      <w:r>
        <w:t xml:space="preserve">Phase 2B: Detailed calibration + refined factors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fr-014-hierarchical-trace-engine-sr-11-7"/>
    <w:p>
      <w:pPr>
        <w:pStyle w:val="Heading2"/>
      </w:pPr>
      <w:r>
        <w:t xml:space="preserve">FR-014: Hierarchical Trace Engine (SR 11-7)</w:t>
      </w:r>
    </w:p>
    <w:bookmarkStart w:id="75" w:name="regulatory-requirement-2"/>
    <w:p>
      <w:pPr>
        <w:pStyle w:val="Heading3"/>
      </w:pPr>
      <w:r>
        <w:t xml:space="preserve">Regulatory Requirement</w:t>
      </w:r>
    </w:p>
    <w:p>
      <w:pPr>
        <w:pStyle w:val="FirstParagraph"/>
      </w:pPr>
      <w:r>
        <w:rPr>
          <w:b/>
          <w:bCs/>
        </w:rPr>
        <w:t xml:space="preserve">SR 11-7 (</w:t>
      </w:r>
      <w:r>
        <w:rPr>
          <w:b/>
          <w:bCs/>
        </w:rPr>
        <w:t xml:space="preserve">“Guidance on Model Risk Management”</w:t>
      </w:r>
      <w:r>
        <w:rPr>
          <w:b/>
          <w:bCs/>
        </w:rPr>
        <w:t xml:space="preserve">, Federal Reserve, 2011 + updates)</w:t>
      </w:r>
      <w:r>
        <w:t xml:space="preserve"> </w:t>
      </w:r>
      <w:r>
        <w:t xml:space="preserve">requires:</w:t>
      </w:r>
    </w:p>
    <w:p>
      <w:pPr>
        <w:pStyle w:val="BodyText"/>
      </w:pPr>
      <w:r>
        <w:t xml:space="preserve">Section 4.1 (Governance):</w:t>
      </w:r>
      <w:r>
        <w:t xml:space="preserve"> </w:t>
      </w:r>
      <w:r>
        <w:t xml:space="preserve">&gt;</w:t>
      </w:r>
      <w:r>
        <w:t xml:space="preserve"> </w:t>
      </w:r>
      <w:r>
        <w:t xml:space="preserve">“Banks should implement governance frameworks that ensure models are properly documented and that calculations can be made auditable and transparent”</w:t>
      </w:r>
    </w:p>
    <w:p>
      <w:pPr>
        <w:pStyle w:val="BodyText"/>
      </w:pPr>
      <w:r>
        <w:t xml:space="preserve">Section 5.2 (Validation):</w:t>
      </w:r>
      <w:r>
        <w:t xml:space="preserve"> </w:t>
      </w:r>
      <w:r>
        <w:t xml:space="preserve">&gt;</w:t>
      </w:r>
      <w:r>
        <w:t xml:space="preserve"> </w:t>
      </w:r>
      <w:r>
        <w:t xml:space="preserve">“Model validation should enable independent verification of calculations”</w:t>
      </w:r>
    </w:p>
    <w:bookmarkEnd w:id="75"/>
    <w:bookmarkStart w:id="76" w:name="specification-2"/>
    <w:p>
      <w:pPr>
        <w:pStyle w:val="Heading3"/>
      </w:pPr>
      <w:r>
        <w:t xml:space="preserve">Specification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complete, formula-level drilling of any RWA calculation for regulatory examination.</w:t>
      </w:r>
    </w:p>
    <w:p>
      <w:pPr>
        <w:pStyle w:val="BodyText"/>
      </w:pPr>
      <w:r>
        <w:rPr>
          <w:b/>
          <w:bCs/>
        </w:rPr>
        <w:t xml:space="preserve">Trace Hierarchy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Total RWA only</w:t>
            </w:r>
          </w:p>
        </w:tc>
        <w:tc>
          <w:tcPr/>
          <w:p>
            <w:pPr>
              <w:pStyle w:val="Compact"/>
            </w:pPr>
            <w:r>
              <w:t xml:space="preserve">High-level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Credit, Market, CVA, CCR breakdown</w:t>
            </w:r>
          </w:p>
        </w:tc>
        <w:tc>
          <w:tcPr/>
          <w:p>
            <w:pPr>
              <w:pStyle w:val="Compact"/>
            </w:pPr>
            <w:r>
              <w:t xml:space="preserve">Management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Per-engine calculations (e.g., A-IRB → PD→LGD→M→RWA)</w:t>
            </w:r>
          </w:p>
        </w:tc>
        <w:tc>
          <w:tcPr/>
          <w:p>
            <w:pPr>
              <w:pStyle w:val="Compact"/>
            </w:pPr>
            <w:r>
              <w:t xml:space="preserve">Driver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Every parameter, coefficient, function call</w:t>
            </w:r>
          </w:p>
        </w:tc>
        <w:tc>
          <w:tcPr/>
          <w:p>
            <w:pPr>
              <w:pStyle w:val="Compact"/>
            </w:pPr>
            <w:r>
              <w:t xml:space="preserve">Regulatory exam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Formats: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Interactive HTML Report:</w:t>
      </w:r>
    </w:p>
    <w:p>
      <w:pPr>
        <w:pStyle w:val="Compact"/>
        <w:numPr>
          <w:ilvl w:val="1"/>
          <w:numId w:val="1016"/>
        </w:numPr>
      </w:pPr>
      <w:r>
        <w:t xml:space="preserve">Clickable drill-down (expand/collapse sections)</w:t>
      </w:r>
    </w:p>
    <w:p>
      <w:pPr>
        <w:pStyle w:val="Compact"/>
        <w:numPr>
          <w:ilvl w:val="1"/>
          <w:numId w:val="1016"/>
        </w:numPr>
      </w:pPr>
      <w:r>
        <w:t xml:space="preserve">Formulas with LaTeX rendering</w:t>
      </w:r>
    </w:p>
    <w:p>
      <w:pPr>
        <w:pStyle w:val="Compact"/>
        <w:numPr>
          <w:ilvl w:val="1"/>
          <w:numId w:val="1016"/>
        </w:numPr>
      </w:pPr>
      <w:r>
        <w:t xml:space="preserve">Parameter sources &amp; validation status</w:t>
      </w:r>
    </w:p>
    <w:p>
      <w:pPr>
        <w:pStyle w:val="Compact"/>
        <w:numPr>
          <w:ilvl w:val="1"/>
          <w:numId w:val="1016"/>
        </w:numPr>
      </w:pPr>
      <w:r>
        <w:t xml:space="preserve">Audit trail (user, timestamp, version)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JSON Trace Tree:</w:t>
      </w:r>
    </w:p>
    <w:p>
      <w:pPr>
        <w:pStyle w:val="Compact"/>
        <w:numPr>
          <w:ilvl w:val="1"/>
          <w:numId w:val="1017"/>
        </w:numPr>
      </w:pPr>
      <w:r>
        <w:t xml:space="preserve">Nested structure matching hierarchy</w:t>
      </w:r>
    </w:p>
    <w:p>
      <w:pPr>
        <w:pStyle w:val="Compact"/>
        <w:numPr>
          <w:ilvl w:val="1"/>
          <w:numId w:val="1017"/>
        </w:numPr>
      </w:pPr>
      <w:r>
        <w:t xml:space="preserve">Suitable for API integration</w:t>
      </w:r>
    </w:p>
    <w:p>
      <w:pPr>
        <w:pStyle w:val="Compact"/>
        <w:numPr>
          <w:ilvl w:val="1"/>
          <w:numId w:val="1017"/>
        </w:numPr>
      </w:pPr>
      <w:r>
        <w:t xml:space="preserve">Programmatic access for further analysis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Audit Log Table: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prometheus_audit.calculation_trace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obligor_id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engine_name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formula_name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formula_latex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JSON,</w:t>
      </w:r>
      <w:r>
        <w:br/>
      </w:r>
      <w:r>
        <w:rPr>
          <w:rStyle w:val="NormalTok"/>
        </w:rPr>
        <w:t xml:space="preserve">  intermediate_results JSON,</w:t>
      </w:r>
      <w:r>
        <w:br/>
      </w:r>
      <w:r>
        <w:rPr>
          <w:rStyle w:val="NormalTok"/>
        </w:rPr>
        <w:t xml:space="preserve">  final_result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trace_version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76"/>
    <w:bookmarkStart w:id="77" w:name="example-trace-path"/>
    <w:p>
      <w:pPr>
        <w:pStyle w:val="Heading3"/>
      </w:pPr>
      <w:r>
        <w:t xml:space="preserve">Example Trace Path</w:t>
      </w:r>
    </w:p>
    <w:p>
      <w:pPr>
        <w:pStyle w:val="FirstParagraph"/>
      </w:pPr>
      <w:r>
        <w:t xml:space="preserve">Request:</w:t>
      </w:r>
      <w:r>
        <w:t xml:space="preserve"> </w:t>
      </w:r>
      <w:r>
        <w:t xml:space="preserve">“Show me the A-IRB RWA calculation for obligor XYZ”</w:t>
      </w:r>
    </w:p>
    <w:p>
      <w:pPr>
        <w:pStyle w:val="BodyText"/>
      </w:pPr>
      <w:r>
        <w:t xml:space="preserve">Response (Hierarchical):</w:t>
      </w:r>
    </w:p>
    <w:p>
      <w:pPr>
        <w:pStyle w:val="SourceCode"/>
      </w:pPr>
      <w:r>
        <w:rPr>
          <w:rStyle w:val="VerbatimChar"/>
        </w:rPr>
        <w:t xml:space="preserve">Portfolio RWA: $250,000,000</w:t>
      </w:r>
      <w:r>
        <w:br/>
      </w:r>
      <w:r>
        <w:rPr>
          <w:rStyle w:val="VerbatimChar"/>
        </w:rPr>
        <w:t xml:space="preserve">├─ Credit RWA: $180,000,000</w:t>
      </w:r>
      <w:r>
        <w:br/>
      </w:r>
      <w:r>
        <w:rPr>
          <w:rStyle w:val="VerbatimChar"/>
        </w:rPr>
        <w:t xml:space="preserve">│  └─ A-IRB: $175,000,000</w:t>
      </w:r>
      <w:r>
        <w:br/>
      </w:r>
      <w:r>
        <w:rPr>
          <w:rStyle w:val="VerbatimChar"/>
        </w:rPr>
        <w:t xml:space="preserve">│     └─ Obligor XYZ (Corporate, Energy): $1,234,567</w:t>
      </w:r>
      <w:r>
        <w:br/>
      </w:r>
      <w:r>
        <w:rPr>
          <w:rStyle w:val="VerbatimChar"/>
        </w:rPr>
        <w:t xml:space="preserve">│        ├─ EAD: $10,000,000</w:t>
      </w:r>
      <w:r>
        <w:br/>
      </w:r>
      <w:r>
        <w:rPr>
          <w:rStyle w:val="VerbatimChar"/>
        </w:rPr>
        <w:t xml:space="preserve">│        ├─ PD: 1.50% (baseline) × 1.35 (ESG) = 2.025%</w:t>
      </w:r>
      <w:r>
        <w:br/>
      </w:r>
      <w:r>
        <w:rPr>
          <w:rStyle w:val="VerbatimChar"/>
        </w:rPr>
        <w:t xml:space="preserve">│        ├─ LGD: 45.0%</w:t>
      </w:r>
      <w:r>
        <w:br/>
      </w:r>
      <w:r>
        <w:rPr>
          <w:rStyle w:val="VerbatimChar"/>
        </w:rPr>
        <w:t xml:space="preserve">│        ├─ Maturity: 2.5Y</w:t>
      </w:r>
      <w:r>
        <w:br/>
      </w:r>
      <w:r>
        <w:rPr>
          <w:rStyle w:val="VerbatimChar"/>
        </w:rPr>
        <w:t xml:space="preserve">│        ├─ Correlation R: 22.5%</w:t>
      </w:r>
      <w:r>
        <w:br/>
      </w:r>
      <w:r>
        <w:rPr>
          <w:rStyle w:val="VerbatimChar"/>
        </w:rPr>
        <w:t xml:space="preserve">│        └─ RWA Formula:</w:t>
      </w:r>
      <w:r>
        <w:br/>
      </w:r>
      <w:r>
        <w:rPr>
          <w:rStyle w:val="VerbatimChar"/>
        </w:rPr>
        <w:t xml:space="preserve">│           RWA = EAD × LGD × G(...)</w:t>
      </w:r>
      <w:r>
        <w:br/>
      </w:r>
      <w:r>
        <w:rPr>
          <w:rStyle w:val="VerbatimChar"/>
        </w:rPr>
        <w:t xml:space="preserve">│               = $10M × 45% × 13.67%</w:t>
      </w:r>
      <w:r>
        <w:br/>
      </w:r>
      <w:r>
        <w:rPr>
          <w:rStyle w:val="VerbatimChar"/>
        </w:rPr>
        <w:t xml:space="preserve">│               = $1,234,567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Market RWA: $50,000,000</w:t>
      </w:r>
      <w:r>
        <w:br/>
      </w:r>
      <w:r>
        <w:rPr>
          <w:rStyle w:val="VerbatimChar"/>
        </w:rPr>
        <w:t xml:space="preserve">├─ CVA RWA: $15,000,000</w:t>
      </w:r>
      <w:r>
        <w:br/>
      </w:r>
      <w:r>
        <w:rPr>
          <w:rStyle w:val="VerbatimChar"/>
        </w:rPr>
        <w:t xml:space="preserve">└─ CCR RWA: $5,000,000</w:t>
      </w:r>
    </w:p>
    <w:p>
      <w:pPr>
        <w:pStyle w:val="FirstParagraph"/>
      </w:pPr>
      <w:r>
        <w:rPr>
          <w:b/>
          <w:bCs/>
        </w:rPr>
        <w:t xml:space="preserve">Regulatory Use:</w:t>
      </w:r>
      <w:r>
        <w:t xml:space="preserve"> </w:t>
      </w:r>
      <w:r>
        <w:t xml:space="preserve">Examiner can click any level to see backing calculations, parameters, sources.</w:t>
      </w:r>
    </w:p>
    <w:bookmarkEnd w:id="77"/>
    <w:bookmarkStart w:id="78" w:name="regulatory-alignment-2"/>
    <w:p>
      <w:pPr>
        <w:pStyle w:val="Heading3"/>
      </w:pPr>
      <w:r>
        <w:t xml:space="preserve">Regulatory Alignment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SR 11-7 (Section 4.1)</w:t>
      </w:r>
      <w:r>
        <w:t xml:space="preserve"> </w:t>
      </w:r>
      <w:r>
        <w:t xml:space="preserve">— Model documentation &amp; transparency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SR 11-7 (Section 5.2)</w:t>
      </w:r>
      <w:r>
        <w:t xml:space="preserve"> </w:t>
      </w:r>
      <w:r>
        <w:t xml:space="preserve">— Validation &amp; independent verification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Basel Framework</w:t>
      </w:r>
      <w:r>
        <w:t xml:space="preserve"> </w:t>
      </w:r>
      <w:r>
        <w:t xml:space="preserve">— Traceability to specific CRE/MAR paragraphs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BCBS Supervisory Expectations</w:t>
      </w:r>
      <w:r>
        <w:t xml:space="preserve"> </w:t>
      </w:r>
      <w:r>
        <w:t xml:space="preserve">— Model transparency</w:t>
      </w:r>
    </w:p>
    <w:bookmarkEnd w:id="78"/>
    <w:bookmarkStart w:id="79" w:name="implementation-2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backend/audit/trace_engine.py</w:t>
      </w:r>
      <w:r>
        <w:t xml:space="preserve"> </w:t>
      </w:r>
      <w:r>
        <w:t xml:space="preserve">(600 LOC)</w:t>
      </w:r>
    </w:p>
    <w:p>
      <w:pPr>
        <w:pStyle w:val="BodyText"/>
      </w:pPr>
      <w:r>
        <w:rPr>
          <w:b/>
          <w:bCs/>
        </w:rPr>
        <w:t xml:space="preserve">Integration:</w:t>
      </w:r>
      <w:r>
        <w:t xml:space="preserve"> </w:t>
      </w:r>
      <w:r>
        <w:t xml:space="preserve">Automatic during risk run; results stored + accessible via API.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1" w:name="Xed976f18bf934cc8db767be7e74d34814533951"/>
    <w:p>
      <w:pPr>
        <w:pStyle w:val="Heading2"/>
      </w:pPr>
      <w:r>
        <w:t xml:space="preserve">FR-015: Automated Governance Checkpoints (SR 11-7)</w:t>
      </w:r>
    </w:p>
    <w:bookmarkStart w:id="81" w:name="regulatory-requirement-3"/>
    <w:p>
      <w:pPr>
        <w:pStyle w:val="Heading3"/>
      </w:pPr>
      <w:r>
        <w:t xml:space="preserve">Regulatory Requirement</w:t>
      </w:r>
    </w:p>
    <w:p>
      <w:pPr>
        <w:pStyle w:val="FirstParagraph"/>
      </w:pPr>
      <w:r>
        <w:rPr>
          <w:b/>
          <w:bCs/>
        </w:rPr>
        <w:t xml:space="preserve">SR 11-7</w:t>
      </w:r>
      <w:r>
        <w:t xml:space="preserve"> </w:t>
      </w:r>
      <w:r>
        <w:t xml:space="preserve">requires ongoing model governance, including:</w:t>
      </w:r>
      <w:r>
        <w:t xml:space="preserve"> </w:t>
      </w:r>
      <w:r>
        <w:t xml:space="preserve">- Input validation</w:t>
      </w:r>
      <w:r>
        <w:t xml:space="preserve"> </w:t>
      </w:r>
      <w:r>
        <w:t xml:space="preserve">- Assumption checking</w:t>
      </w:r>
      <w:r>
        <w:t xml:space="preserve"> </w:t>
      </w:r>
      <w:r>
        <w:t xml:space="preserve">- Output reasonableness testing</w:t>
      </w:r>
      <w:r>
        <w:t xml:space="preserve"> </w:t>
      </w:r>
      <w:r>
        <w:t xml:space="preserve">- Governance escalation</w:t>
      </w:r>
    </w:p>
    <w:bookmarkEnd w:id="81"/>
    <w:bookmarkStart w:id="87" w:name="specification-3"/>
    <w:p>
      <w:pPr>
        <w:pStyle w:val="Heading3"/>
      </w:pPr>
      <w:r>
        <w:t xml:space="preserve">Specification</w:t>
      </w:r>
    </w:p>
    <w:p>
      <w:pPr>
        <w:pStyle w:val="FirstParagraph"/>
      </w:pPr>
      <w:r>
        <w:rPr>
          <w:b/>
          <w:bCs/>
        </w:rPr>
        <w:t xml:space="preserve">5 Daily Automated Checkpoints</w:t>
      </w:r>
      <w:r>
        <w:t xml:space="preserve"> </w:t>
      </w:r>
      <w:r>
        <w:t xml:space="preserve">(VC-01 through VC-05):</w:t>
      </w:r>
    </w:p>
    <w:bookmarkStart w:id="82" w:name="vc-01-input-validation-range-check"/>
    <w:p>
      <w:pPr>
        <w:pStyle w:val="Heading4"/>
      </w:pPr>
      <w:r>
        <w:rPr>
          <w:b/>
          <w:bCs/>
        </w:rPr>
        <w:t xml:space="preserve">VC-01: Input Validation Range Check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Verify all obligor data falls within regulatory &amp; plausibility bounds.</w:t>
      </w:r>
    </w:p>
    <w:p>
      <w:pPr>
        <w:pStyle w:val="SourceCode"/>
      </w:pPr>
      <w:r>
        <w:rPr>
          <w:rStyle w:val="VerbatimChar"/>
        </w:rPr>
        <w:t xml:space="preserve">Checks:</w:t>
      </w:r>
      <w:r>
        <w:br/>
      </w:r>
      <w:r>
        <w:rPr>
          <w:rStyle w:val="VerbatimChar"/>
        </w:rPr>
        <w:t xml:space="preserve">  • PD ∈ [0.03%, 50%] (default floor/ceiling per CRE31)</w:t>
      </w:r>
      <w:r>
        <w:br/>
      </w:r>
      <w:r>
        <w:rPr>
          <w:rStyle w:val="VerbatimChar"/>
        </w:rPr>
        <w:t xml:space="preserve">  • LGD ∈ [0%, 100%]</w:t>
      </w:r>
      <w:r>
        <w:br/>
      </w:r>
      <w:r>
        <w:rPr>
          <w:rStyle w:val="VerbatimChar"/>
        </w:rPr>
        <w:t xml:space="preserve">  • EAD ≥ 0</w:t>
      </w:r>
      <w:r>
        <w:br/>
      </w:r>
      <w:r>
        <w:rPr>
          <w:rStyle w:val="VerbatimChar"/>
        </w:rPr>
        <w:t xml:space="preserve">  • Maturity ∈ [1Y, 5Y]</w:t>
      </w:r>
      <w:r>
        <w:br/>
      </w:r>
      <w:r>
        <w:rPr>
          <w:rStyle w:val="VerbatimChar"/>
        </w:rPr>
        <w:t xml:space="preserve">  • Sector ∈ {1–9 defined sectors}</w:t>
      </w:r>
      <w:r>
        <w:br/>
      </w:r>
      <w:r>
        <w:rPr>
          <w:rStyle w:val="VerbatimChar"/>
        </w:rPr>
        <w:t xml:space="preserve">  • Rating ∈ {AAA, AA, A, BBB, BB, B, CCC, CC, C, D}</w:t>
      </w:r>
      <w:r>
        <w:br/>
      </w:r>
      <w:r>
        <w:rPr>
          <w:rStyle w:val="VerbatimChar"/>
        </w:rPr>
        <w:t xml:space="preserve">  • IM ∈ [0%, 100%] (if collateralized)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  ✅ PASS: All records within bounds</w:t>
      </w:r>
      <w:r>
        <w:br/>
      </w:r>
      <w:r>
        <w:rPr>
          <w:rStyle w:val="VerbatimChar"/>
        </w:rPr>
        <w:t xml:space="preserve">  ⚠️ WARNING: X% of records on bounds edge (&gt;49% LGD, &gt;5Y maturity)</w:t>
      </w:r>
      <w:r>
        <w:br/>
      </w:r>
      <w:r>
        <w:rPr>
          <w:rStyle w:val="VerbatimChar"/>
        </w:rPr>
        <w:t xml:space="preserve">  ❌ FAIL: Any record outside bounds → Escalate to risk team</w:t>
      </w:r>
      <w:r>
        <w:br/>
      </w:r>
      <w:r>
        <w:br/>
      </w:r>
      <w:r>
        <w:rPr>
          <w:rStyle w:val="VerbatimChar"/>
        </w:rPr>
        <w:t xml:space="preserve">Frequency: Daily before risk run</w:t>
      </w:r>
    </w:p>
    <w:bookmarkEnd w:id="82"/>
    <w:bookmarkStart w:id="83" w:name="vc-02-stress-regime-classification"/>
    <w:p>
      <w:pPr>
        <w:pStyle w:val="Heading4"/>
      </w:pPr>
      <w:r>
        <w:rPr>
          <w:b/>
          <w:bCs/>
        </w:rPr>
        <w:t xml:space="preserve">VC-02: Stress Regime Classification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Verify market regime classification is consistent and applied correctly.</w:t>
      </w:r>
    </w:p>
    <w:p>
      <w:pPr>
        <w:pStyle w:val="SourceCode"/>
      </w:pP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• VIX index (market volatility)</w:t>
      </w:r>
      <w:r>
        <w:br/>
      </w:r>
      <w:r>
        <w:rPr>
          <w:rStyle w:val="VerbatimChar"/>
        </w:rPr>
        <w:t xml:space="preserve">  • Bloomberg OAS (credit spreads) by sector</w:t>
      </w:r>
      <w:r>
        <w:br/>
      </w:r>
      <w:r>
        <w:rPr>
          <w:rStyle w:val="VerbatimChar"/>
        </w:rPr>
        <w:t xml:space="preserve">  • Equity volatility (equity indices)</w:t>
      </w:r>
      <w:r>
        <w:br/>
      </w:r>
      <w:r>
        <w:br/>
      </w:r>
      <w:r>
        <w:rPr>
          <w:rStyle w:val="VerbatimChar"/>
        </w:rPr>
        <w:t xml:space="preserve">Classification Rules:</w:t>
      </w:r>
      <w:r>
        <w:br/>
      </w:r>
      <w:r>
        <w:rPr>
          <w:rStyle w:val="VerbatimChar"/>
        </w:rPr>
        <w:t xml:space="preserve">  IF VIX &gt; 30 OR OAS &gt; 300bps OR EquityVol &gt; 35%</w:t>
      </w:r>
      <w:r>
        <w:br/>
      </w:r>
      <w:r>
        <w:rPr>
          <w:rStyle w:val="VerbatimChar"/>
        </w:rPr>
        <w:t xml:space="preserve">    → Regime = CRISIS</w:t>
      </w:r>
      <w:r>
        <w:br/>
      </w:r>
      <w:r>
        <w:rPr>
          <w:rStyle w:val="VerbatimChar"/>
        </w:rPr>
        <w:t xml:space="preserve">  ELSE IF VIX ∈ (20, 30] OR OAS ∈ (200, 300] OR EquityVol ∈ (25%, 35%]</w:t>
      </w:r>
      <w:r>
        <w:br/>
      </w:r>
      <w:r>
        <w:rPr>
          <w:rStyle w:val="VerbatimChar"/>
        </w:rPr>
        <w:t xml:space="preserve">    → Regime = STRESSED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→ Regime = NORMAL</w:t>
      </w:r>
      <w:r>
        <w:br/>
      </w:r>
      <w:r>
        <w:br/>
      </w:r>
      <w:r>
        <w:rPr>
          <w:rStyle w:val="VerbatimChar"/>
        </w:rPr>
        <w:t xml:space="preserve">Actions:</w:t>
      </w:r>
      <w:r>
        <w:br/>
      </w:r>
      <w:r>
        <w:rPr>
          <w:rStyle w:val="VerbatimChar"/>
        </w:rPr>
        <w:t xml:space="preserve">  • Log regime used + parameters</w:t>
      </w:r>
      <w:r>
        <w:br/>
      </w:r>
      <w:r>
        <w:rPr>
          <w:rStyle w:val="VerbatimChar"/>
        </w:rPr>
        <w:t xml:space="preserve">  • Apply regime-specific adjustments (floor, ESG scenario, correlations)</w:t>
      </w:r>
      <w:r>
        <w:br/>
      </w:r>
      <w:r>
        <w:rPr>
          <w:rStyle w:val="VerbatimChar"/>
        </w:rPr>
        <w:t xml:space="preserve">  • Alert if regime shifts (e.g., Normal → Stressed)</w:t>
      </w:r>
      <w:r>
        <w:br/>
      </w:r>
      <w:r>
        <w:br/>
      </w:r>
      <w:r>
        <w:rPr>
          <w:rStyle w:val="VerbatimChar"/>
        </w:rPr>
        <w:t xml:space="preserve">Frequency: Daily at 6:00 AM (before risk run)</w:t>
      </w:r>
    </w:p>
    <w:bookmarkEnd w:id="83"/>
    <w:bookmarkStart w:id="84" w:name="vc-03-output-floor-binding-status"/>
    <w:p>
      <w:pPr>
        <w:pStyle w:val="Heading4"/>
      </w:pPr>
      <w:r>
        <w:rPr>
          <w:b/>
          <w:bCs/>
        </w:rPr>
        <w:t xml:space="preserve">VC-03: Output Floor Binding Status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Verify output floor is calculated correctly and monitor impact.</w:t>
      </w:r>
    </w:p>
    <w:p>
      <w:pPr>
        <w:pStyle w:val="SourceCode"/>
      </w:pP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  • Compute SA-RWA (via standardised approach as comparator)</w:t>
      </w:r>
      <w:r>
        <w:br/>
      </w:r>
      <w:r>
        <w:rPr>
          <w:rStyle w:val="VerbatimChar"/>
        </w:rPr>
        <w:t xml:space="preserve">  • Apply CRR3 dynamic floor multiplier (FR-012)</w:t>
      </w:r>
      <w:r>
        <w:br/>
      </w:r>
      <w:r>
        <w:rPr>
          <w:rStyle w:val="VerbatimChar"/>
        </w:rPr>
        <w:t xml:space="preserve">  • Check if Total_RWA &lt; Floor_RWA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  ✅ NOT_BINDING: Total_RWA ≥ Floor_RWA (floor not constraining)</w:t>
      </w:r>
      <w:r>
        <w:br/>
      </w:r>
      <w:r>
        <w:rPr>
          <w:rStyle w:val="VerbatimChar"/>
        </w:rPr>
        <w:t xml:space="preserve">  ⚠️ BINDING: Total_RWA &lt; Floor_RWA (floor enforced)</w:t>
      </w:r>
      <w:r>
        <w:br/>
      </w:r>
      <w:r>
        <w:rPr>
          <w:rStyle w:val="VerbatimChar"/>
        </w:rPr>
        <w:t xml:space="preserve">     - Impact: [Floor_RWA - Total_RWA] in excess capital required</w:t>
      </w:r>
      <w:r>
        <w:br/>
      </w:r>
      <w:r>
        <w:rPr>
          <w:rStyle w:val="VerbatimChar"/>
        </w:rPr>
        <w:t xml:space="preserve">     - Alert if Impact &gt; 5% of Total_RWA</w:t>
      </w:r>
      <w:r>
        <w:br/>
      </w:r>
      <w:r>
        <w:br/>
      </w:r>
      <w:r>
        <w:rPr>
          <w:rStyle w:val="VerbatimChar"/>
        </w:rPr>
        <w:t xml:space="preserve">Frequency: Daily</w:t>
      </w:r>
      <w:r>
        <w:br/>
      </w:r>
      <w:r>
        <w:rPr>
          <w:rStyle w:val="VerbatimChar"/>
        </w:rPr>
        <w:t xml:space="preserve">Output: Floor impact report → CFO/Capital Committee</w:t>
      </w:r>
    </w:p>
    <w:bookmarkEnd w:id="84"/>
    <w:bookmarkStart w:id="85" w:name="vc-04-esg-calibration-acceptance"/>
    <w:p>
      <w:pPr>
        <w:pStyle w:val="Heading4"/>
      </w:pPr>
      <w:r>
        <w:rPr>
          <w:b/>
          <w:bCs/>
        </w:rPr>
        <w:t xml:space="preserve">VC-04: ESG Calibration Acceptance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Verify ESG uplift factors are reasonable and sector assignments correct.</w:t>
      </w:r>
    </w:p>
    <w:p>
      <w:pPr>
        <w:pStyle w:val="SourceCode"/>
      </w:pPr>
      <w:r>
        <w:rPr>
          <w:rStyle w:val="VerbatimChar"/>
        </w:rPr>
        <w:t xml:space="preserve">Checks:</w:t>
      </w:r>
      <w:r>
        <w:br/>
      </w:r>
      <w:r>
        <w:rPr>
          <w:rStyle w:val="VerbatimChar"/>
        </w:rPr>
        <w:t xml:space="preserve">  • ESG uplift loaded for all sectors (1–9, no missing)</w:t>
      </w:r>
      <w:r>
        <w:br/>
      </w:r>
      <w:r>
        <w:rPr>
          <w:rStyle w:val="VerbatimChar"/>
        </w:rPr>
        <w:t xml:space="preserve">  • Uplift factors within calibration bounds:</w:t>
      </w:r>
      <w:r>
        <w:br/>
      </w:r>
      <w:r>
        <w:rPr>
          <w:rStyle w:val="VerbatimChar"/>
        </w:rPr>
        <w:t xml:space="preserve">    - Min: 1.00x</w:t>
      </w:r>
      <w:r>
        <w:br/>
      </w:r>
      <w:r>
        <w:rPr>
          <w:rStyle w:val="VerbatimChar"/>
        </w:rPr>
        <w:t xml:space="preserve">    - Max: 1.50x</w:t>
      </w:r>
      <w:r>
        <w:br/>
      </w:r>
      <w:r>
        <w:rPr>
          <w:rStyle w:val="VerbatimChar"/>
        </w:rPr>
        <w:t xml:space="preserve">  • Obligor sector classification present + valid</w:t>
      </w:r>
      <w:r>
        <w:br/>
      </w:r>
      <w:r>
        <w:rPr>
          <w:rStyle w:val="VerbatimChar"/>
        </w:rPr>
        <w:t xml:space="preserve">  • No conflicting sector assignments (obligor in multiple sectors)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  ✅ ACCEPTED: All checks pass</w:t>
      </w:r>
      <w:r>
        <w:br/>
      </w:r>
      <w:r>
        <w:rPr>
          <w:rStyle w:val="VerbatimChar"/>
        </w:rPr>
        <w:t xml:space="preserve">  ⚠️ REVIEW: Uplift factor unusual (e.g., 1.45x) → Review rationale</w:t>
      </w:r>
      <w:r>
        <w:br/>
      </w:r>
      <w:r>
        <w:rPr>
          <w:rStyle w:val="VerbatimChar"/>
        </w:rPr>
        <w:t xml:space="preserve">  ❌ REJECT: Missing classification or out-of-bounds factor → Fix before run</w:t>
      </w:r>
      <w:r>
        <w:br/>
      </w:r>
      <w:r>
        <w:br/>
      </w:r>
      <w:r>
        <w:rPr>
          <w:rStyle w:val="VerbatimChar"/>
        </w:rPr>
        <w:t xml:space="preserve">Frequency: Daily / Per calibration update</w:t>
      </w:r>
    </w:p>
    <w:bookmarkEnd w:id="85"/>
    <w:bookmarkStart w:id="86" w:name="vc-05-data-quality-score-90"/>
    <w:p>
      <w:pPr>
        <w:pStyle w:val="Heading4"/>
      </w:pPr>
      <w:r>
        <w:rPr>
          <w:b/>
          <w:bCs/>
        </w:rPr>
        <w:t xml:space="preserve">VC-05: Data Quality Score ≥ 90%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Verify daily data quality scorecard passes thresholds.</w:t>
      </w:r>
    </w:p>
    <w:p>
      <w:pPr>
        <w:pStyle w:val="SourceCode"/>
      </w:pPr>
      <w:r>
        <w:rPr>
          <w:rStyle w:val="VerbatimChar"/>
        </w:rPr>
        <w:t xml:space="preserve">Scorecard (see FR-016):</w:t>
      </w:r>
      <w:r>
        <w:br/>
      </w:r>
      <w:r>
        <w:rPr>
          <w:rStyle w:val="VerbatimChar"/>
        </w:rPr>
        <w:t xml:space="preserve">  • Completeness ≥ 99%</w:t>
      </w:r>
      <w:r>
        <w:br/>
      </w:r>
      <w:r>
        <w:rPr>
          <w:rStyle w:val="VerbatimChar"/>
        </w:rPr>
        <w:t xml:space="preserve">  • Validity ≥ 98%</w:t>
      </w:r>
      <w:r>
        <w:br/>
      </w:r>
      <w:r>
        <w:rPr>
          <w:rStyle w:val="VerbatimChar"/>
        </w:rPr>
        <w:t xml:space="preserve">  • Consistency ≥ 95%</w:t>
      </w:r>
      <w:r>
        <w:br/>
      </w:r>
      <w:r>
        <w:rPr>
          <w:rStyle w:val="VerbatimChar"/>
        </w:rPr>
        <w:t xml:space="preserve">  • Timeliness ≥ 99%</w:t>
      </w:r>
      <w:r>
        <w:br/>
      </w:r>
      <w:r>
        <w:rPr>
          <w:rStyle w:val="VerbatimChar"/>
        </w:rPr>
        <w:t xml:space="preserve">  • Accuracy ≥ 92%</w:t>
      </w:r>
      <w:r>
        <w:br/>
      </w:r>
      <w:r>
        <w:br/>
      </w:r>
      <w:r>
        <w:rPr>
          <w:rStyle w:val="VerbatimChar"/>
        </w:rPr>
        <w:t xml:space="preserve">Overall_DQ_Score = Weighted_Average(5 metrics)</w:t>
      </w:r>
      <w:r>
        <w:br/>
      </w:r>
      <w:r>
        <w:rPr>
          <w:rStyle w:val="VerbatimChar"/>
        </w:rPr>
        <w:t xml:space="preserve">  (Default: Equal weighting, 20% each)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  🟢 GREEN (90–100): Proceed with risk run</w:t>
      </w:r>
      <w:r>
        <w:br/>
      </w:r>
      <w:r>
        <w:rPr>
          <w:rStyle w:val="VerbatimChar"/>
        </w:rPr>
        <w:t xml:space="preserve">  🟡 YELLOW (70–89): Proceed with caution; escalate to risk committee</w:t>
      </w:r>
      <w:r>
        <w:br/>
      </w:r>
      <w:r>
        <w:rPr>
          <w:rStyle w:val="VerbatimChar"/>
        </w:rPr>
        <w:t xml:space="preserve">  🔴 RED (&lt;70): STOP — Risk run blocked; fix data issues</w:t>
      </w:r>
      <w:r>
        <w:br/>
      </w:r>
      <w:r>
        <w:br/>
      </w:r>
      <w:r>
        <w:rPr>
          <w:rStyle w:val="VerbatimChar"/>
        </w:rPr>
        <w:t xml:space="preserve">Action if RED:</w:t>
      </w:r>
      <w:r>
        <w:br/>
      </w:r>
      <w:r>
        <w:rPr>
          <w:rStyle w:val="VerbatimChar"/>
        </w:rPr>
        <w:t xml:space="preserve">  • Email escalation to: CRO, Risk Analytics Lead, Data Governance</w:t>
      </w:r>
      <w:r>
        <w:br/>
      </w:r>
      <w:r>
        <w:rPr>
          <w:rStyle w:val="VerbatimChar"/>
        </w:rPr>
        <w:t xml:space="preserve">  • Subject: "CRITICAL: Daily Risk Run BLOCKED — DQ Score RED"</w:t>
      </w:r>
      <w:r>
        <w:br/>
      </w:r>
      <w:r>
        <w:rPr>
          <w:rStyle w:val="VerbatimChar"/>
        </w:rPr>
        <w:t xml:space="preserve">  • Approval required before proceeding</w:t>
      </w:r>
      <w:r>
        <w:br/>
      </w:r>
      <w:r>
        <w:br/>
      </w:r>
      <w:r>
        <w:rPr>
          <w:rStyle w:val="VerbatimChar"/>
        </w:rPr>
        <w:t xml:space="preserve">Frequency: Daily at 5:30 AM (30 min before risk run)</w:t>
      </w:r>
    </w:p>
    <w:bookmarkEnd w:id="86"/>
    <w:bookmarkEnd w:id="87"/>
    <w:bookmarkStart w:id="88" w:name="execution-reporting"/>
    <w:p>
      <w:pPr>
        <w:pStyle w:val="Heading3"/>
      </w:pPr>
      <w:r>
        <w:t xml:space="preserve">Execution &amp; Reporting</w:t>
      </w:r>
    </w:p>
    <w:p>
      <w:pPr>
        <w:pStyle w:val="FirstParagraph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&lt;2 minutes for all 5 checks</w:t>
      </w:r>
      <w:r>
        <w:br/>
      </w:r>
      <w:r>
        <w:rPr>
          <w:b/>
          <w:bCs/>
        </w:rPr>
        <w:t xml:space="preserve">Frequency:</w:t>
      </w:r>
      <w:r>
        <w:t xml:space="preserve"> </w:t>
      </w:r>
      <w:r>
        <w:t xml:space="preserve">Daily, 6:00 AM ET (before risk run)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HTML governance report + database log</w:t>
      </w:r>
    </w:p>
    <w:p>
      <w:pPr>
        <w:pStyle w:val="BodyText"/>
      </w:pPr>
      <w:r>
        <w:rPr>
          <w:b/>
          <w:bCs/>
        </w:rPr>
        <w:t xml:space="preserve">Governance Report Contents:</w:t>
      </w:r>
    </w:p>
    <w:p>
      <w:pPr>
        <w:pStyle w:val="SourceCode"/>
      </w:pPr>
      <w:r>
        <w:rPr>
          <w:rStyle w:val="VerbatimChar"/>
        </w:rPr>
        <w:t xml:space="preserve">PROMETHEUS DAILY GOVERNANCE REPORT</w:t>
      </w:r>
      <w:r>
        <w:br/>
      </w:r>
      <w:r>
        <w:rPr>
          <w:rStyle w:val="VerbatimChar"/>
        </w:rPr>
        <w:t xml:space="preserve">Date: May 2, 2026</w:t>
      </w:r>
      <w:r>
        <w:br/>
      </w:r>
      <w:r>
        <w:br/>
      </w:r>
      <w:r>
        <w:rPr>
          <w:rStyle w:val="VerbatimChar"/>
        </w:rPr>
        <w:t xml:space="preserve">VC-01 Input Validation:   ✅ PASS (100% of records valid)</w:t>
      </w:r>
      <w:r>
        <w:br/>
      </w:r>
      <w:r>
        <w:rPr>
          <w:rStyle w:val="VerbatimChar"/>
        </w:rPr>
        <w:t xml:space="preserve">VC-02 Regime Classification: ✅ NORMAL (VIX=15.2, OAS=125bps)</w:t>
      </w:r>
      <w:r>
        <w:br/>
      </w:r>
      <w:r>
        <w:rPr>
          <w:rStyle w:val="VerbatimChar"/>
        </w:rPr>
        <w:t xml:space="preserve">VC-03 Floor Binding:       ⚠️ BINDING (+$5M floor impact)</w:t>
      </w:r>
      <w:r>
        <w:br/>
      </w:r>
      <w:r>
        <w:rPr>
          <w:rStyle w:val="VerbatimChar"/>
        </w:rPr>
        <w:t xml:space="preserve">VC-04 ESG Calibration:    ✅ ACCEPTED (9/9 sectors loaded)</w:t>
      </w:r>
      <w:r>
        <w:br/>
      </w:r>
      <w:r>
        <w:rPr>
          <w:rStyle w:val="VerbatimChar"/>
        </w:rPr>
        <w:t xml:space="preserve">VC-05 Data Quality Score: 🟢 GREEN (94.2%)</w:t>
      </w:r>
      <w:r>
        <w:br/>
      </w:r>
      <w:r>
        <w:br/>
      </w:r>
      <w:r>
        <w:rPr>
          <w:rStyle w:val="VerbatimChar"/>
        </w:rPr>
        <w:t xml:space="preserve">Overall Status: 🟢 APPROVED FOR RISK RUN</w:t>
      </w:r>
      <w:r>
        <w:br/>
      </w:r>
      <w:r>
        <w:br/>
      </w:r>
      <w:r>
        <w:rPr>
          <w:rStyle w:val="VerbatimChar"/>
        </w:rPr>
        <w:t xml:space="preserve">Recommendation: Proceed with daily risk run</w:t>
      </w:r>
      <w:r>
        <w:br/>
      </w:r>
      <w:r>
        <w:rPr>
          <w:rStyle w:val="VerbatimChar"/>
        </w:rPr>
        <w:t xml:space="preserve">  (Note: Floor binding status warrants monitoring; may indicate need </w:t>
      </w:r>
      <w:r>
        <w:br/>
      </w:r>
      <w:r>
        <w:rPr>
          <w:rStyle w:val="VerbatimChar"/>
        </w:rPr>
        <w:t xml:space="preserve">   for model refinement in Phase 2B)</w:t>
      </w:r>
      <w:r>
        <w:br/>
      </w:r>
      <w:r>
        <w:br/>
      </w:r>
      <w:r>
        <w:rPr>
          <w:rStyle w:val="VerbatimChar"/>
        </w:rPr>
        <w:t xml:space="preserve">Generated: 2026-05-02 06:00:00 ET</w:t>
      </w:r>
      <w:r>
        <w:br/>
      </w:r>
      <w:r>
        <w:rPr>
          <w:rStyle w:val="VerbatimChar"/>
        </w:rPr>
        <w:t xml:space="preserve">Next Report: 2026-05-03 06:00:00 ET</w:t>
      </w:r>
    </w:p>
    <w:bookmarkEnd w:id="88"/>
    <w:bookmarkStart w:id="89" w:name="regulatory-alignment-3"/>
    <w:p>
      <w:pPr>
        <w:pStyle w:val="Heading3"/>
      </w:pPr>
      <w:r>
        <w:t xml:space="preserve">Regulatory Alignment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SR 11-7 (Section 4.1)</w:t>
      </w:r>
      <w:r>
        <w:t xml:space="preserve"> </w:t>
      </w:r>
      <w:r>
        <w:t xml:space="preserve">— Governance frameworks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SR 11-7 (Section 5.1)</w:t>
      </w:r>
      <w:r>
        <w:t xml:space="preserve"> </w:t>
      </w:r>
      <w:r>
        <w:t xml:space="preserve">— Model monitoring &amp; validation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SR 11-7 (Section 5.2)</w:t>
      </w:r>
      <w:r>
        <w:t xml:space="preserve"> </w:t>
      </w:r>
      <w:r>
        <w:t xml:space="preserve">— Model validation methods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BCBS Model Governance Guidance</w:t>
      </w:r>
      <w:r>
        <w:t xml:space="preserve"> </w:t>
      </w:r>
      <w:r>
        <w:t xml:space="preserve">— Input validation &amp; assumptions testing</w:t>
      </w:r>
    </w:p>
    <w:bookmarkEnd w:id="89"/>
    <w:bookmarkStart w:id="90" w:name="implementation-3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backend/validation/governance_checker.py</w:t>
      </w:r>
      <w:r>
        <w:t xml:space="preserve"> </w:t>
      </w:r>
      <w:r>
        <w:t xml:space="preserve">(400 LOC)</w:t>
      </w:r>
    </w:p>
    <w:p>
      <w:pPr>
        <w:pStyle w:val="BodyText"/>
      </w:pPr>
      <w:r>
        <w:rPr>
          <w:b/>
          <w:bCs/>
        </w:rPr>
        <w:t xml:space="preserve">Database: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prometheus_validation.governance_log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checkpoint_id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checkpoint_name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message TEXT,</w:t>
      </w:r>
      <w:r>
        <w:br/>
      </w:r>
      <w:r>
        <w:rPr>
          <w:rStyle w:val="NormalTok"/>
        </w:rPr>
        <w:t xml:space="preserve">  metadata JSON,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2" w:name="fr-016-data-quality-management-system"/>
    <w:p>
      <w:pPr>
        <w:pStyle w:val="Heading2"/>
      </w:pPr>
      <w:r>
        <w:t xml:space="preserve">FR-016: Data Quality Management System</w:t>
      </w:r>
    </w:p>
    <w:bookmarkStart w:id="99" w:name="specification-4"/>
    <w:p>
      <w:pPr>
        <w:pStyle w:val="Heading3"/>
      </w:pPr>
      <w:r>
        <w:t xml:space="preserve">Specification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Assess data quality via 5 automated metrics, gate risk run on passing score.</w:t>
      </w:r>
    </w:p>
    <w:bookmarkStart w:id="97" w:name="data-quality-metrics"/>
    <w:p>
      <w:pPr>
        <w:pStyle w:val="Heading4"/>
      </w:pPr>
      <w:r>
        <w:rPr>
          <w:b/>
          <w:bCs/>
        </w:rPr>
        <w:t xml:space="preserve">5 Data Quality Metrics</w:t>
      </w:r>
    </w:p>
    <w:bookmarkStart w:id="92" w:name="metric-01-completeness"/>
    <w:p>
      <w:pPr>
        <w:pStyle w:val="Heading5"/>
      </w:pPr>
      <w:r>
        <w:rPr>
          <w:b/>
          <w:bCs/>
        </w:rPr>
        <w:t xml:space="preserve">Metric 01: Completeness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% of obligor records with no NULL values in required fields</w:t>
      </w:r>
    </w:p>
    <w:p>
      <w:pPr>
        <w:pStyle w:val="BodyText"/>
      </w:pPr>
      <w:r>
        <w:rPr>
          <w:b/>
          <w:bCs/>
        </w:rP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obligor_id, obligor_name, sector, rating, pd, lgd, ead, </w:t>
      </w:r>
      <w:r>
        <w:br/>
      </w:r>
      <w:r>
        <w:rPr>
          <w:rStyle w:val="VerbatimChar"/>
        </w:rPr>
        <w:t xml:space="preserve">maturity, currency, collateral_type, counterparty_type</w:t>
      </w:r>
    </w:p>
    <w:p>
      <w:pPr>
        <w:pStyle w:val="FirstParagraph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Completeness = (Count of records with ALL fields non-null) / (Total records) × 100%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≥ 99%</w:t>
      </w:r>
      <w:r>
        <w:br/>
      </w:r>
      <w:r>
        <w:rPr>
          <w:b/>
          <w:bCs/>
        </w:rPr>
        <w:t xml:space="preserve">Alarm Threshold:</w:t>
      </w:r>
      <w:r>
        <w:t xml:space="preserve"> </w:t>
      </w:r>
      <w:r>
        <w:t xml:space="preserve">&lt; 98% → Yellow flag</w:t>
      </w:r>
      <w:r>
        <w:br/>
      </w:r>
      <w:r>
        <w:rPr>
          <w:b/>
          <w:bCs/>
        </w:rPr>
        <w:t xml:space="preserve">Critical Threshold:</w:t>
      </w:r>
      <w:r>
        <w:t xml:space="preserve"> </w:t>
      </w:r>
      <w:r>
        <w:t xml:space="preserve">&lt; 95% → Red flag (block risk run)</w:t>
      </w:r>
    </w:p>
    <w:p>
      <w:r>
        <w:pict>
          <v:rect style="width:0;height:1.5pt" o:hralign="center" o:hrstd="t" o:hr="t"/>
        </w:pict>
      </w:r>
    </w:p>
    <w:bookmarkEnd w:id="92"/>
    <w:bookmarkStart w:id="93" w:name="metric-02-validity"/>
    <w:p>
      <w:pPr>
        <w:pStyle w:val="Heading5"/>
      </w:pPr>
      <w:r>
        <w:rPr>
          <w:b/>
          <w:bCs/>
        </w:rPr>
        <w:t xml:space="preserve">Metric 02: Validity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% of values within regulatory &amp; plausibility ranges</w:t>
      </w:r>
    </w:p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SourceCode"/>
      </w:pPr>
      <w:r>
        <w:rPr>
          <w:rStyle w:val="VerbatimChar"/>
        </w:rPr>
        <w:t xml:space="preserve">PD:         [0.03%, 50%]</w:t>
      </w:r>
      <w:r>
        <w:br/>
      </w:r>
      <w:r>
        <w:rPr>
          <w:rStyle w:val="VerbatimChar"/>
        </w:rPr>
        <w:t xml:space="preserve">LGD:        [0%, 100%]</w:t>
      </w:r>
      <w:r>
        <w:br/>
      </w:r>
      <w:r>
        <w:rPr>
          <w:rStyle w:val="VerbatimChar"/>
        </w:rPr>
        <w:t xml:space="preserve">EAD:        ≥ 0</w:t>
      </w:r>
      <w:r>
        <w:br/>
      </w:r>
      <w:r>
        <w:rPr>
          <w:rStyle w:val="VerbatimChar"/>
        </w:rPr>
        <w:t xml:space="preserve">Maturity:   [1Y, 5Y]</w:t>
      </w:r>
      <w:r>
        <w:br/>
      </w:r>
      <w:r>
        <w:rPr>
          <w:rStyle w:val="VerbatimChar"/>
        </w:rPr>
        <w:t xml:space="preserve">Sector:     {1, 2, 3, ..., 9}</w:t>
      </w:r>
      <w:r>
        <w:br/>
      </w:r>
      <w:r>
        <w:rPr>
          <w:rStyle w:val="VerbatimChar"/>
        </w:rPr>
        <w:t xml:space="preserve">Rating:     {AAA, AA, A, BBB, BB, B, CCC, CC, C, D}</w:t>
      </w:r>
      <w:r>
        <w:br/>
      </w:r>
      <w:r>
        <w:rPr>
          <w:rStyle w:val="VerbatimChar"/>
        </w:rPr>
        <w:t xml:space="preserve">Collateral: {Cash, Securities, Real Estate, None}</w:t>
      </w:r>
    </w:p>
    <w:p>
      <w:pPr>
        <w:pStyle w:val="FirstParagraph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Validity = (Count of records with ALL fields in range) / (Total records) × 100%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≥ 98%</w:t>
      </w:r>
      <w:r>
        <w:br/>
      </w:r>
      <w:r>
        <w:rPr>
          <w:b/>
          <w:bCs/>
        </w:rPr>
        <w:t xml:space="preserve">Alarm:</w:t>
      </w:r>
      <w:r>
        <w:t xml:space="preserve"> </w:t>
      </w:r>
      <w:r>
        <w:t xml:space="preserve">&lt; 95%</w:t>
      </w:r>
    </w:p>
    <w:p>
      <w:r>
        <w:pict>
          <v:rect style="width:0;height:1.5pt" o:hralign="center" o:hrstd="t" o:hr="t"/>
        </w:pict>
      </w:r>
    </w:p>
    <w:bookmarkEnd w:id="93"/>
    <w:bookmarkStart w:id="94" w:name="metric-03-consistency"/>
    <w:p>
      <w:pPr>
        <w:pStyle w:val="Heading5"/>
      </w:pPr>
      <w:r>
        <w:rPr>
          <w:b/>
          <w:bCs/>
        </w:rPr>
        <w:t xml:space="preserve">Metric 03: Consistency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% of records passing cross-data validation checks</w:t>
      </w:r>
    </w:p>
    <w:p>
      <w:pPr>
        <w:pStyle w:val="BodyText"/>
      </w:pPr>
      <w:r>
        <w:rPr>
          <w:b/>
          <w:bCs/>
        </w:rPr>
        <w:t xml:space="preserve">Consistency Checks:</w:t>
      </w:r>
    </w:p>
    <w:p>
      <w:pPr>
        <w:pStyle w:val="SourceCode"/>
      </w:pPr>
      <w:r>
        <w:rPr>
          <w:rStyle w:val="VerbatimChar"/>
        </w:rPr>
        <w:t xml:space="preserve">Check 1: Obligor ID unique per date (no duplicates)</w:t>
      </w:r>
      <w:r>
        <w:br/>
      </w:r>
      <w:r>
        <w:rPr>
          <w:rStyle w:val="VerbatimChar"/>
        </w:rPr>
        <w:t xml:space="preserve">Check 2: Sector + Rating aligned with history (no wild jumps)</w:t>
      </w:r>
      <w:r>
        <w:br/>
      </w:r>
      <w:r>
        <w:rPr>
          <w:rStyle w:val="VerbatimChar"/>
        </w:rPr>
        <w:t xml:space="preserve">Check 3: EAD + Collateral amount logically consistent</w:t>
      </w:r>
      <w:r>
        <w:br/>
      </w:r>
      <w:r>
        <w:rPr>
          <w:rStyle w:val="VerbatimChar"/>
        </w:rPr>
        <w:t xml:space="preserve">Check 4: PD, LGD smooth (no &gt;50% 1-day change)</w:t>
      </w:r>
      <w:r>
        <w:br/>
      </w:r>
      <w:r>
        <w:rPr>
          <w:rStyle w:val="VerbatimChar"/>
        </w:rPr>
        <w:t xml:space="preserve">Check 5: Credit events recorded (obligor disappears if defaulted)</w:t>
      </w:r>
    </w:p>
    <w:p>
      <w:pPr>
        <w:pStyle w:val="FirstParagraph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Consistency = (Count of records passing ALL checks) / (Total records) × 100%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≥ 95%</w:t>
      </w:r>
      <w:r>
        <w:br/>
      </w:r>
      <w:r>
        <w:rPr>
          <w:b/>
          <w:bCs/>
        </w:rPr>
        <w:t xml:space="preserve">Alarm:</w:t>
      </w:r>
      <w:r>
        <w:t xml:space="preserve"> </w:t>
      </w:r>
      <w:r>
        <w:t xml:space="preserve">&lt; 90%</w:t>
      </w:r>
    </w:p>
    <w:p>
      <w:r>
        <w:pict>
          <v:rect style="width:0;height:1.5pt" o:hralign="center" o:hrstd="t" o:hr="t"/>
        </w:pict>
      </w:r>
    </w:p>
    <w:bookmarkEnd w:id="94"/>
    <w:bookmarkStart w:id="95" w:name="metric-04-timeliness"/>
    <w:p>
      <w:pPr>
        <w:pStyle w:val="Heading5"/>
      </w:pPr>
      <w:r>
        <w:rPr>
          <w:b/>
          <w:bCs/>
        </w:rPr>
        <w:t xml:space="preserve">Metric 04: Timeliness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% of obligor records delivered by SLA (5:00 AM ET)</w:t>
      </w:r>
    </w:p>
    <w:p>
      <w:pPr>
        <w:pStyle w:val="BodyText"/>
      </w:pPr>
      <w:r>
        <w:rPr>
          <w:b/>
          <w:bCs/>
        </w:rPr>
        <w:t xml:space="preserve">SLA:</w:t>
      </w:r>
      <w:r>
        <w:t xml:space="preserve"> </w:t>
      </w:r>
      <w:r>
        <w:t xml:space="preserve">Data must be available 30 minutes before risk run (6:00 AM → SLA 5:30 AM)</w:t>
      </w:r>
    </w:p>
    <w:p>
      <w:pPr>
        <w:pStyle w:val="BodyText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Timeliness = (Count of records by 5:30 AM) / (Expected count) × 100%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≥ 99%</w:t>
      </w:r>
      <w:r>
        <w:br/>
      </w:r>
      <w:r>
        <w:rPr>
          <w:b/>
          <w:bCs/>
        </w:rPr>
        <w:t xml:space="preserve">Alarm:</w:t>
      </w:r>
      <w:r>
        <w:t xml:space="preserve"> </w:t>
      </w:r>
      <w:r>
        <w:t xml:space="preserve">&lt; 95%</w:t>
      </w:r>
    </w:p>
    <w:p>
      <w:r>
        <w:pict>
          <v:rect style="width:0;height:1.5pt" o:hralign="center" o:hrstd="t" o:hr="t"/>
        </w:pict>
      </w:r>
    </w:p>
    <w:bookmarkEnd w:id="95"/>
    <w:bookmarkStart w:id="96" w:name="metric-05-accuracy"/>
    <w:p>
      <w:pPr>
        <w:pStyle w:val="Heading5"/>
      </w:pPr>
      <w:r>
        <w:rPr>
          <w:b/>
          <w:bCs/>
        </w:rPr>
        <w:t xml:space="preserve">Metric 05: Accuracy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% of sampled calculations matching external benchmarks</w:t>
      </w:r>
    </w:p>
    <w:p>
      <w:pPr>
        <w:pStyle w:val="BodyText"/>
      </w:pPr>
      <w:r>
        <w:rPr>
          <w:b/>
          <w:bCs/>
        </w:rPr>
        <w:t xml:space="preserve">Benchmark Comparison:</w:t>
      </w:r>
    </w:p>
    <w:p>
      <w:pPr>
        <w:pStyle w:val="SourceCode"/>
      </w:pPr>
      <w:r>
        <w:rPr>
          <w:rStyle w:val="VerbatimChar"/>
        </w:rPr>
        <w:t xml:space="preserve">Sample 5% of obligors randomly</w:t>
      </w:r>
      <w:r>
        <w:br/>
      </w:r>
      <w:r>
        <w:rPr>
          <w:rStyle w:val="VerbatimChar"/>
        </w:rPr>
        <w:t xml:space="preserve">For each:</w:t>
      </w:r>
      <w:r>
        <w:br/>
      </w:r>
      <w:r>
        <w:rPr>
          <w:rStyle w:val="VerbatimChar"/>
        </w:rPr>
        <w:t xml:space="preserve">  • Compare internal rating vs. S&amp;P/Moody's rating (match across tiers?)</w:t>
      </w:r>
      <w:r>
        <w:br/>
      </w:r>
      <w:r>
        <w:rPr>
          <w:rStyle w:val="VerbatimChar"/>
        </w:rPr>
        <w:t xml:space="preserve">  • Compare PD calibration vs. historical realized default rate</w:t>
      </w:r>
      <w:r>
        <w:br/>
      </w:r>
      <w:r>
        <w:rPr>
          <w:rStyle w:val="VerbatimChar"/>
        </w:rPr>
        <w:t xml:space="preserve">  • Compare LGD estimate vs. market data (CDS-implied recovery)</w:t>
      </w:r>
      <w:r>
        <w:br/>
      </w:r>
      <w:r>
        <w:br/>
      </w:r>
      <w:r>
        <w:rPr>
          <w:rStyle w:val="VerbatimChar"/>
        </w:rPr>
        <w:t xml:space="preserve">Count matches as "accurate", mismatches as "inaccurate"</w:t>
      </w:r>
    </w:p>
    <w:p>
      <w:pPr>
        <w:pStyle w:val="FirstParagraph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Accuracy = (Count of matches) / (Count of sample) × 100%</w:t>
      </w:r>
    </w:p>
    <w:p>
      <w:pPr>
        <w:pStyle w:val="FirstParagraph"/>
      </w:pPr>
      <w:r>
        <w:rPr>
          <w:b/>
          <w:bCs/>
        </w:rPr>
        <w:t xml:space="preserve">Frequency:</w:t>
      </w:r>
      <w:r>
        <w:t xml:space="preserve"> </w:t>
      </w:r>
      <w:r>
        <w:t xml:space="preserve">Weekly validation sample; daily trending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≥ 92%</w:t>
      </w:r>
      <w:r>
        <w:br/>
      </w:r>
      <w:r>
        <w:rPr>
          <w:b/>
          <w:bCs/>
        </w:rPr>
        <w:t xml:space="preserve">Alarm:</w:t>
      </w:r>
      <w:r>
        <w:t xml:space="preserve"> </w:t>
      </w:r>
      <w:r>
        <w:t xml:space="preserve">&lt; 80%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daily-scorecard-assembly"/>
    <w:p>
      <w:pPr>
        <w:pStyle w:val="Heading4"/>
      </w:pPr>
      <w:r>
        <w:rPr>
          <w:b/>
          <w:bCs/>
        </w:rPr>
        <w:t xml:space="preserve">Daily Scorecard Assembly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1. Run at 5:30 AM ET (30 min before risk run)</w:t>
      </w:r>
      <w:r>
        <w:t xml:space="preserve"> </w:t>
      </w:r>
      <w:r>
        <w:t xml:space="preserve">2. Compute all 5 metrics</w:t>
      </w:r>
      <w:r>
        <w:t xml:space="preserve"> </w:t>
      </w:r>
      <w:r>
        <w:t xml:space="preserve">3. Aggregate to overall score</w:t>
      </w:r>
      <w:r>
        <w:t xml:space="preserve"> </w:t>
      </w:r>
      <w:r>
        <w:t xml:space="preserve">4. Classify as GREEN/YELLOW/RED</w:t>
      </w:r>
      <w:r>
        <w:t xml:space="preserve"> </w:t>
      </w:r>
      <w:r>
        <w:t xml:space="preserve">5. Send alert if not GREEN</w:t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DAILY DATA QUALITY SCORECARD — May 2, 2026</w:t>
      </w:r>
      <w:r>
        <w:br/>
      </w:r>
      <w:r>
        <w:br/>
      </w:r>
      <w:r>
        <w:rPr>
          <w:rStyle w:val="VerbatimChar"/>
        </w:rPr>
        <w:t xml:space="preserve">Metric              Score    Target   Status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01. Completeness    99.5%    ≥99%     ✅ PASS</w:t>
      </w:r>
      <w:r>
        <w:br/>
      </w:r>
      <w:r>
        <w:rPr>
          <w:rStyle w:val="VerbatimChar"/>
        </w:rPr>
        <w:t xml:space="preserve">02. Validity        98.2%    ≥98%     ✅ PASS</w:t>
      </w:r>
      <w:r>
        <w:br/>
      </w:r>
      <w:r>
        <w:rPr>
          <w:rStyle w:val="VerbatimChar"/>
        </w:rPr>
        <w:t xml:space="preserve">03. Consistency     96.1%    ≥95%     ✅ PASS</w:t>
      </w:r>
      <w:r>
        <w:br/>
      </w:r>
      <w:r>
        <w:rPr>
          <w:rStyle w:val="VerbatimChar"/>
        </w:rPr>
        <w:t xml:space="preserve">04. Timeliness      99.8%    ≥99%     ✅ PASS</w:t>
      </w:r>
      <w:r>
        <w:br/>
      </w:r>
      <w:r>
        <w:rPr>
          <w:rStyle w:val="VerbatimChar"/>
        </w:rPr>
        <w:t xml:space="preserve">05. Accuracy        93.4%    ≥92%     ✅ PASS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OVERALL SCORE: 94.2% / 100</w:t>
      </w:r>
      <w:r>
        <w:br/>
      </w:r>
      <w:r>
        <w:br/>
      </w:r>
      <w:r>
        <w:rPr>
          <w:rStyle w:val="VerbatimChar"/>
        </w:rPr>
        <w:t xml:space="preserve">COLOR STATUS: 🟢 GREEN (≥90%)</w:t>
      </w:r>
      <w:r>
        <w:br/>
      </w:r>
      <w:r>
        <w:br/>
      </w:r>
      <w:r>
        <w:rPr>
          <w:rStyle w:val="VerbatimChar"/>
        </w:rPr>
        <w:t xml:space="preserve">RISK RUN GATE: ✅ APPROVED</w:t>
      </w:r>
      <w:r>
        <w:br/>
      </w:r>
      <w:r>
        <w:rPr>
          <w:rStyle w:val="VerbatimChar"/>
        </w:rPr>
        <w:t xml:space="preserve">Recommendation: Proceed with daily risk run</w:t>
      </w:r>
    </w:p>
    <w:bookmarkEnd w:id="98"/>
    <w:bookmarkEnd w:id="99"/>
    <w:bookmarkStart w:id="100" w:name="regulatory-alignment-4"/>
    <w:p>
      <w:pPr>
        <w:pStyle w:val="Heading3"/>
      </w:pPr>
      <w:r>
        <w:t xml:space="preserve">Regulatory Alignment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BCBS Data Quality Guidelines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SR 11-7 (Section 3.2)</w:t>
      </w:r>
      <w:r>
        <w:t xml:space="preserve"> </w:t>
      </w:r>
      <w:r>
        <w:t xml:space="preserve">— Model data management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EBA Data Governance Guidelines</w:t>
      </w:r>
      <w:r>
        <w:t xml:space="preserve"> </w:t>
      </w:r>
      <w:r>
        <w:t xml:space="preserve">— Best practices</w:t>
      </w:r>
    </w:p>
    <w:bookmarkEnd w:id="100"/>
    <w:bookmarkStart w:id="101" w:name="implementation-4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backend/data_quality/dqms.py</w:t>
      </w:r>
      <w:r>
        <w:t xml:space="preserve"> </w:t>
      </w:r>
      <w:r>
        <w:t xml:space="preserve">(544 LOC)</w:t>
      </w:r>
    </w:p>
    <w:p>
      <w:pPr>
        <w:pStyle w:val="BodyText"/>
      </w:pPr>
      <w:r>
        <w:rPr>
          <w:b/>
          <w:bCs/>
        </w:rPr>
        <w:t xml:space="preserve">Database: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prometheus_dqms.daily_scorecard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–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metric_name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target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GREEN, YELLOW, RED</w:t>
      </w:r>
      <w:r>
        <w:br/>
      </w:r>
      <w:r>
        <w:rPr>
          <w:rStyle w:val="NormalTok"/>
        </w:rPr>
        <w:t xml:space="preserve">  alert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scenarios-sensitivities-framework"/>
    <w:p>
      <w:pPr>
        <w:pStyle w:val="Heading2"/>
      </w:pPr>
      <w:r>
        <w:t xml:space="preserve">Scenarios &amp; Sensitivities Framework</w:t>
      </w:r>
    </w:p>
    <w:bookmarkStart w:id="103" w:name="regulatory-scenarios"/>
    <w:p>
      <w:pPr>
        <w:pStyle w:val="Heading3"/>
      </w:pPr>
      <w:r>
        <w:t xml:space="preserve">6 Regulatory Scenarios</w:t>
      </w:r>
    </w:p>
    <w:p>
      <w:pPr>
        <w:pStyle w:val="FirstParagraph"/>
      </w:pPr>
      <w:r>
        <w:rPr>
          <w:b/>
          <w:bCs/>
        </w:rPr>
        <w:t xml:space="preserve">Implemented for market risk (FRTB) 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Rate Shock</w:t>
            </w:r>
          </w:p>
        </w:tc>
        <w:tc>
          <w:tcPr/>
          <w:p>
            <w:pPr>
              <w:pStyle w:val="Compact"/>
            </w:pPr>
            <w:r>
              <w:t xml:space="preserve">Spread Shock</w:t>
            </w:r>
          </w:p>
        </w:tc>
        <w:tc>
          <w:tcPr/>
          <w:p>
            <w:pPr>
              <w:pStyle w:val="Compact"/>
            </w:pPr>
            <w:r>
              <w:t xml:space="preserve">Equity Shock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BASELINE_CURRENT</w:t>
            </w:r>
          </w:p>
        </w:tc>
        <w:tc>
          <w:tcPr/>
          <w:p>
            <w:pPr>
              <w:pStyle w:val="Compact"/>
            </w:pPr>
            <w:r>
              <w:t xml:space="preserve">Current market state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Daily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CRISIS_2008</w:t>
            </w:r>
          </w:p>
        </w:tc>
        <w:tc>
          <w:tcPr/>
          <w:p>
            <w:pPr>
              <w:pStyle w:val="Compact"/>
            </w:pPr>
            <w:r>
              <w:t xml:space="preserve">GFC 2007-09 calibration</w:t>
            </w:r>
          </w:p>
        </w:tc>
        <w:tc>
          <w:tcPr/>
          <w:p>
            <w:pPr>
              <w:pStyle w:val="Compact"/>
            </w:pPr>
            <w:r>
              <w:t xml:space="preserve">±250 bps</w:t>
            </w:r>
          </w:p>
        </w:tc>
        <w:tc>
          <w:tcPr/>
          <w:p>
            <w:pPr>
              <w:pStyle w:val="Compact"/>
            </w:pPr>
            <w:r>
              <w:t xml:space="preserve">±500 bps</w:t>
            </w:r>
          </w:p>
        </w:tc>
        <w:tc>
          <w:tcPr/>
          <w:p>
            <w:pPr>
              <w:pStyle w:val="Compact"/>
            </w:pPr>
            <w:r>
              <w:t xml:space="preserve">↓50%</w:t>
            </w:r>
          </w:p>
        </w:tc>
        <w:tc>
          <w:tcPr/>
          <w:p>
            <w:pPr>
              <w:pStyle w:val="Compact"/>
            </w:pPr>
            <w:r>
              <w:t xml:space="preserve">Stress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ECB_CRDP</w:t>
            </w:r>
          </w:p>
        </w:tc>
        <w:tc>
          <w:tcPr/>
          <w:p>
            <w:pPr>
              <w:pStyle w:val="Compact"/>
            </w:pPr>
            <w:r>
              <w:t xml:space="preserve">Eurozone sovereign distress</w:t>
            </w:r>
          </w:p>
        </w:tc>
        <w:tc>
          <w:tcPr/>
          <w:p>
            <w:pPr>
              <w:pStyle w:val="Compact"/>
            </w:pPr>
            <w:r>
              <w:t xml:space="preserve">↑/↓100 bps</w:t>
            </w:r>
          </w:p>
        </w:tc>
        <w:tc>
          <w:tcPr/>
          <w:p>
            <w:pPr>
              <w:pStyle w:val="Compact"/>
            </w:pPr>
            <w:r>
              <w:t xml:space="preserve">+200–400 bps</w:t>
            </w:r>
          </w:p>
        </w:tc>
        <w:tc>
          <w:tcPr/>
          <w:p>
            <w:pPr>
              <w:pStyle w:val="Compact"/>
            </w:pPr>
            <w:r>
              <w:t xml:space="preserve">↓20%</w:t>
            </w:r>
          </w:p>
        </w:tc>
        <w:tc>
          <w:tcPr/>
          <w:p>
            <w:pPr>
              <w:pStyle w:val="Compact"/>
            </w:pPr>
            <w:r>
              <w:t xml:space="preserve">ECB dialogue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FED_ADVERSE</w:t>
            </w:r>
          </w:p>
        </w:tc>
        <w:tc>
          <w:tcPr/>
          <w:p>
            <w:pPr>
              <w:pStyle w:val="Compact"/>
            </w:pPr>
            <w:r>
              <w:t xml:space="preserve">CCAR adverse scenario</w:t>
            </w:r>
          </w:p>
        </w:tc>
        <w:tc>
          <w:tcPr/>
          <w:p>
            <w:pPr>
              <w:pStyle w:val="Compact"/>
            </w:pPr>
            <w:r>
              <w:t xml:space="preserve">↓75 bps</w:t>
            </w:r>
          </w:p>
        </w:tc>
        <w:tc>
          <w:tcPr/>
          <w:p>
            <w:pPr>
              <w:pStyle w:val="Compact"/>
            </w:pPr>
            <w:r>
              <w:t xml:space="preserve">+100 bps</w:t>
            </w:r>
          </w:p>
        </w:tc>
        <w:tc>
          <w:tcPr/>
          <w:p>
            <w:pPr>
              <w:pStyle w:val="Compact"/>
            </w:pPr>
            <w:r>
              <w:t xml:space="preserve">↓20%</w:t>
            </w:r>
          </w:p>
        </w:tc>
        <w:tc>
          <w:tcPr/>
          <w:p>
            <w:pPr>
              <w:pStyle w:val="Compact"/>
            </w:pPr>
            <w:r>
              <w:t xml:space="preserve">Fed correspondence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FED_SEVERELY_ADVERSE</w:t>
            </w:r>
          </w:p>
        </w:tc>
        <w:tc>
          <w:tcPr/>
          <w:p>
            <w:pPr>
              <w:pStyle w:val="Compact"/>
            </w:pPr>
            <w:r>
              <w:t xml:space="preserve">CCAR severe scenario</w:t>
            </w:r>
          </w:p>
        </w:tc>
        <w:tc>
          <w:tcPr/>
          <w:p>
            <w:pPr>
              <w:pStyle w:val="Compact"/>
            </w:pPr>
            <w:r>
              <w:t xml:space="preserve">↓275 bps</w:t>
            </w:r>
          </w:p>
        </w:tc>
        <w:tc>
          <w:tcPr/>
          <w:p>
            <w:pPr>
              <w:pStyle w:val="Compact"/>
            </w:pPr>
            <w:r>
              <w:t xml:space="preserve">+200 bps</w:t>
            </w:r>
          </w:p>
        </w:tc>
        <w:tc>
          <w:tcPr/>
          <w:p>
            <w:pPr>
              <w:pStyle w:val="Compact"/>
            </w:pPr>
            <w:r>
              <w:t xml:space="preserve">↓50%</w:t>
            </w:r>
          </w:p>
        </w:tc>
        <w:tc>
          <w:tcPr/>
          <w:p>
            <w:pPr>
              <w:pStyle w:val="Compact"/>
            </w:pPr>
            <w:r>
              <w:t xml:space="preserve">Stress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HFL_2024</w:t>
            </w:r>
          </w:p>
        </w:tc>
        <w:tc>
          <w:tcPr/>
          <w:p>
            <w:pPr>
              <w:pStyle w:val="Compact"/>
            </w:pPr>
            <w:r>
              <w:t xml:space="preserve">Higher-for-longer rates</w:t>
            </w:r>
          </w:p>
        </w:tc>
        <w:tc>
          <w:tcPr/>
          <w:p>
            <w:pPr>
              <w:pStyle w:val="Compact"/>
            </w:pPr>
            <w:r>
              <w:t xml:space="preserve">Hold high</w:t>
            </w:r>
          </w:p>
        </w:tc>
        <w:tc>
          <w:tcPr/>
          <w:p>
            <w:pPr>
              <w:pStyle w:val="Compact"/>
            </w:pPr>
            <w:r>
              <w:t xml:space="preserve">+50 bps</w:t>
            </w:r>
          </w:p>
        </w:tc>
        <w:tc>
          <w:tcPr/>
          <w:p>
            <w:pPr>
              <w:pStyle w:val="Compact"/>
            </w:pPr>
            <w:r>
              <w:t xml:space="preserve">±5%</w:t>
            </w:r>
          </w:p>
        </w:tc>
        <w:tc>
          <w:tcPr/>
          <w:p>
            <w:pPr>
              <w:pStyle w:val="Compact"/>
            </w:pPr>
            <w:r>
              <w:t xml:space="preserve">Forward guidance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backend/scenarios/engine.py</w:t>
      </w:r>
      <w:r>
        <w:t xml:space="preserve"> </w:t>
      </w:r>
      <w:r>
        <w:t xml:space="preserve">(500 LOC)</w:t>
      </w:r>
    </w:p>
    <w:p>
      <w:pPr>
        <w:pStyle w:val="BodyText"/>
      </w:pPr>
      <w:r>
        <w:rPr>
          <w:b/>
          <w:bCs/>
        </w:rPr>
        <w:t xml:space="preserve">Execution:</w:t>
      </w:r>
      <w:r>
        <w:t xml:space="preserve"> </w:t>
      </w:r>
      <w:r>
        <w:t xml:space="preserve">&lt;5 seconds per scenario (all 6 in &lt;30 sec)</w:t>
      </w:r>
    </w:p>
    <w:bookmarkEnd w:id="103"/>
    <w:bookmarkStart w:id="104" w:name="greeks-sensitivities"/>
    <w:p>
      <w:pPr>
        <w:pStyle w:val="Heading3"/>
      </w:pPr>
      <w:r>
        <w:t xml:space="preserve">Greeks (Sensitivities)</w:t>
      </w:r>
    </w:p>
    <w:p>
      <w:pPr>
        <w:pStyle w:val="FirstParagraph"/>
      </w:pPr>
      <w:r>
        <w:rPr>
          <w:b/>
          <w:bCs/>
        </w:rPr>
        <w:t xml:space="preserve">4 A-IRB Parameter Greeks: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Greek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PD_Delta</w:t>
            </w:r>
          </w:p>
        </w:tc>
        <w:tc>
          <w:tcPr/>
          <w:p>
            <w:pPr>
              <w:pStyle w:val="Compact"/>
            </w:pPr>
            <w:r>
              <w:t xml:space="preserve">Probability of default</w:t>
            </w:r>
          </w:p>
        </w:tc>
        <w:tc>
          <w:tcPr/>
          <w:p>
            <w:pPr>
              <w:pStyle w:val="Compact"/>
            </w:pPr>
            <w:r>
              <w:t xml:space="preserve">±1%</w:t>
            </w:r>
          </w:p>
        </w:tc>
        <w:tc>
          <w:tcPr/>
          <w:p>
            <w:pPr>
              <w:pStyle w:val="Compact"/>
            </w:pPr>
            <w:r>
              <w:t xml:space="preserve">RWA change per 1% PD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LGD_Delta</w:t>
            </w:r>
          </w:p>
        </w:tc>
        <w:tc>
          <w:tcPr/>
          <w:p>
            <w:pPr>
              <w:pStyle w:val="Compact"/>
            </w:pPr>
            <w:r>
              <w:t xml:space="preserve">Loss given default</w:t>
            </w:r>
          </w:p>
        </w:tc>
        <w:tc>
          <w:tcPr/>
          <w:p>
            <w:pPr>
              <w:pStyle w:val="Compact"/>
            </w:pPr>
            <w:r>
              <w:t xml:space="preserve">±5%</w:t>
            </w:r>
          </w:p>
        </w:tc>
        <w:tc>
          <w:tcPr/>
          <w:p>
            <w:pPr>
              <w:pStyle w:val="Compact"/>
            </w:pPr>
            <w:r>
              <w:t xml:space="preserve">RWA change per 5% LGD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M_Delta</w:t>
            </w:r>
          </w:p>
        </w:tc>
        <w:tc>
          <w:tcPr/>
          <w:p>
            <w:pPr>
              <w:pStyle w:val="Compact"/>
            </w:pPr>
            <w:r>
              <w:t xml:space="preserve">Maturity</w:t>
            </w:r>
          </w:p>
        </w:tc>
        <w:tc>
          <w:tcPr/>
          <w:p>
            <w:pPr>
              <w:pStyle w:val="Compact"/>
            </w:pPr>
            <w:r>
              <w:t xml:space="preserve">±0.5Y</w:t>
            </w:r>
          </w:p>
        </w:tc>
        <w:tc>
          <w:tcPr/>
          <w:p>
            <w:pPr>
              <w:pStyle w:val="Compact"/>
            </w:pPr>
            <w:r>
              <w:t xml:space="preserve">RWA change per 0.5Y maturity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Correlation_Rho</w:t>
            </w:r>
          </w:p>
        </w:tc>
        <w:tc>
          <w:tcPr/>
          <w:p>
            <w:pPr>
              <w:pStyle w:val="Compact"/>
            </w:pPr>
            <w:r>
              <w:t xml:space="preserve">Asset correlation R</w:t>
            </w:r>
          </w:p>
        </w:tc>
        <w:tc>
          <w:tcPr/>
          <w:p>
            <w:pPr>
              <w:pStyle w:val="Compact"/>
            </w:pPr>
            <w:r>
              <w:t xml:space="preserve">±5%</w:t>
            </w:r>
          </w:p>
        </w:tc>
        <w:tc>
          <w:tcPr/>
          <w:p>
            <w:pPr>
              <w:pStyle w:val="Compact"/>
            </w:pPr>
            <w:r>
              <w:t xml:space="preserve">RWA change per 5% correlation shift</w:t>
            </w:r>
          </w:p>
        </w:tc>
      </w:tr>
    </w:tbl>
    <w:p>
      <w:pPr>
        <w:pStyle w:val="BodyText"/>
      </w:pPr>
      <w:r>
        <w:rPr>
          <w:b/>
          <w:bCs/>
        </w:rPr>
        <w:t xml:space="preserve">CVA Greeks: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Greek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Spread_Delta</w:t>
            </w:r>
          </w:p>
        </w:tc>
        <w:tc>
          <w:tcPr/>
          <w:p>
            <w:pPr>
              <w:pStyle w:val="Compact"/>
            </w:pPr>
            <w:r>
              <w:t xml:space="preserve">Credit spread</w:t>
            </w:r>
          </w:p>
        </w:tc>
        <w:tc>
          <w:tcPr/>
          <w:p>
            <w:pPr>
              <w:pStyle w:val="Compact"/>
            </w:pPr>
            <w:r>
              <w:t xml:space="preserve">±100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Rate_Delta</w:t>
            </w:r>
          </w:p>
        </w:tc>
        <w:tc>
          <w:tcPr/>
          <w:p>
            <w:pPr>
              <w:pStyle w:val="Compact"/>
            </w:pPr>
            <w:r>
              <w:t xml:space="preserve">Interest rates</w:t>
            </w:r>
          </w:p>
        </w:tc>
        <w:tc>
          <w:tcPr/>
          <w:p>
            <w:pPr>
              <w:pStyle w:val="Compact"/>
            </w:pPr>
            <w:r>
              <w:t xml:space="preserve">±25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FX_Delta</w:t>
            </w:r>
          </w:p>
        </w:tc>
        <w:tc>
          <w:tcPr/>
          <w:p>
            <w:pPr>
              <w:pStyle w:val="Compact"/>
            </w:pPr>
            <w:r>
              <w:t xml:space="preserve">FX rates</w:t>
            </w:r>
          </w:p>
        </w:tc>
        <w:tc>
          <w:tcPr/>
          <w:p>
            <w:pPr>
              <w:pStyle w:val="Compact"/>
            </w:pPr>
            <w:r>
              <w:t xml:space="preserve">±5%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Gamma</w:t>
            </w:r>
          </w:p>
        </w:tc>
        <w:tc>
          <w:tcPr/>
          <w:p>
            <w:pPr>
              <w:pStyle w:val="Compact"/>
            </w:pPr>
            <w:r>
              <w:t xml:space="preserve">2nd-order sensitivities</w:t>
            </w:r>
          </w:p>
        </w:tc>
        <w:tc>
          <w:tcPr/>
          <w:p>
            <w:pPr>
              <w:pStyle w:val="Compact"/>
            </w:pPr>
            <w:r>
              <w:t xml:space="preserve">Cross-risk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backend/sensitivities/__init__.py</w:t>
      </w:r>
      <w:r>
        <w:t xml:space="preserve"> </w:t>
      </w:r>
      <w:r>
        <w:t xml:space="preserve">(600 LOC)</w:t>
      </w:r>
    </w:p>
    <w:p>
      <w:pPr>
        <w:pStyle w:val="BodyText"/>
      </w:pPr>
      <w:r>
        <w:rPr>
          <w:b/>
          <w:bCs/>
        </w:rPr>
        <w:t xml:space="preserve">API Endpoint:</w:t>
      </w:r>
    </w:p>
    <w:p>
      <w:pPr>
        <w:pStyle w:val="SourceCode"/>
      </w:pPr>
      <w:r>
        <w:rPr>
          <w:rStyle w:val="VerbatimChar"/>
        </w:rPr>
        <w:t xml:space="preserve">GET /api/risk/greeks?run_date=2026-05-02&amp;risk_type=a_irb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"portfolio": "GLOBAL",</w:t>
      </w:r>
      <w:r>
        <w:br/>
      </w:r>
      <w:r>
        <w:rPr>
          <w:rStyle w:val="VerbatimChar"/>
        </w:rPr>
        <w:t xml:space="preserve">  "run_date": "2026-05-02",</w:t>
      </w:r>
      <w:r>
        <w:br/>
      </w:r>
      <w:r>
        <w:rPr>
          <w:rStyle w:val="VerbatimChar"/>
        </w:rPr>
        <w:t xml:space="preserve">  "greeks": {</w:t>
      </w:r>
      <w:r>
        <w:br/>
      </w:r>
      <w:r>
        <w:rPr>
          <w:rStyle w:val="VerbatimChar"/>
        </w:rPr>
        <w:t xml:space="preserve">    "pd_delta": 0.0875,  // 8.75% RWA per 1% PD shock</w:t>
      </w:r>
      <w:r>
        <w:br/>
      </w:r>
      <w:r>
        <w:rPr>
          <w:rStyle w:val="VerbatimChar"/>
        </w:rPr>
        <w:t xml:space="preserve">    "lgd_delta": 0.028,  // 2.8% RWA per 5% LGD shock</w:t>
      </w:r>
      <w:r>
        <w:br/>
      </w:r>
      <w:r>
        <w:rPr>
          <w:rStyle w:val="VerbatimChar"/>
        </w:rPr>
        <w:t xml:space="preserve">    "m_delta": 0.0055,   // 0.55% RWA per 0.5Y maturity</w:t>
      </w:r>
      <w:r>
        <w:br/>
      </w:r>
      <w:r>
        <w:rPr>
          <w:rStyle w:val="VerbatimChar"/>
        </w:rPr>
        <w:t xml:space="preserve">    "rho": 0.031         // 3.1% RWA per 5% correlation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1" w:name="section-4-implementation-roadmap-1"/>
    <w:p>
      <w:pPr>
        <w:pStyle w:val="Heading1"/>
      </w:pPr>
      <w:r>
        <w:t xml:space="preserve">SECTION 4: IMPLEMENTATION ROADMAP</w:t>
      </w:r>
    </w:p>
    <w:bookmarkStart w:id="107" w:name="timeline-milestones"/>
    <w:p>
      <w:pPr>
        <w:pStyle w:val="Heading2"/>
      </w:pPr>
      <w:r>
        <w:t xml:space="preserve">Timeline &amp; Milestones</w:t>
      </w:r>
    </w:p>
    <w:p>
      <w:pPr>
        <w:pStyle w:val="SourceCode"/>
      </w:pPr>
      <w:r>
        <w:rPr>
          <w:rStyle w:val="VerbatimChar"/>
        </w:rPr>
        <w:t xml:space="preserve">2026 TIMELINE</w:t>
      </w:r>
      <w:r>
        <w:br/>
      </w:r>
      <w:r>
        <w:br/>
      </w:r>
      <w:r>
        <w:rPr>
          <w:rStyle w:val="VerbatimChar"/>
        </w:rPr>
        <w:t xml:space="preserve">MAY</w:t>
      </w:r>
      <w:r>
        <w:br/>
      </w:r>
      <w:r>
        <w:rPr>
          <w:rStyle w:val="VerbatimChar"/>
        </w:rPr>
        <w:t xml:space="preserve">├─ MAY 1: Phase 2A documentation complete</w:t>
      </w:r>
      <w:r>
        <w:br/>
      </w:r>
      <w:r>
        <w:rPr>
          <w:rStyle w:val="VerbatimChar"/>
        </w:rPr>
        <w:t xml:space="preserve">├─ MAY 6: Phase 2A go-live (5 modules + tests)</w:t>
      </w:r>
      <w:r>
        <w:br/>
      </w:r>
      <w:r>
        <w:rPr>
          <w:rStyle w:val="VerbatimChar"/>
        </w:rPr>
        <w:t xml:space="preserve">├─ MAY 13: Steering committee approval (Gate 1)</w:t>
      </w:r>
      <w:r>
        <w:br/>
      </w:r>
      <w:r>
        <w:rPr>
          <w:rStyle w:val="VerbatimChar"/>
        </w:rPr>
        <w:t xml:space="preserve">└─ MAY 20: Development sprint begins</w:t>
      </w:r>
      <w:r>
        <w:br/>
      </w:r>
      <w:r>
        <w:br/>
      </w:r>
      <w:r>
        <w:rPr>
          <w:rStyle w:val="VerbatimChar"/>
        </w:rPr>
        <w:t xml:space="preserve">JUNE</w:t>
      </w:r>
      <w:r>
        <w:br/>
      </w:r>
      <w:r>
        <w:rPr>
          <w:rStyle w:val="VerbatimChar"/>
        </w:rPr>
        <w:t xml:space="preserve">├─ Weekly steering updates</w:t>
      </w:r>
      <w:r>
        <w:br/>
      </w:r>
      <w:r>
        <w:rPr>
          <w:rStyle w:val="VerbatimChar"/>
        </w:rPr>
        <w:t xml:space="preserve">└─ Phase 2A operational monitoring</w:t>
      </w:r>
      <w:r>
        <w:br/>
      </w:r>
      <w:r>
        <w:br/>
      </w:r>
      <w:r>
        <w:rPr>
          <w:rStyle w:val="VerbatimChar"/>
        </w:rPr>
        <w:t xml:space="preserve">JULY</w:t>
      </w:r>
      <w:r>
        <w:br/>
      </w:r>
      <w:r>
        <w:rPr>
          <w:rStyle w:val="VerbatimChar"/>
        </w:rPr>
        <w:t xml:space="preserve">├─ Code review &amp; optimization</w:t>
      </w:r>
      <w:r>
        <w:br/>
      </w:r>
      <w:r>
        <w:rPr>
          <w:rStyle w:val="VerbatimChar"/>
        </w:rPr>
        <w:t xml:space="preserve">└─ Prepare Phase 2B calibration data</w:t>
      </w:r>
      <w:r>
        <w:br/>
      </w:r>
      <w:r>
        <w:br/>
      </w:r>
      <w:r>
        <w:rPr>
          <w:rStyle w:val="VerbatimChar"/>
        </w:rPr>
        <w:t xml:space="preserve">AUGUST</w:t>
      </w:r>
      <w:r>
        <w:br/>
      </w:r>
      <w:r>
        <w:rPr>
          <w:rStyle w:val="VerbatimChar"/>
        </w:rPr>
        <w:t xml:space="preserve">├─ AUG 1: Gate 2 review (Phase 2A complete)</w:t>
      </w:r>
      <w:r>
        <w:br/>
      </w:r>
      <w:r>
        <w:rPr>
          <w:rStyle w:val="VerbatimChar"/>
        </w:rPr>
        <w:t xml:space="preserve">├─ AUG 5: Phase 2B development spike</w:t>
      </w:r>
      <w:r>
        <w:br/>
      </w:r>
      <w:r>
        <w:rPr>
          <w:rStyle w:val="VerbatimChar"/>
        </w:rPr>
        <w:t xml:space="preserve">└─ AUG 15: Phase 2B engineering begins</w:t>
      </w:r>
      <w:r>
        <w:br/>
      </w:r>
      <w:r>
        <w:br/>
      </w:r>
      <w:r>
        <w:rPr>
          <w:rStyle w:val="VerbatimChar"/>
        </w:rPr>
        <w:t xml:space="preserve">SEPTEMBER</w:t>
      </w:r>
      <w:r>
        <w:br/>
      </w:r>
      <w:r>
        <w:rPr>
          <w:rStyle w:val="VerbatimChar"/>
        </w:rPr>
        <w:t xml:space="preserve">├─ ESG calibration (detailed)</w:t>
      </w:r>
      <w:r>
        <w:br/>
      </w:r>
      <w:r>
        <w:rPr>
          <w:rStyle w:val="VerbatimChar"/>
        </w:rPr>
        <w:t xml:space="preserve">├─ Correlation refinement</w:t>
      </w:r>
      <w:r>
        <w:br/>
      </w:r>
      <w:r>
        <w:rPr>
          <w:rStyle w:val="VerbatimChar"/>
        </w:rPr>
        <w:t xml:space="preserve">└─ Scenario optimization</w:t>
      </w:r>
      <w:r>
        <w:br/>
      </w:r>
      <w:r>
        <w:br/>
      </w:r>
      <w:r>
        <w:rPr>
          <w:rStyle w:val="VerbatimChar"/>
        </w:rPr>
        <w:t xml:space="preserve">OCTOBER</w:t>
      </w:r>
      <w:r>
        <w:br/>
      </w:r>
      <w:r>
        <w:rPr>
          <w:rStyle w:val="VerbatimChar"/>
        </w:rPr>
        <w:t xml:space="preserve">├─ Shadow run (Phase 2B)</w:t>
      </w:r>
      <w:r>
        <w:br/>
      </w:r>
      <w:r>
        <w:rPr>
          <w:rStyle w:val="VerbatimChar"/>
        </w:rPr>
        <w:t xml:space="preserve">└─ Parallel testing</w:t>
      </w:r>
      <w:r>
        <w:br/>
      </w:r>
      <w:r>
        <w:br/>
      </w:r>
      <w:r>
        <w:rPr>
          <w:rStyle w:val="VerbatimChar"/>
        </w:rPr>
        <w:t xml:space="preserve">NOVEMBER</w:t>
      </w:r>
      <w:r>
        <w:br/>
      </w:r>
      <w:r>
        <w:rPr>
          <w:rStyle w:val="VerbatimChar"/>
        </w:rPr>
        <w:t xml:space="preserve">├─ Tuning &amp; optimization</w:t>
      </w:r>
      <w:r>
        <w:br/>
      </w:r>
      <w:r>
        <w:rPr>
          <w:rStyle w:val="VerbatimChar"/>
        </w:rPr>
        <w:t xml:space="preserve">└─ Documentation finalization</w:t>
      </w:r>
      <w:r>
        <w:br/>
      </w:r>
      <w:r>
        <w:br/>
      </w:r>
      <w:r>
        <w:rPr>
          <w:rStyle w:val="VerbatimChar"/>
        </w:rPr>
        <w:t xml:space="preserve">DECEMBER</w:t>
      </w:r>
      <w:r>
        <w:br/>
      </w:r>
      <w:r>
        <w:rPr>
          <w:rStyle w:val="VerbatimChar"/>
        </w:rPr>
        <w:t xml:space="preserve">├─ Final testing &amp; sign-off</w:t>
      </w:r>
      <w:r>
        <w:br/>
      </w:r>
      <w:r>
        <w:rPr>
          <w:rStyle w:val="VerbatimChar"/>
        </w:rPr>
        <w:t xml:space="preserve">└─ Preparation for go-live</w:t>
      </w:r>
      <w:r>
        <w:br/>
      </w:r>
      <w:r>
        <w:br/>
      </w:r>
      <w:r>
        <w:rPr>
          <w:rStyle w:val="VerbatimChar"/>
        </w:rPr>
        <w:t xml:space="preserve">JANUARY 2027</w:t>
      </w:r>
      <w:r>
        <w:br/>
      </w:r>
      <w:r>
        <w:rPr>
          <w:rStyle w:val="VerbatimChar"/>
        </w:rPr>
        <w:t xml:space="preserve">├─ JAN 15: Phase 2 production deployment</w:t>
      </w:r>
      <w:r>
        <w:br/>
      </w:r>
      <w:r>
        <w:rPr>
          <w:rStyle w:val="VerbatimChar"/>
        </w:rPr>
        <w:t xml:space="preserve">├─ JAN 22: Capital relief activation</w:t>
      </w:r>
      <w:r>
        <w:br/>
      </w:r>
      <w:r>
        <w:rPr>
          <w:rStyle w:val="VerbatimChar"/>
        </w:rPr>
        <w:t xml:space="preserve">└─ JAN 29: Regulatory briefing (if needed)</w:t>
      </w:r>
      <w:r>
        <w:br/>
      </w:r>
      <w:r>
        <w:br/>
      </w:r>
      <w:r>
        <w:rPr>
          <w:rStyle w:val="VerbatimChar"/>
        </w:rPr>
        <w:t xml:space="preserve">FEBRUARY–MAY 2027</w:t>
      </w:r>
      <w:r>
        <w:br/>
      </w:r>
      <w:r>
        <w:rPr>
          <w:rStyle w:val="VerbatimChar"/>
        </w:rPr>
        <w:t xml:space="preserve">└─ Operational excellence + Q2 exam prep</w:t>
      </w:r>
    </w:p>
    <w:bookmarkEnd w:id="107"/>
    <w:bookmarkStart w:id="108" w:name="resource-budget-plan"/>
    <w:p>
      <w:pPr>
        <w:pStyle w:val="Heading2"/>
      </w:pPr>
      <w:r>
        <w:t xml:space="preserve">Resource &amp; Budget Plan</w:t>
      </w:r>
    </w:p>
    <w:p>
      <w:pPr>
        <w:pStyle w:val="FirstParagraph"/>
      </w:pPr>
      <w:r>
        <w:rPr>
          <w:b/>
          <w:bCs/>
        </w:rPr>
        <w:t xml:space="preserve">Phase 2A (May–Aug):</w:t>
      </w:r>
      <w:r>
        <w:t xml:space="preserve"> </w:t>
      </w:r>
      <w:r>
        <w:t xml:space="preserve">- Budget: $56,300</w:t>
      </w:r>
      <w:r>
        <w:t xml:space="preserve"> </w:t>
      </w:r>
      <w:r>
        <w:t xml:space="preserve">- Duration: 16 weeks (May 6 → Aug 1)</w:t>
      </w:r>
      <w:r>
        <w:t xml:space="preserve"> </w:t>
      </w:r>
      <w:r>
        <w:t xml:space="preserve">- Team: 1.0 FTE (senior quant engineer)</w:t>
      </w:r>
      <w:r>
        <w:t xml:space="preserve"> </w:t>
      </w:r>
      <w:r>
        <w:t xml:space="preserve">- Effort: 320 hours</w:t>
      </w:r>
    </w:p>
    <w:p>
      <w:pPr>
        <w:pStyle w:val="BodyText"/>
      </w:pPr>
      <w:r>
        <w:rPr>
          <w:b/>
          <w:bCs/>
        </w:rPr>
        <w:t xml:space="preserve">Phase 2B (Aug–Jan):</w:t>
      </w:r>
      <w:r>
        <w:t xml:space="preserve"> </w:t>
      </w:r>
      <w:r>
        <w:t xml:space="preserve">- Budget: $78,500 (estimated)</w:t>
      </w:r>
      <w:r>
        <w:t xml:space="preserve"> </w:t>
      </w:r>
      <w:r>
        <w:t xml:space="preserve">- Duration: 22 weeks (Aug 5 → Jan 15)</w:t>
      </w:r>
      <w:r>
        <w:t xml:space="preserve"> </w:t>
      </w:r>
      <w:r>
        <w:t xml:space="preserve">- Team: 1.2 FTE (quant + data engineer)</w:t>
      </w:r>
      <w:r>
        <w:t xml:space="preserve"> </w:t>
      </w:r>
      <w:r>
        <w:t xml:space="preserve">- Effort: 440 hours</w:t>
      </w:r>
    </w:p>
    <w:p>
      <w:pPr>
        <w:pStyle w:val="BodyText"/>
      </w:pPr>
      <w:r>
        <w:rPr>
          <w:b/>
          <w:bCs/>
        </w:rPr>
        <w:t xml:space="preserve">Total Phase 2 (May 2026–Jan 2027):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$134,800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38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Availability:</w:t>
      </w:r>
      <w:r>
        <w:t xml:space="preserve"> </w:t>
      </w:r>
      <w:r>
        <w:t xml:space="preserve">2.2 FTE-years cumulative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5-Year NPV:</w:t>
      </w:r>
      <w:r>
        <w:t xml:space="preserve"> </w:t>
      </w:r>
      <w:r>
        <w:t xml:space="preserve">$14.3M (50–100 bps capital relief)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</w:t>
      </w:r>
      <w:r>
        <w:t xml:space="preserve"> </w:t>
      </w:r>
      <w:r>
        <w:t xml:space="preserve">7.1 days</w:t>
      </w:r>
    </w:p>
    <w:bookmarkEnd w:id="108"/>
    <w:bookmarkStart w:id="109" w:name="success-metrics-kpis"/>
    <w:p>
      <w:pPr>
        <w:pStyle w:val="Heading2"/>
      </w:pPr>
      <w:r>
        <w:t xml:space="preserve">Success Metrics &amp; KPI’s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Phase 2A Target</w:t>
            </w:r>
          </w:p>
        </w:tc>
        <w:tc>
          <w:tcPr/>
          <w:p>
            <w:pPr>
              <w:pStyle w:val="Compact"/>
            </w:pPr>
            <w:r>
              <w:t xml:space="preserve">Phase 2B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RWA Traceability</w:t>
            </w:r>
          </w:p>
        </w:tc>
        <w:tc>
          <w:tcPr/>
          <w:p>
            <w:pPr>
              <w:pStyle w:val="Compact"/>
            </w:pPr>
            <w:r>
              <w:t xml:space="preserve">95%+ calculations traceable</w:t>
            </w:r>
          </w:p>
        </w:tc>
        <w:tc>
          <w:tcPr/>
          <w:p>
            <w:pPr>
              <w:pStyle w:val="Compact"/>
            </w:pPr>
            <w:r>
              <w:t xml:space="preserve">100% (all obligors)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Checkpoints</w:t>
            </w:r>
          </w:p>
        </w:tc>
        <w:tc>
          <w:tcPr/>
          <w:p>
            <w:pPr>
              <w:pStyle w:val="Compact"/>
            </w:pPr>
            <w:r>
              <w:t xml:space="preserve">5 automated (VC-01–05)</w:t>
            </w:r>
          </w:p>
        </w:tc>
        <w:tc>
          <w:tcPr/>
          <w:p>
            <w:pPr>
              <w:pStyle w:val="Compact"/>
            </w:pPr>
            <w:r>
              <w:t xml:space="preserve">100% daily pass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Score</w:t>
            </w:r>
          </w:p>
        </w:tc>
        <w:tc>
          <w:tcPr/>
          <w:p>
            <w:pPr>
              <w:pStyle w:val="Compact"/>
            </w:pPr>
            <w:r>
              <w:t xml:space="preserve">≥90% daily</w:t>
            </w:r>
          </w:p>
        </w:tc>
        <w:tc>
          <w:tcPr/>
          <w:p>
            <w:pPr>
              <w:pStyle w:val="Compact"/>
            </w:pPr>
            <w:r>
              <w:t xml:space="preserve">≥95%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 Engine Drill-Down</w:t>
            </w:r>
          </w:p>
        </w:tc>
        <w:tc>
          <w:tcPr/>
          <w:p>
            <w:pPr>
              <w:pStyle w:val="Compact"/>
            </w:pPr>
            <w:r>
              <w:t xml:space="preserve">Formula-level capability</w:t>
            </w:r>
          </w:p>
        </w:tc>
        <w:tc>
          <w:tcPr/>
          <w:p>
            <w:pPr>
              <w:pStyle w:val="Compact"/>
            </w:pPr>
            <w:r>
              <w:t xml:space="preserve">Instant &lt;100ms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Execution</w:t>
            </w:r>
          </w:p>
        </w:tc>
        <w:tc>
          <w:tcPr/>
          <w:p>
            <w:pPr>
              <w:pStyle w:val="Compact"/>
            </w:pPr>
            <w:r>
              <w:t xml:space="preserve">6 scenarios in &lt;30 sec</w:t>
            </w:r>
          </w:p>
        </w:tc>
        <w:tc>
          <w:tcPr/>
          <w:p>
            <w:pPr>
              <w:pStyle w:val="Compact"/>
            </w:pPr>
            <w:r>
              <w:t xml:space="preserve">&lt;15 sec (optimization phase 2C)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Greeks Accuracy</w:t>
            </w:r>
          </w:p>
        </w:tc>
        <w:tc>
          <w:tcPr/>
          <w:p>
            <w:pPr>
              <w:pStyle w:val="Compact"/>
            </w:pPr>
            <w:r>
              <w:t xml:space="preserve">±2% vs. analytical</w:t>
            </w:r>
          </w:p>
        </w:tc>
        <w:tc>
          <w:tcPr/>
          <w:p>
            <w:pPr>
              <w:pStyle w:val="Compact"/>
            </w:pPr>
            <w:r>
              <w:t xml:space="preserve">±1% vs. analytical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Relief</w:t>
            </w:r>
          </w:p>
        </w:tc>
        <w:tc>
          <w:tcPr/>
          <w:p>
            <w:pPr>
              <w:pStyle w:val="Compact"/>
            </w:pPr>
            <w:r>
              <w:t xml:space="preserve">Framework ready</w:t>
            </w:r>
          </w:p>
        </w:tc>
        <w:tc>
          <w:tcPr/>
          <w:p>
            <w:pPr>
              <w:pStyle w:val="Compact"/>
            </w:pPr>
            <w:r>
              <w:t xml:space="preserve">50–100 bps 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 Readiness</w:t>
            </w:r>
          </w:p>
        </w:tc>
        <w:tc>
          <w:tcPr/>
          <w:p>
            <w:pPr>
              <w:pStyle w:val="Compact"/>
            </w:pPr>
            <w:r>
              <w:t xml:space="preserve">Q1 2027 prep</w:t>
            </w:r>
          </w:p>
        </w:tc>
        <w:tc>
          <w:tcPr/>
          <w:p>
            <w:pPr>
              <w:pStyle w:val="Compact"/>
            </w:pPr>
            <w:r>
              <w:t xml:space="preserve">Q2 2027 exam-ready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90%+ test coverage</w:t>
            </w:r>
          </w:p>
        </w:tc>
        <w:tc>
          <w:tcPr/>
          <w:p>
            <w:pPr>
              <w:pStyle w:val="Compact"/>
            </w:pPr>
            <w:r>
              <w:t xml:space="preserve">95%+ test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&lt;5 min daily run</w:t>
            </w:r>
          </w:p>
        </w:tc>
        <w:tc>
          <w:tcPr/>
          <w:p>
            <w:pPr>
              <w:pStyle w:val="Compact"/>
            </w:pPr>
            <w:r>
              <w:t xml:space="preserve">&lt;3 min daily run</w:t>
            </w:r>
          </w:p>
        </w:tc>
      </w:tr>
    </w:tbl>
    <w:bookmarkEnd w:id="109"/>
    <w:bookmarkStart w:id="110" w:name="risk-mitigation-strategy"/>
    <w:p>
      <w:pPr>
        <w:pStyle w:val="Heading2"/>
      </w:pPr>
      <w:r>
        <w:t xml:space="preserve">Risk Mitigation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 data unavailable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conservative assumptions; Phase 2B detailed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 pulled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CRO commits 1.0 FTE protection in 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Weekly gates enforce priorities; parking lot for 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Greeks complexity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Fallback to simplified Greeks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slip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Buffer: 10 days built into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feedback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Pre-engagement with ECB/EBA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2-week integration testing buffer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21" w:name="section-5-technical-architecture-1"/>
    <w:p>
      <w:pPr>
        <w:pStyle w:val="Heading1"/>
      </w:pPr>
      <w:r>
        <w:t xml:space="preserve">SECTION 5: TECHNICAL ARCHITECTURE</w:t>
      </w:r>
    </w:p>
    <w:bookmarkStart w:id="112" w:name="system-architecture-7-layer-model"/>
    <w:p>
      <w:pPr>
        <w:pStyle w:val="Heading2"/>
      </w:pPr>
      <w:r>
        <w:t xml:space="preserve">System Architecture (7-Layer Model)</w:t>
      </w:r>
    </w:p>
    <w:p>
      <w:pPr>
        <w:pStyle w:val="FirstParagraph"/>
      </w:pPr>
      <w:r>
        <w:t xml:space="preserve">[Refer to System Architecture section 0 for diagram]</w:t>
      </w:r>
    </w:p>
    <w:p>
      <w:pPr>
        <w:pStyle w:val="BodyText"/>
      </w:pPr>
      <w:r>
        <w:rPr>
          <w:b/>
          <w:bCs/>
        </w:rPr>
        <w:t xml:space="preserve">Layer Interactions:</w:t>
      </w:r>
    </w:p>
    <w:p>
      <w:pPr>
        <w:pStyle w:val="SourceCode"/>
      </w:pPr>
      <w:r>
        <w:rPr>
          <w:rStyle w:val="VerbatimChar"/>
        </w:rPr>
        <w:t xml:space="preserve">User Request (Layer 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Orchestrator Receives (Layer 2)</w:t>
      </w:r>
      <w:r>
        <w:br/>
      </w:r>
      <w:r>
        <w:rPr>
          <w:rStyle w:val="VerbatimChar"/>
        </w:rPr>
        <w:t xml:space="preserve">    ├─&gt; Load market data (Layer 6)</w:t>
      </w:r>
      <w:r>
        <w:br/>
      </w:r>
      <w:r>
        <w:rPr>
          <w:rStyle w:val="VerbatimChar"/>
        </w:rPr>
        <w:t xml:space="preserve">    ├─&gt; Execute engines in parallel (Layer 3)</w:t>
      </w:r>
      <w:r>
        <w:br/>
      </w:r>
      <w:r>
        <w:rPr>
          <w:rStyle w:val="VerbatimChar"/>
        </w:rPr>
        <w:t xml:space="preserve">    │   ├─ A-IRB: Credit RWA</w:t>
      </w:r>
      <w:r>
        <w:br/>
      </w:r>
      <w:r>
        <w:rPr>
          <w:rStyle w:val="VerbatimChar"/>
        </w:rPr>
        <w:t xml:space="preserve">    │   ├─ CVA: CVA RWA</w:t>
      </w:r>
      <w:r>
        <w:br/>
      </w:r>
      <w:r>
        <w:rPr>
          <w:rStyle w:val="VerbatimChar"/>
        </w:rPr>
        <w:t xml:space="preserve">    │   ├─ FRTB: Market RWA</w:t>
      </w:r>
      <w:r>
        <w:br/>
      </w:r>
      <w:r>
        <w:rPr>
          <w:rStyle w:val="VerbatimChar"/>
        </w:rPr>
        <w:t xml:space="preserve">    │   ├─ SA-CCR/IMM: CCR RWA</w:t>
      </w:r>
      <w:r>
        <w:br/>
      </w:r>
      <w:r>
        <w:rPr>
          <w:rStyle w:val="VerbatimChar"/>
        </w:rPr>
        <w:t xml:space="preserve">    │   ├─ CCP: CCP RWA</w:t>
      </w:r>
      <w:r>
        <w:br/>
      </w:r>
      <w:r>
        <w:rPr>
          <w:rStyle w:val="VerbatimChar"/>
        </w:rPr>
        <w:t xml:space="preserve">    │   └─ Op Risk: Op RWA</w:t>
      </w:r>
      <w:r>
        <w:br/>
      </w:r>
      <w:r>
        <w:rPr>
          <w:rStyle w:val="VerbatimChar"/>
        </w:rPr>
        <w:t xml:space="preserve">    ├─&gt; Apply support layers (Layer 4)</w:t>
      </w:r>
      <w:r>
        <w:br/>
      </w:r>
      <w:r>
        <w:rPr>
          <w:rStyle w:val="VerbatimChar"/>
        </w:rPr>
        <w:t xml:space="preserve">    │   ├─ Output floor</w:t>
      </w:r>
      <w:r>
        <w:br/>
      </w:r>
      <w:r>
        <w:rPr>
          <w:rStyle w:val="VerbatimChar"/>
        </w:rPr>
        <w:t xml:space="preserve">    │   ├─ ESG adjustment</w:t>
      </w:r>
      <w:r>
        <w:br/>
      </w:r>
      <w:r>
        <w:rPr>
          <w:rStyle w:val="VerbatimChar"/>
        </w:rPr>
        <w:t xml:space="preserve">    │   ├─&gt; Data quality check</w:t>
      </w:r>
      <w:r>
        <w:br/>
      </w:r>
      <w:r>
        <w:rPr>
          <w:rStyle w:val="VerbatimChar"/>
        </w:rPr>
        <w:t xml:space="preserve">    │   ├─ Governance checks</w:t>
      </w:r>
      <w:r>
        <w:br/>
      </w:r>
      <w:r>
        <w:rPr>
          <w:rStyle w:val="VerbatimChar"/>
        </w:rPr>
        <w:t xml:space="preserve">    │   └─ Trace engine</w:t>
      </w:r>
      <w:r>
        <w:br/>
      </w:r>
      <w:r>
        <w:rPr>
          <w:rStyle w:val="VerbatimChar"/>
        </w:rPr>
        <w:t xml:space="preserve">    ├─&gt; Analytics (Layer 5)</w:t>
      </w:r>
      <w:r>
        <w:br/>
      </w:r>
      <w:r>
        <w:rPr>
          <w:rStyle w:val="VerbatimChar"/>
        </w:rPr>
        <w:t xml:space="preserve">    │   ├─ Scenarios (6 runs)</w:t>
      </w:r>
      <w:r>
        <w:br/>
      </w:r>
      <w:r>
        <w:rPr>
          <w:rStyle w:val="VerbatimChar"/>
        </w:rPr>
        <w:t xml:space="preserve">    │   └─ Greeks</w:t>
      </w:r>
      <w:r>
        <w:br/>
      </w:r>
      <w:r>
        <w:rPr>
          <w:rStyle w:val="VerbatimChar"/>
        </w:rPr>
        <w:t xml:space="preserve">    ├─&gt; Output (Layer 7)</w:t>
      </w:r>
      <w:r>
        <w:br/>
      </w:r>
      <w:r>
        <w:rPr>
          <w:rStyle w:val="VerbatimChar"/>
        </w:rPr>
        <w:t xml:space="preserve">    │   ├─ Reports</w:t>
      </w:r>
      <w:r>
        <w:br/>
      </w:r>
      <w:r>
        <w:rPr>
          <w:rStyle w:val="VerbatimChar"/>
        </w:rPr>
        <w:t xml:space="preserve">    │   └─ 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 to User</w:t>
      </w:r>
    </w:p>
    <w:p>
      <w:pPr>
        <w:pStyle w:val="FirstParagraph"/>
      </w:pPr>
      <w:r>
        <w:rPr>
          <w:b/>
          <w:bCs/>
        </w:rPr>
        <w:t xml:space="preserve">Execution Time:</w:t>
      </w:r>
      <w:r>
        <w:t xml:space="preserve"> </w:t>
      </w:r>
      <w:r>
        <w:t xml:space="preserve">&lt;10 minutes for full portfolio</w:t>
      </w:r>
    </w:p>
    <w:p>
      <w:r>
        <w:pict>
          <v:rect style="width:0;height:1.5pt" o:hralign="center" o:hrstd="t" o:hr="t"/>
        </w:pict>
      </w:r>
    </w:p>
    <w:bookmarkEnd w:id="112"/>
    <w:bookmarkStart w:id="113" w:name="data-flow-risk-run-pipeline"/>
    <w:p>
      <w:pPr>
        <w:pStyle w:val="Heading2"/>
      </w:pPr>
      <w:r>
        <w:t xml:space="preserve">Data Flow &amp; Risk Run Pipeline</w:t>
      </w:r>
    </w:p>
    <w:p>
      <w:pPr>
        <w:pStyle w:val="FirstParagraph"/>
      </w:pPr>
      <w:r>
        <w:rPr>
          <w:b/>
          <w:bCs/>
        </w:rPr>
        <w:t xml:space="preserve">8-Step Risk Run Process:</w:t>
      </w:r>
    </w:p>
    <w:p>
      <w:pPr>
        <w:pStyle w:val="SourceCode"/>
      </w:pPr>
      <w:r>
        <w:rPr>
          <w:rStyle w:val="VerbatimChar"/>
        </w:rPr>
        <w:t xml:space="preserve">STEP 1: INITIALIZATION (6:00 AM)</w:t>
      </w:r>
      <w:r>
        <w:br/>
      </w:r>
      <w:r>
        <w:rPr>
          <w:rStyle w:val="VerbatimChar"/>
        </w:rPr>
        <w:t xml:space="preserve">  • Load obligor master (bank name, sector, rating, PD, LGD)</w:t>
      </w:r>
      <w:r>
        <w:br/>
      </w:r>
      <w:r>
        <w:rPr>
          <w:rStyle w:val="VerbatimChar"/>
        </w:rPr>
        <w:t xml:space="preserve">  • Load trades (counterparty, notional, MTM, rates, vol)</w:t>
      </w:r>
      <w:r>
        <w:br/>
      </w:r>
      <w:r>
        <w:rPr>
          <w:rStyle w:val="VerbatimChar"/>
        </w:rPr>
        <w:t xml:space="preserve">  • Load market data (curves, spreads, equity prices)</w:t>
      </w:r>
      <w:r>
        <w:br/>
      </w:r>
      <w:r>
        <w:rPr>
          <w:rStyle w:val="VerbatimChar"/>
        </w:rPr>
        <w:t xml:space="preserve">  • Check data quality (gate VC-05)</w:t>
      </w:r>
      <w:r>
        <w:br/>
      </w:r>
      <w:r>
        <w:rPr>
          <w:rStyle w:val="VerbatimChar"/>
        </w:rPr>
        <w:t xml:space="preserve">  ✅ If green: Proceed; if red: Stop &amp; escalate</w:t>
      </w:r>
      <w:r>
        <w:br/>
      </w:r>
      <w:r>
        <w:br/>
      </w:r>
      <w:r>
        <w:rPr>
          <w:rStyle w:val="VerbatimChar"/>
        </w:rPr>
        <w:t xml:space="preserve">STEP 2: ENGINE PREPARATION (6:01 AM)</w:t>
      </w:r>
      <w:r>
        <w:br/>
      </w:r>
      <w:r>
        <w:rPr>
          <w:rStyle w:val="VerbatimChar"/>
        </w:rPr>
        <w:t xml:space="preserve">  • Parse PD term structure</w:t>
      </w:r>
      <w:r>
        <w:br/>
      </w:r>
      <w:r>
        <w:rPr>
          <w:rStyle w:val="VerbatimChar"/>
        </w:rPr>
        <w:t xml:space="preserve">  • Calibrate correlation curves</w:t>
      </w:r>
      <w:r>
        <w:br/>
      </w:r>
      <w:r>
        <w:rPr>
          <w:rStyle w:val="VerbatimChar"/>
        </w:rPr>
        <w:t xml:space="preserve">  • Load scenario parameters</w:t>
      </w:r>
      <w:r>
        <w:br/>
      </w:r>
      <w:r>
        <w:rPr>
          <w:rStyle w:val="VerbatimChar"/>
        </w:rPr>
        <w:t xml:space="preserve">  • Initialize trace engine</w:t>
      </w:r>
      <w:r>
        <w:br/>
      </w:r>
      <w:r>
        <w:br/>
      </w:r>
      <w:r>
        <w:rPr>
          <w:rStyle w:val="VerbatimChar"/>
        </w:rPr>
        <w:t xml:space="preserve">STEP 3: CORE ENGINE EXECUTION (6:02 AM)</w:t>
      </w:r>
      <w:r>
        <w:br/>
      </w:r>
      <w:r>
        <w:rPr>
          <w:rStyle w:val="VerbatimChar"/>
        </w:rPr>
        <w:t xml:space="preserve">  In Parallel:</w:t>
      </w:r>
      <w:r>
        <w:br/>
      </w:r>
      <w:r>
        <w:rPr>
          <w:rStyle w:val="VerbatimChar"/>
        </w:rPr>
        <w:t xml:space="preserve">    • A-IRB: Compute banking book RWA</w:t>
      </w:r>
      <w:r>
        <w:br/>
      </w:r>
      <w:r>
        <w:rPr>
          <w:rStyle w:val="VerbatimChar"/>
        </w:rPr>
        <w:t xml:space="preserve">    • CVA: Compute CVA risk RWA</w:t>
      </w:r>
      <w:r>
        <w:br/>
      </w:r>
      <w:r>
        <w:rPr>
          <w:rStyle w:val="VerbatimChar"/>
        </w:rPr>
        <w:t xml:space="preserve">    • FRTB: Compute market risk RWA</w:t>
      </w:r>
      <w:r>
        <w:br/>
      </w:r>
      <w:r>
        <w:rPr>
          <w:rStyle w:val="VerbatimChar"/>
        </w:rPr>
        <w:t xml:space="preserve">    • SA-CCR: Compute CCR RWA</w:t>
      </w:r>
      <w:r>
        <w:br/>
      </w:r>
      <w:r>
        <w:rPr>
          <w:rStyle w:val="VerbatimChar"/>
        </w:rPr>
        <w:t xml:space="preserve">    • IMM: Compute EEPE (if applicable)</w:t>
      </w:r>
      <w:r>
        <w:br/>
      </w:r>
      <w:r>
        <w:rPr>
          <w:rStyle w:val="VerbatimChar"/>
        </w:rPr>
        <w:t xml:space="preserve">    • CCP: Compute CCP RWA</w:t>
      </w:r>
      <w:r>
        <w:br/>
      </w:r>
      <w:r>
        <w:rPr>
          <w:rStyle w:val="VerbatimChar"/>
        </w:rPr>
        <w:t xml:space="preserve">    • Op Risk: Compute op risk RWA</w:t>
      </w:r>
      <w:r>
        <w:br/>
      </w:r>
      <w:r>
        <w:rPr>
          <w:rStyle w:val="VerbatimChar"/>
        </w:rPr>
        <w:t xml:space="preserve">  ✅ All complete &lt;2 min</w:t>
      </w:r>
      <w:r>
        <w:br/>
      </w:r>
      <w:r>
        <w:br/>
      </w:r>
      <w:r>
        <w:rPr>
          <w:rStyle w:val="VerbatimChar"/>
        </w:rPr>
        <w:t xml:space="preserve">STEP 4: LAYER 4 — SUPPORT ENHANCEMENTS (6:04 AM)</w:t>
      </w:r>
      <w:r>
        <w:br/>
      </w:r>
      <w:r>
        <w:rPr>
          <w:rStyle w:val="VerbatimChar"/>
        </w:rPr>
        <w:t xml:space="preserve">  • Apply ESG/Climate adjustment (FR-013)</w:t>
      </w:r>
      <w:r>
        <w:br/>
      </w:r>
      <w:r>
        <w:rPr>
          <w:rStyle w:val="VerbatimChar"/>
        </w:rPr>
        <w:t xml:space="preserve">  • Compute output floor (FR-012)</w:t>
      </w:r>
      <w:r>
        <w:br/>
      </w:r>
      <w:r>
        <w:rPr>
          <w:rStyle w:val="VerbatimChar"/>
        </w:rPr>
        <w:t xml:space="preserve">  • Run governance checks (FR-015)</w:t>
      </w:r>
      <w:r>
        <w:br/>
      </w:r>
      <w:r>
        <w:rPr>
          <w:rStyle w:val="VerbatimChar"/>
        </w:rPr>
        <w:t xml:space="preserve">  • Verify data quality (FR-016)</w:t>
      </w:r>
      <w:r>
        <w:br/>
      </w:r>
      <w:r>
        <w:rPr>
          <w:rStyle w:val="VerbatimChar"/>
        </w:rPr>
        <w:t xml:space="preserve">  • Generate detailed trace (FR-014)</w:t>
      </w:r>
      <w:r>
        <w:br/>
      </w:r>
      <w:r>
        <w:br/>
      </w:r>
      <w:r>
        <w:rPr>
          <w:rStyle w:val="VerbatimChar"/>
        </w:rPr>
        <w:t xml:space="preserve">STEP 5: RWA AGGREGATION (6:04:30 AM)</w:t>
      </w:r>
      <w:r>
        <w:br/>
      </w:r>
      <w:r>
        <w:rPr>
          <w:rStyle w:val="VerbatimChar"/>
        </w:rPr>
        <w:t xml:space="preserve">  Total_RWA = Credit_RWA + CCR_RWA + Market_RWA + CVA_RWA + Op_RWA</w:t>
      </w:r>
      <w:r>
        <w:br/>
      </w:r>
      <w:r>
        <w:rPr>
          <w:rStyle w:val="VerbatimChar"/>
        </w:rPr>
        <w:t xml:space="preserve">  Floored_RWA = max(Total_RWA, Floor_RWA)</w:t>
      </w:r>
      <w:r>
        <w:br/>
      </w:r>
      <w:r>
        <w:rPr>
          <w:rStyle w:val="VerbatimChar"/>
        </w:rPr>
        <w:t xml:space="preserve">  Capital_Requirement = Floored_RWA × (4.0% + Pillar 2 add-on)</w:t>
      </w:r>
      <w:r>
        <w:br/>
      </w:r>
      <w:r>
        <w:br/>
      </w:r>
      <w:r>
        <w:rPr>
          <w:rStyle w:val="VerbatimChar"/>
        </w:rPr>
        <w:t xml:space="preserve">STEP 6: SCENARIO &amp; SENSITIVITIES (6:05 AM)</w:t>
      </w:r>
      <w:r>
        <w:br/>
      </w:r>
      <w:r>
        <w:rPr>
          <w:rStyle w:val="VerbatimChar"/>
        </w:rPr>
        <w:t xml:space="preserve">  • Run 6 regulatory scenarios</w:t>
      </w:r>
      <w:r>
        <w:br/>
      </w:r>
      <w:r>
        <w:rPr>
          <w:rStyle w:val="VerbatimChar"/>
        </w:rPr>
        <w:t xml:space="preserve">  • Compute Greeks (4× A-IRB, 4× CVA)</w:t>
      </w:r>
      <w:r>
        <w:br/>
      </w:r>
      <w:r>
        <w:rPr>
          <w:rStyle w:val="VerbatimChar"/>
        </w:rPr>
        <w:t xml:space="preserve">  • Generate waterfall charts</w:t>
      </w:r>
      <w:r>
        <w:br/>
      </w:r>
      <w:r>
        <w:rPr>
          <w:rStyle w:val="VerbatimChar"/>
        </w:rPr>
        <w:t xml:space="preserve">  • Quantify marginal impacts</w:t>
      </w:r>
      <w:r>
        <w:br/>
      </w:r>
      <w:r>
        <w:rPr>
          <w:rStyle w:val="VerbatimChar"/>
        </w:rPr>
        <w:t xml:space="preserve">  ✅ All complete &lt;2 min</w:t>
      </w:r>
      <w:r>
        <w:br/>
      </w:r>
      <w:r>
        <w:br/>
      </w:r>
      <w:r>
        <w:rPr>
          <w:rStyle w:val="VerbatimChar"/>
        </w:rPr>
        <w:t xml:space="preserve">STEP 7: OUTPUT &amp; REPORTING (6:06 AM)</w:t>
      </w:r>
      <w:r>
        <w:br/>
      </w:r>
      <w:r>
        <w:rPr>
          <w:rStyle w:val="VerbatimChar"/>
        </w:rPr>
        <w:t xml:space="preserve">  • Generate HTML trace engine report</w:t>
      </w:r>
      <w:r>
        <w:br/>
      </w:r>
      <w:r>
        <w:rPr>
          <w:rStyle w:val="VerbatimChar"/>
        </w:rPr>
        <w:t xml:space="preserve">  • Produce regulatory reports</w:t>
      </w:r>
      <w:r>
        <w:br/>
      </w:r>
      <w:r>
        <w:rPr>
          <w:rStyle w:val="VerbatimChar"/>
        </w:rPr>
        <w:t xml:space="preserve">  • Update dashboard</w:t>
      </w:r>
      <w:r>
        <w:br/>
      </w:r>
      <w:r>
        <w:rPr>
          <w:rStyle w:val="VerbatimChar"/>
        </w:rPr>
        <w:t xml:space="preserve">  • Log governance results</w:t>
      </w:r>
      <w:r>
        <w:br/>
      </w:r>
      <w:r>
        <w:rPr>
          <w:rStyle w:val="VerbatimChar"/>
        </w:rPr>
        <w:t xml:space="preserve">  • Persist to database</w:t>
      </w:r>
      <w:r>
        <w:br/>
      </w:r>
      <w:r>
        <w:br/>
      </w:r>
      <w:r>
        <w:rPr>
          <w:rStyle w:val="VerbatimChar"/>
        </w:rPr>
        <w:t xml:space="preserve">STEP 8: COMPLETION (6:10 AM)</w:t>
      </w:r>
      <w:r>
        <w:br/>
      </w:r>
      <w:r>
        <w:rPr>
          <w:rStyle w:val="VerbatimChar"/>
        </w:rPr>
        <w:t xml:space="preserve">  ✅ Risk run complete</w:t>
      </w:r>
      <w:r>
        <w:br/>
      </w:r>
      <w:r>
        <w:rPr>
          <w:rStyle w:val="VerbatimChar"/>
        </w:rPr>
        <w:t xml:space="preserve">  📧 Email summaries to stakeholders</w:t>
      </w:r>
      <w:r>
        <w:br/>
      </w:r>
      <w:r>
        <w:rPr>
          <w:rStyle w:val="VerbatimChar"/>
        </w:rPr>
        <w:t xml:space="preserve">  📊 Dashboard available for users</w:t>
      </w:r>
    </w:p>
    <w:p>
      <w:pPr>
        <w:pStyle w:val="FirstParagraph"/>
      </w:pPr>
      <w:r>
        <w:rPr>
          <w:b/>
          <w:bCs/>
        </w:rPr>
        <w:t xml:space="preserve">Total Elapsed Time:</w:t>
      </w:r>
      <w:r>
        <w:t xml:space="preserve"> </w:t>
      </w:r>
      <w:r>
        <w:t xml:space="preserve">~10 minutes</w:t>
      </w:r>
    </w:p>
    <w:p>
      <w:r>
        <w:pict>
          <v:rect style="width:0;height:1.5pt" o:hralign="center" o:hrstd="t" o:hr="t"/>
        </w:pict>
      </w:r>
    </w:p>
    <w:bookmarkEnd w:id="113"/>
    <w:bookmarkStart w:id="116" w:name="integration-points"/>
    <w:p>
      <w:pPr>
        <w:pStyle w:val="Heading2"/>
      </w:pPr>
      <w:r>
        <w:t xml:space="preserve">Integration Points</w:t>
      </w:r>
    </w:p>
    <w:bookmarkStart w:id="114" w:name="external-data-feeds"/>
    <w:p>
      <w:pPr>
        <w:pStyle w:val="Heading3"/>
      </w:pPr>
      <w:r>
        <w:t xml:space="preserve">External Data Feeds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233"/>
        <w:gridCol w:w="2233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Bloomberg</w:t>
            </w:r>
          </w:p>
        </w:tc>
        <w:tc>
          <w:tcPr/>
          <w:p>
            <w:pPr>
              <w:pStyle w:val="Compact"/>
            </w:pPr>
            <w:r>
              <w:t xml:space="preserve">Rates, spreads, equity vol, FX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&lt;30 min of market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Refinitiv</w:t>
            </w:r>
          </w:p>
        </w:tc>
        <w:tc>
          <w:tcPr/>
          <w:p>
            <w:pPr>
              <w:pStyle w:val="Compact"/>
            </w:pPr>
            <w:r>
              <w:t xml:space="preserve">Rates, curves, alternative data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5:00 AM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S&amp;P/Moody’s</w:t>
            </w:r>
          </w:p>
        </w:tc>
        <w:tc>
          <w:tcPr/>
          <w:p>
            <w:pPr>
              <w:pStyle w:val="Compact"/>
            </w:pPr>
            <w:r>
              <w:t xml:space="preserve">Ratings, transitions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DB</w:t>
            </w:r>
          </w:p>
        </w:tc>
        <w:tc>
          <w:tcPr/>
          <w:p>
            <w:pPr>
              <w:pStyle w:val="Compact"/>
            </w:pPr>
            <w:r>
              <w:t xml:space="preserve">Portfolio, loss events, LGD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&lt;60 sec after trade</w:t>
            </w:r>
          </w:p>
        </w:tc>
      </w:tr>
    </w:tbl>
    <w:bookmarkEnd w:id="114"/>
    <w:bookmarkStart w:id="115" w:name="apis-outputs"/>
    <w:p>
      <w:pPr>
        <w:pStyle w:val="Heading3"/>
      </w:pPr>
      <w:r>
        <w:t xml:space="preserve">APIs &amp;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/api/risk/rwa?date=2026-05-02</w:t>
            </w:r>
          </w:p>
        </w:tc>
        <w:tc>
          <w:tcPr/>
          <w:p>
            <w:pPr>
              <w:pStyle w:val="Compact"/>
            </w:pPr>
            <w:r>
              <w:t xml:space="preserve">Total RWA query</w:t>
            </w:r>
          </w:p>
        </w:tc>
        <w:tc>
          <w:tcPr/>
          <w:p>
            <w:pPr>
              <w:pStyle w:val="Compact"/>
            </w:pPr>
            <w:r>
              <w:t xml:space="preserve">Risk committee, 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/api/risk/greeks?type=a_irb</w:t>
            </w:r>
          </w:p>
        </w:tc>
        <w:tc>
          <w:tcPr/>
          <w:p>
            <w:pPr>
              <w:pStyle w:val="Compact"/>
            </w:pPr>
            <w:r>
              <w:t xml:space="preserve">Greeks by engine</w:t>
            </w:r>
          </w:p>
        </w:tc>
        <w:tc>
          <w:tcPr/>
          <w:p>
            <w:pPr>
              <w:pStyle w:val="Compact"/>
            </w:pPr>
            <w:r>
              <w:t xml:space="preserve">Risk analytics, quants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/api/risk/scenarios?type=FRTB</w:t>
            </w:r>
          </w:p>
        </w:tc>
        <w:tc>
          <w:tcPr/>
          <w:p>
            <w:pPr>
              <w:pStyle w:val="Compact"/>
            </w:pPr>
            <w:r>
              <w:t xml:space="preserve">Scenario impacts</w:t>
            </w:r>
          </w:p>
        </w:tc>
        <w:tc>
          <w:tcPr/>
          <w:p>
            <w:pPr>
              <w:pStyle w:val="Compact"/>
            </w:pPr>
            <w:r>
              <w:t xml:space="preserve">CFO, stress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/api/audit/trace?obligor_id=12345</w:t>
            </w:r>
          </w:p>
        </w:tc>
        <w:tc>
          <w:tcPr/>
          <w:p>
            <w:pPr>
              <w:pStyle w:val="Compact"/>
            </w:pPr>
            <w:r>
              <w:t xml:space="preserve">Audit trail drill-down</w:t>
            </w:r>
          </w:p>
        </w:tc>
        <w:tc>
          <w:tcPr/>
          <w:p>
            <w:pPr>
              <w:pStyle w:val="Compact"/>
            </w:pPr>
            <w:r>
              <w:t xml:space="preserve">Examiners, internal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/api/compliance/governance?date=2026-05-02</w:t>
            </w:r>
          </w:p>
        </w:tc>
        <w:tc>
          <w:tcPr/>
          <w:p>
            <w:pPr>
              <w:pStyle w:val="Compact"/>
            </w:pPr>
            <w:r>
              <w:t xml:space="preserve">Daily governance report</w:t>
            </w:r>
          </w:p>
        </w:tc>
        <w:tc>
          <w:tcPr/>
          <w:p>
            <w:pPr>
              <w:pStyle w:val="Compact"/>
            </w:pPr>
            <w:r>
              <w:t xml:space="preserve">CRO,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0" w:name="security-governance-frameworks"/>
    <w:p>
      <w:pPr>
        <w:pStyle w:val="Heading2"/>
      </w:pPr>
      <w:r>
        <w:t xml:space="preserve">Security &amp; Governance Frameworks</w:t>
      </w:r>
    </w:p>
    <w:bookmarkStart w:id="117" w:name="data-classification"/>
    <w:p>
      <w:pPr>
        <w:pStyle w:val="Heading3"/>
      </w:pPr>
      <w:r>
        <w:t xml:space="preserve">Data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General PROMETHEUS documentation</w:t>
            </w:r>
          </w:p>
        </w:tc>
        <w:tc>
          <w:tcPr/>
          <w:p>
            <w:pPr>
              <w:pStyle w:val="Compact"/>
            </w:pPr>
            <w:r>
              <w:t xml:space="preserve">Unrestricted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Portfolio details, RWA numbers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Executive compensation, M&amp;A data</w:t>
            </w:r>
          </w:p>
        </w:tc>
        <w:tc>
          <w:tcPr/>
          <w:p>
            <w:pPr>
              <w:pStyle w:val="Compact"/>
            </w:pPr>
            <w:r>
              <w:t xml:space="preserve">C-suite + board only</w:t>
            </w:r>
          </w:p>
        </w:tc>
      </w:tr>
    </w:tbl>
    <w:bookmarkEnd w:id="117"/>
    <w:bookmarkStart w:id="118" w:name="access-control-rbac"/>
    <w:p>
      <w:pPr>
        <w:pStyle w:val="Heading3"/>
      </w:pPr>
      <w:r>
        <w:t xml:space="preserve">Access Control (RBAC)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Systems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Analyst</w:t>
            </w:r>
          </w:p>
        </w:tc>
        <w:tc>
          <w:tcPr/>
          <w:p>
            <w:pPr>
              <w:pStyle w:val="Compact"/>
            </w:pPr>
            <w:r>
              <w:t xml:space="preserve">Risk engines, dashboards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Manager</w:t>
            </w:r>
          </w:p>
        </w:tc>
        <w:tc>
          <w:tcPr/>
          <w:p>
            <w:pPr>
              <w:pStyle w:val="Compact"/>
            </w:pPr>
            <w:r>
              <w:t xml:space="preserve">Risk engines, reports, scenarios</w:t>
            </w:r>
          </w:p>
        </w:tc>
        <w:tc>
          <w:tcPr/>
          <w:p>
            <w:pPr>
              <w:pStyle w:val="Compact"/>
            </w:pPr>
            <w:r>
              <w:t xml:space="preserve">Read +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 Engineer</w:t>
            </w:r>
          </w:p>
        </w:tc>
        <w:tc>
          <w:tcPr/>
          <w:p>
            <w:pPr>
              <w:pStyle w:val="Compact"/>
            </w:pPr>
            <w:r>
              <w:t xml:space="preserve">All systems + code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</w:t>
            </w:r>
          </w:p>
        </w:tc>
        <w:tc>
          <w:tcPr/>
          <w:p>
            <w:pPr>
              <w:pStyle w:val="Compact"/>
            </w:pPr>
            <w:r>
              <w:t xml:space="preserve">Governance, capital reports, trace</w:t>
            </w:r>
          </w:p>
        </w:tc>
        <w:tc>
          <w:tcPr/>
          <w:p>
            <w:pPr>
              <w:pStyle w:val="Compact"/>
            </w:pPr>
            <w:r>
              <w:t xml:space="preserve">Read-only (audit trail)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Examiner</w:t>
            </w:r>
            <w:r>
              <w:t xml:space="preserve"> </w:t>
            </w:r>
            <w:r>
              <w:t xml:space="preserve">(external)</w:t>
            </w:r>
          </w:p>
        </w:tc>
        <w:tc>
          <w:tcPr/>
          <w:p>
            <w:pPr>
              <w:pStyle w:val="Compact"/>
            </w:pPr>
            <w:r>
              <w:t xml:space="preserve">Trace engine, audit logs</w:t>
            </w:r>
          </w:p>
        </w:tc>
        <w:tc>
          <w:tcPr/>
          <w:p>
            <w:pPr>
              <w:pStyle w:val="Compact"/>
            </w:pPr>
            <w:r>
              <w:t xml:space="preserve">Read-only (limited scope)</w:t>
            </w:r>
          </w:p>
        </w:tc>
      </w:tr>
    </w:tbl>
    <w:bookmarkEnd w:id="118"/>
    <w:bookmarkStart w:id="119" w:name="audit-trail"/>
    <w:p>
      <w:pPr>
        <w:pStyle w:val="Heading3"/>
      </w:pPr>
      <w:r>
        <w:t xml:space="preserve">Audit Trail</w:t>
      </w:r>
    </w:p>
    <w:p>
      <w:pPr>
        <w:pStyle w:val="Compact"/>
        <w:numPr>
          <w:ilvl w:val="0"/>
          <w:numId w:val="1018"/>
        </w:numPr>
      </w:pPr>
      <w:r>
        <w:t xml:space="preserve">Every RWA calculation logged with: user, timestamp, parameters, result</w:t>
      </w:r>
    </w:p>
    <w:p>
      <w:pPr>
        <w:pStyle w:val="Compact"/>
        <w:numPr>
          <w:ilvl w:val="0"/>
          <w:numId w:val="1018"/>
        </w:numPr>
      </w:pPr>
      <w:r>
        <w:t xml:space="preserve">Governance checks logged (5 daily checkpoints)</w:t>
      </w:r>
    </w:p>
    <w:p>
      <w:pPr>
        <w:pStyle w:val="Compact"/>
        <w:numPr>
          <w:ilvl w:val="0"/>
          <w:numId w:val="1018"/>
        </w:numPr>
      </w:pPr>
      <w:r>
        <w:t xml:space="preserve">Data modifications tracked</w:t>
      </w:r>
    </w:p>
    <w:p>
      <w:pPr>
        <w:pStyle w:val="Compact"/>
        <w:numPr>
          <w:ilvl w:val="0"/>
          <w:numId w:val="1018"/>
        </w:numPr>
      </w:pPr>
      <w:r>
        <w:t xml:space="preserve">Access logs maintained (90-day retention)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</w:t>
      </w:r>
      <w:r>
        <w:rPr>
          <w:b/>
          <w:bCs/>
        </w:rPr>
        <w:t xml:space="preserve">SECTION 6, 7, 8 to follow in continued document…</w:t>
      </w:r>
      <w: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PART 1 (Sections 0–5)</w:t>
      </w:r>
    </w:p>
    <w:p>
      <w:pPr>
        <w:pStyle w:val="BodyText"/>
      </w:pPr>
      <w:r>
        <w:rPr>
          <w:b/>
          <w:bCs/>
        </w:rPr>
        <w:t xml:space="preserve">To continue viewing:</w:t>
      </w:r>
      <w:r>
        <w:t xml:space="preserve"> </w:t>
      </w:r>
      <w:r>
        <w:t xml:space="preserve">- Open</w:t>
      </w:r>
      <w:r>
        <w:t xml:space="preserve"> </w:t>
      </w:r>
      <w:r>
        <w:t xml:space="preserve">“Prometheus_Implementation.md”</w:t>
      </w:r>
      <w:r>
        <w:t xml:space="preserve"> </w:t>
      </w:r>
      <w:r>
        <w:t xml:space="preserve">in text editor</w:t>
      </w:r>
      <w:r>
        <w:t xml:space="preserve"> </w:t>
      </w:r>
      <w:r>
        <w:t xml:space="preserve">- Or convert to Word using:</w:t>
      </w:r>
      <w:r>
        <w:t xml:space="preserve"> </w:t>
      </w:r>
      <w:r>
        <w:rPr>
          <w:rStyle w:val="VerbatimChar"/>
        </w:rPr>
        <w:t xml:space="preserve">pandoc Prometheus_Implementation.md -o Prometheus_Implementation.docx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✅ COMPLETE (2,847 lines, sections 0–5 delivered)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USE — CONFIDENTIAL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CONSOLIDATED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2, 2026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2026-05-02T04:27:13Z</dcterms:created>
  <dcterms:modified xsi:type="dcterms:W3CDTF">2026-05-02T04:27:13Z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