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sz w:val="22"/>
          <w:szCs w:val="22"/>
        </w:rPr>
        <w:t xml:space="preserve">PROMETHEUS — Advanced Internal Ratings-Based Approach (A-IRB)</w:t>
      </w:r>
    </w:p>
    <w:p>
      <w:pPr>
        <w:pStyle w:val="Heading2"/>
        <w:spacing w:after="120" w:before="280"/>
      </w:pPr>
      <w:r>
        <w:rPr>
          <w:rFonts w:ascii="Arial" w:cs="Arial" w:eastAsia="Arial" w:hAnsi="Arial"/>
          <w:sz w:val="22"/>
          <w:szCs w:val="22"/>
        </w:rPr>
        <w:t xml:space="preserve">Technical Reference: Capital Formula, RWA Drivers &amp; All Functional Terms</w:t>
      </w:r>
    </w:p>
    <w:p>
      <w:pPr>
        <w:spacing w:after="60" w:before="60"/>
      </w:pPr>
      <w:r>
        <w:t xml:space="preserve"/>
      </w:r>
    </w:p>
    <w:p>
      <w:pPr>
        <w:spacing w:after="80" w:before="80"/>
      </w:pPr>
      <w:r>
        <w:rPr>
          <w:rFonts w:ascii="Arial" w:cs="Arial" w:eastAsia="Arial" w:hAnsi="Arial"/>
          <w:b/>
          <w:bCs/>
          <w:sz w:val="22"/>
          <w:szCs w:val="22"/>
        </w:rPr>
        <w:t xml:space="preserve">Regulatory Basis:</w:t>
      </w:r>
      <w:r>
        <w:rPr>
          <w:rFonts w:ascii="Arial" w:cs="Arial" w:eastAsia="Arial" w:hAnsi="Arial"/>
          <w:sz w:val="22"/>
          <w:szCs w:val="22"/>
        </w:rPr>
        <w:t xml:space="preserve"> Basel III CRE30–CRE36 (effective January 2023)  </w:t>
      </w:r>
    </w:p>
    <w:p>
      <w:pPr>
        <w:spacing w:after="80" w:before="80"/>
      </w:pPr>
      <w:r>
        <w:rPr>
          <w:rFonts w:ascii="Arial" w:cs="Arial" w:eastAsia="Arial" w:hAnsi="Arial"/>
          <w:b/>
          <w:bCs/>
          <w:sz w:val="22"/>
          <w:szCs w:val="22"/>
        </w:rPr>
        <w:t xml:space="preserve">Engine File:</w:t>
      </w:r>
      <w:r>
        <w:rPr>
          <w:rFonts w:ascii="Arial" w:cs="Arial" w:eastAsia="Arial" w:hAnsi="Arial"/>
          <w:sz w:val="22"/>
          <w:szCs w:val="22"/>
        </w:rPr>
        <w:t xml:space="preserve"> </w:t>
      </w:r>
      <w:r>
        <w:rPr>
          <w:rFonts w:ascii="Courier New" w:cs="Courier New" w:eastAsia="Courier New" w:hAnsi="Courier New"/>
          <w:color w:val="C7254E"/>
          <w:sz w:val="20"/>
          <w:szCs w:val="20"/>
          <w:shd w:fill="F9F2F4" w:val="clear"/>
        </w:rPr>
        <w:t xml:space="preserve">backend/engines/a_irb.py</w:t>
      </w:r>
      <w:r>
        <w:rPr>
          <w:rFonts w:ascii="Arial" w:cs="Arial" w:eastAsia="Arial" w:hAnsi="Arial"/>
          <w:sz w:val="22"/>
          <w:szCs w:val="22"/>
        </w:rPr>
        <w:t xml:space="preserve">  </w:t>
      </w:r>
    </w:p>
    <w:p>
      <w:pPr>
        <w:spacing w:after="80" w:before="80"/>
      </w:pPr>
      <w:r>
        <w:rPr>
          <w:rFonts w:ascii="Arial" w:cs="Arial" w:eastAsia="Arial" w:hAnsi="Arial"/>
          <w:b/>
          <w:bCs/>
          <w:sz w:val="22"/>
          <w:szCs w:val="22"/>
        </w:rPr>
        <w:t xml:space="preserve">Prepared:</w:t>
      </w:r>
      <w:r>
        <w:rPr>
          <w:rFonts w:ascii="Arial" w:cs="Arial" w:eastAsia="Arial" w:hAnsi="Arial"/>
          <w:sz w:val="22"/>
          <w:szCs w:val="22"/>
        </w:rPr>
        <w:t xml:space="preserve"> April 2026 | </w:t>
      </w:r>
      <w:r>
        <w:rPr>
          <w:rFonts w:ascii="Arial" w:cs="Arial" w:eastAsia="Arial" w:hAnsi="Arial"/>
          <w:b/>
          <w:bCs/>
          <w:sz w:val="22"/>
          <w:szCs w:val="22"/>
        </w:rPr>
        <w:t xml:space="preserve">Last Updated:</w:t>
      </w:r>
      <w:r>
        <w:rPr>
          <w:rFonts w:ascii="Arial" w:cs="Arial" w:eastAsia="Arial" w:hAnsi="Arial"/>
          <w:sz w:val="22"/>
          <w:szCs w:val="22"/>
        </w:rPr>
        <w:t xml:space="preserve"> Version 3.8 — Apr-27-2026  </w:t>
      </w:r>
    </w:p>
    <w:p>
      <w:pPr>
        <w:spacing w:after="80" w:before="80"/>
      </w:pPr>
      <w:r>
        <w:rPr>
          <w:rFonts w:ascii="Arial" w:cs="Arial" w:eastAsia="Arial" w:hAnsi="Arial"/>
          <w:b/>
          <w:bCs/>
          <w:sz w:val="22"/>
          <w:szCs w:val="22"/>
        </w:rPr>
        <w:t xml:space="preserve">Key Changes (v3.8):</w:t>
      </w:r>
      <w:r>
        <w:rPr>
          <w:rFonts w:ascii="Arial" w:cs="Arial" w:eastAsia="Arial" w:hAnsi="Arial"/>
          <w:sz w:val="22"/>
          <w:szCs w:val="22"/>
        </w:rPr>
        <w:t xml:space="preserve"> Fix 7 — Through-the-Cycle (TtC) PD calibration with LRA anchor and 80/20 blend (CRE36.63 / CRE36.77)</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Table of Contents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Is A-IRB?](#1-what-is-a-irb)</w:t>
      </w:r>
    </w:p>
    <w:p>
      <w:pPr>
        <w:pStyle w:val="ListParagraph"/>
        <w:numPr>
          <w:ilvl w:val="0"/>
          <w:numId w:val="2"/>
        </w:numPr>
        <w:spacing w:after="40" w:before="40"/>
      </w:pPr>
      <w:r>
        <w:rPr>
          <w:rFonts w:ascii="Arial" w:cs="Arial" w:eastAsia="Arial" w:hAnsi="Arial"/>
          <w:sz w:val="22"/>
          <w:szCs w:val="22"/>
        </w:rPr>
        <w:t xml:space="preserve">[The A-IRB Calculation Pipeline](#2-the-a-irb-calculation-pipeline)</w:t>
      </w:r>
    </w:p>
    <w:p>
      <w:pPr>
        <w:pStyle w:val="ListParagraph"/>
        <w:numPr>
          <w:ilvl w:val="0"/>
          <w:numId w:val="2"/>
        </w:numPr>
        <w:spacing w:after="40" w:before="40"/>
      </w:pPr>
      <w:r>
        <w:rPr>
          <w:rFonts w:ascii="Arial" w:cs="Arial" w:eastAsia="Arial" w:hAnsi="Arial"/>
          <w:sz w:val="22"/>
          <w:szCs w:val="22"/>
        </w:rPr>
        <w:t xml:space="preserve">[The Basel Capital Formula — CRE31.4](#3-the-basel-capital-formula--cre314)</w:t>
      </w:r>
    </w:p>
    <w:p>
      <w:pPr>
        <w:pStyle w:val="ListParagraph"/>
        <w:numPr>
          <w:ilvl w:val="0"/>
          <w:numId w:val="2"/>
        </w:numPr>
        <w:spacing w:after="40" w:before="40"/>
      </w:pPr>
      <w:r>
        <w:rPr>
          <w:rFonts w:ascii="Arial" w:cs="Arial" w:eastAsia="Arial" w:hAnsi="Arial"/>
          <w:sz w:val="22"/>
          <w:szCs w:val="22"/>
        </w:rPr>
        <w:t xml:space="preserve">[Asset Correlation R — CRE31.5](#4-asset-correlation-r--cre315)</w:t>
      </w:r>
    </w:p>
    <w:p>
      <w:pPr>
        <w:pStyle w:val="ListParagraph"/>
        <w:numPr>
          <w:ilvl w:val="0"/>
          <w:numId w:val="2"/>
        </w:numPr>
        <w:spacing w:after="40" w:before="40"/>
      </w:pPr>
      <w:r>
        <w:rPr>
          <w:rFonts w:ascii="Arial" w:cs="Arial" w:eastAsia="Arial" w:hAnsi="Arial"/>
          <w:sz w:val="22"/>
          <w:szCs w:val="22"/>
        </w:rPr>
        <w:t xml:space="preserve">[Maturity Adjustment — CRE31.7](#5-maturity-adjustment--cre317)</w:t>
      </w:r>
    </w:p>
    <w:p>
      <w:pPr>
        <w:pStyle w:val="ListParagraph"/>
        <w:numPr>
          <w:ilvl w:val="0"/>
          <w:numId w:val="2"/>
        </w:numPr>
        <w:spacing w:after="40" w:before="40"/>
      </w:pPr>
      <w:r>
        <w:rPr>
          <w:rFonts w:ascii="Arial" w:cs="Arial" w:eastAsia="Arial" w:hAnsi="Arial"/>
          <w:sz w:val="22"/>
          <w:szCs w:val="22"/>
        </w:rPr>
        <w:t xml:space="preserve">[Credit Risk Mitigation (CRM) — CRE32](#6-credit-risk-mitigation-crm--cre32)</w:t>
      </w:r>
    </w:p>
    <w:p>
      <w:pPr>
        <w:pStyle w:val="ListParagraph"/>
        <w:numPr>
          <w:ilvl w:val="0"/>
          <w:numId w:val="2"/>
        </w:numPr>
        <w:spacing w:after="40" w:before="40"/>
      </w:pPr>
      <w:r>
        <w:rPr>
          <w:rFonts w:ascii="Arial" w:cs="Arial" w:eastAsia="Arial" w:hAnsi="Arial"/>
          <w:sz w:val="22"/>
          <w:szCs w:val="22"/>
        </w:rPr>
        <w:t xml:space="preserve">[Expected Loss and Provisions — CRE35](#7-expected-loss-and-provisions--cre35)</w:t>
      </w:r>
    </w:p>
    <w:p>
      <w:pPr>
        <w:pStyle w:val="ListParagraph"/>
        <w:numPr>
          <w:ilvl w:val="0"/>
          <w:numId w:val="2"/>
        </w:numPr>
        <w:spacing w:after="40" w:before="40"/>
      </w:pPr>
      <w:r>
        <w:rPr>
          <w:rFonts w:ascii="Arial" w:cs="Arial" w:eastAsia="Arial" w:hAnsi="Arial"/>
          <w:sz w:val="22"/>
          <w:szCs w:val="22"/>
        </w:rPr>
        <w:t xml:space="preserve">[Double-Default Framework — CRE22](#8-double-default-framework--cre22)</w:t>
      </w:r>
    </w:p>
    <w:p>
      <w:pPr>
        <w:pStyle w:val="ListParagraph"/>
        <w:numPr>
          <w:ilvl w:val="0"/>
          <w:numId w:val="2"/>
        </w:numPr>
        <w:spacing w:after="40" w:before="40"/>
      </w:pPr>
      <w:r>
        <w:rPr>
          <w:rFonts w:ascii="Arial" w:cs="Arial" w:eastAsia="Arial" w:hAnsi="Arial"/>
          <w:sz w:val="22"/>
          <w:szCs w:val="22"/>
        </w:rPr>
        <w:t xml:space="preserve">[Macroeconomic Overlay (Pillar 2 / ICAAP)](#9-macroeconomic-overlay-pillar-2--icaap)</w:t>
      </w:r>
    </w:p>
    <w:p>
      <w:pPr>
        <w:pStyle w:val="ListParagraph"/>
        <w:numPr>
          <w:ilvl w:val="0"/>
          <w:numId w:val="2"/>
        </w:numPr>
        <w:spacing w:after="40" w:before="40"/>
      </w:pPr>
      <w:r>
        <w:rPr>
          <w:rFonts w:ascii="Arial" w:cs="Arial" w:eastAsia="Arial" w:hAnsi="Arial"/>
          <w:sz w:val="22"/>
          <w:szCs w:val="22"/>
        </w:rPr>
        <w:t xml:space="preserve">[Dynamic Correlation Model (Pillar 2)](#10-dynamic-correlation-model-pillar-2)</w:t>
      </w:r>
    </w:p>
    <w:p>
      <w:pPr>
        <w:pStyle w:val="ListParagraph"/>
        <w:numPr>
          <w:ilvl w:val="0"/>
          <w:numId w:val="2"/>
        </w:numPr>
        <w:spacing w:after="40" w:before="40"/>
      </w:pPr>
      <w:r>
        <w:rPr>
          <w:rFonts w:ascii="Arial" w:cs="Arial" w:eastAsia="Arial" w:hAnsi="Arial"/>
          <w:sz w:val="22"/>
          <w:szCs w:val="22"/>
        </w:rPr>
        <w:t xml:space="preserve">[Stressed vs. Baseline Regime](#11-stressed-vs-baseline-regime)</w:t>
      </w:r>
    </w:p>
    <w:p>
      <w:pPr>
        <w:pStyle w:val="ListParagraph"/>
        <w:numPr>
          <w:ilvl w:val="0"/>
          <w:numId w:val="2"/>
        </w:numPr>
        <w:spacing w:after="40" w:before="40"/>
      </w:pPr>
      <w:r>
        <w:rPr>
          <w:rFonts w:ascii="Arial" w:cs="Arial" w:eastAsia="Arial" w:hAnsi="Arial"/>
          <w:sz w:val="22"/>
          <w:szCs w:val="22"/>
        </w:rPr>
        <w:t xml:space="preserve">[ESG / Climate Transition Risk — CRR3 Art. 87a](#12-esg--climate-transition-risk--crr3-art-87a)</w:t>
      </w:r>
    </w:p>
    <w:p>
      <w:pPr>
        <w:pStyle w:val="ListParagraph"/>
        <w:numPr>
          <w:ilvl w:val="0"/>
          <w:numId w:val="2"/>
        </w:numPr>
        <w:spacing w:after="40" w:before="40"/>
      </w:pPr>
      <w:r>
        <w:rPr>
          <w:rFonts w:ascii="Arial" w:cs="Arial" w:eastAsia="Arial" w:hAnsi="Arial"/>
          <w:sz w:val="22"/>
          <w:szCs w:val="22"/>
        </w:rPr>
        <w:t xml:space="preserve">[SA Output Floor — CRE20.4 / Basel IV](#13-sa-output-floor--cre204--basel-iv)</w:t>
      </w:r>
    </w:p>
    <w:p>
      <w:pPr>
        <w:pStyle w:val="ListParagraph"/>
        <w:numPr>
          <w:ilvl w:val="0"/>
          <w:numId w:val="2"/>
        </w:numPr>
        <w:spacing w:after="40" w:before="40"/>
      </w:pPr>
      <w:r>
        <w:rPr>
          <w:rFonts w:ascii="Arial" w:cs="Arial" w:eastAsia="Arial" w:hAnsi="Arial"/>
          <w:sz w:val="22"/>
          <w:szCs w:val="22"/>
        </w:rPr>
        <w:t xml:space="preserve">[Sensitivity Analysis — RWA Greeks](#14-sensitivity-analysis--rwa-greeks)</w:t>
      </w:r>
    </w:p>
    <w:p>
      <w:pPr>
        <w:pStyle w:val="ListParagraph"/>
        <w:numPr>
          <w:ilvl w:val="0"/>
          <w:numId w:val="2"/>
        </w:numPr>
        <w:spacing w:after="40" w:before="40"/>
      </w:pPr>
      <w:r>
        <w:rPr>
          <w:rFonts w:ascii="Arial" w:cs="Arial" w:eastAsia="Arial" w:hAnsi="Arial"/>
          <w:sz w:val="22"/>
          <w:szCs w:val="22"/>
        </w:rPr>
        <w:t xml:space="preserve">[Live Macro Data Feed — USMacroDataFeed](#15-live-macro-data-feed--usmacrodatafeed)</w:t>
      </w:r>
    </w:p>
    <w:p>
      <w:pPr>
        <w:pStyle w:val="ListParagraph"/>
        <w:numPr>
          <w:ilvl w:val="0"/>
          <w:numId w:val="2"/>
        </w:numPr>
        <w:spacing w:after="40" w:before="40"/>
      </w:pPr>
      <w:r>
        <w:rPr>
          <w:rFonts w:ascii="Arial" w:cs="Arial" w:eastAsia="Arial" w:hAnsi="Arial"/>
          <w:sz w:val="22"/>
          <w:szCs w:val="22"/>
        </w:rPr>
        <w:t xml:space="preserve">[Configuration Parameters](#16-configuration-parameters)</w:t>
      </w:r>
    </w:p>
    <w:p>
      <w:pPr>
        <w:pStyle w:val="ListParagraph"/>
        <w:numPr>
          <w:ilvl w:val="0"/>
          <w:numId w:val="2"/>
        </w:numPr>
        <w:spacing w:after="40" w:before="40"/>
      </w:pPr>
      <w:r>
        <w:rPr>
          <w:rFonts w:ascii="Arial" w:cs="Arial" w:eastAsia="Arial" w:hAnsi="Arial"/>
          <w:sz w:val="22"/>
          <w:szCs w:val="22"/>
        </w:rPr>
        <w:t xml:space="preserve">[Complete Glossary](#17-complete-glossary)</w:t>
      </w:r>
    </w:p>
    <w:p>
      <w:pPr>
        <w:pStyle w:val="ListParagraph"/>
        <w:numPr>
          <w:ilvl w:val="0"/>
          <w:numId w:val="2"/>
        </w:numPr>
        <w:spacing w:after="40" w:before="40"/>
      </w:pPr>
      <w:r>
        <w:rPr>
          <w:rFonts w:ascii="Arial" w:cs="Arial" w:eastAsia="Arial" w:hAnsi="Arial"/>
          <w:sz w:val="22"/>
          <w:szCs w:val="22"/>
        </w:rPr>
        <w:t xml:space="preserve">[Appendix A: Step-by-Step Numeric Example — Corporate Loan (No CRM)](#appendix-a-step-by-step-numeric-example--corporate-loan-no-crm)</w:t>
      </w:r>
    </w:p>
    <w:p>
      <w:pPr>
        <w:pStyle w:val="ListParagraph"/>
        <w:numPr>
          <w:ilvl w:val="0"/>
          <w:numId w:val="2"/>
        </w:numPr>
        <w:spacing w:after="40" w:before="40"/>
      </w:pPr>
      <w:r>
        <w:rPr>
          <w:rFonts w:ascii="Arial" w:cs="Arial" w:eastAsia="Arial" w:hAnsi="Arial"/>
          <w:sz w:val="22"/>
          <w:szCs w:val="22"/>
        </w:rPr>
        <w:t xml:space="preserve">[Appendix B: Numeric Example — Collateralised Real Estate Loan](#appendix-b-numeric-example--collateralised-real-estate-loan)</w:t>
      </w:r>
    </w:p>
    <w:p>
      <w:pPr>
        <w:pStyle w:val="ListParagraph"/>
        <w:numPr>
          <w:ilvl w:val="0"/>
          <w:numId w:val="2"/>
        </w:numPr>
        <w:spacing w:after="40" w:before="40"/>
      </w:pPr>
      <w:r>
        <w:rPr>
          <w:rFonts w:ascii="Arial" w:cs="Arial" w:eastAsia="Arial" w:hAnsi="Arial"/>
          <w:sz w:val="22"/>
          <w:szCs w:val="22"/>
        </w:rPr>
        <w:t xml:space="preserve">[Appendix C: Numeric Example — Guaranteed Exposure (Split-K Method)](#appendix-c-numeric-example--guaranteed-exposure-split-k-method)</w:t>
      </w:r>
    </w:p>
    <w:p>
      <w:pPr>
        <w:pStyle w:val="ListParagraph"/>
        <w:numPr>
          <w:ilvl w:val="0"/>
          <w:numId w:val="2"/>
        </w:numPr>
        <w:spacing w:after="40" w:before="40"/>
      </w:pPr>
      <w:r>
        <w:rPr>
          <w:rFonts w:ascii="Arial" w:cs="Arial" w:eastAsia="Arial" w:hAnsi="Arial"/>
          <w:sz w:val="22"/>
          <w:szCs w:val="22"/>
        </w:rPr>
        <w:t xml:space="preserve">[Appendix D: Numeric Example — Retail Mortgage Portfolio](#appendix-d-numeric-example--retail-mortgage-portfolio)</w:t>
      </w:r>
    </w:p>
    <w:p>
      <w:pPr>
        <w:pStyle w:val="ListParagraph"/>
        <w:numPr>
          <w:ilvl w:val="0"/>
          <w:numId w:val="2"/>
        </w:numPr>
        <w:spacing w:after="40" w:before="40"/>
      </w:pPr>
      <w:r>
        <w:rPr>
          <w:rFonts w:ascii="Arial" w:cs="Arial" w:eastAsia="Arial" w:hAnsi="Arial"/>
          <w:sz w:val="22"/>
          <w:szCs w:val="22"/>
        </w:rPr>
        <w:t xml:space="preserve">[Appendix E: Numeric Example — SME Corporate with CDS Double-Default](#appendix-e-numeric-example--sme-corporate-with-cds-double-default)</w:t>
      </w:r>
    </w:p>
    <w:p>
      <w:pPr>
        <w:pStyle w:val="ListParagraph"/>
        <w:numPr>
          <w:ilvl w:val="0"/>
          <w:numId w:val="2"/>
        </w:numPr>
        <w:spacing w:after="40" w:before="40"/>
      </w:pPr>
      <w:r>
        <w:rPr>
          <w:rFonts w:ascii="Arial" w:cs="Arial" w:eastAsia="Arial" w:hAnsi="Arial"/>
          <w:sz w:val="22"/>
          <w:szCs w:val="22"/>
        </w:rPr>
        <w:t xml:space="preserve">[Appendix F: Cross-Asset Comparison — All Asset Classes](#appendix-f-cross-asset-comparison--all-asset-classes)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 What Is A-IRB?</w:t>
      </w:r>
    </w:p>
    <w:p>
      <w:pPr>
        <w:spacing w:after="60" w:before="60"/>
      </w:pPr>
      <w:r>
        <w:t xml:space="preserve"/>
      </w:r>
    </w:p>
    <w:p>
      <w:pPr>
        <w:spacing w:after="80" w:before="80"/>
      </w:pPr>
      <w:r>
        <w:rPr>
          <w:rFonts w:ascii="Arial" w:cs="Arial" w:eastAsia="Arial" w:hAnsi="Arial"/>
          <w:sz w:val="22"/>
          <w:szCs w:val="22"/>
        </w:rPr>
        <w:t xml:space="preserve">The </w:t>
      </w:r>
      <w:r>
        <w:rPr>
          <w:rFonts w:ascii="Arial" w:cs="Arial" w:eastAsia="Arial" w:hAnsi="Arial"/>
          <w:b/>
          <w:bCs/>
          <w:sz w:val="22"/>
          <w:szCs w:val="22"/>
        </w:rPr>
        <w:t xml:space="preserve">Advanced Internal Ratings-Based (A-IRB) Approach</w:t>
      </w:r>
      <w:r>
        <w:rPr>
          <w:rFonts w:ascii="Arial" w:cs="Arial" w:eastAsia="Arial" w:hAnsi="Arial"/>
          <w:sz w:val="22"/>
          <w:szCs w:val="22"/>
        </w:rPr>
        <w:t xml:space="preserve"> is the most sophisticated of the three Basel III credit-risk capital frameworks. It permits banks to use their own internally estimated risk parameters — subject to supervisory approval — to calculate minimum Pillar 1 capital requirements for Banking Book credit exposures.</w:t>
      </w:r>
    </w:p>
    <w:p>
      <w:pPr>
        <w:spacing w:after="60" w:before="60"/>
      </w:pPr>
      <w:r>
        <w:t xml:space="preserve"/>
      </w:r>
    </w:p>
    <w:p>
      <w:pPr>
        <w:pStyle w:val="Heading3"/>
        <w:spacing w:after="100" w:before="200"/>
      </w:pPr>
      <w:r>
        <w:rPr>
          <w:rFonts w:ascii="Arial" w:cs="Arial" w:eastAsia="Arial" w:hAnsi="Arial"/>
          <w:sz w:val="22"/>
          <w:szCs w:val="22"/>
        </w:rPr>
        <w:t xml:space="preserve">Why G-SIBs Use A-IRB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sz w:val="22"/>
          <w:szCs w:val="22"/>
        </w:rPr>
        <w:t xml:space="preserve">A-IRB is </w:t>
      </w:r>
      <w:r>
        <w:rPr>
          <w:rFonts w:ascii="Arial" w:cs="Arial" w:eastAsia="Arial" w:hAnsi="Arial"/>
          <w:b/>
          <w:bCs/>
          <w:sz w:val="22"/>
          <w:szCs w:val="22"/>
        </w:rPr>
        <w:t xml:space="preserve">only applicable to the Banking Book</w:t>
      </w:r>
      <w:r>
        <w:rPr>
          <w:rFonts w:ascii="Arial" w:cs="Arial" w:eastAsia="Arial" w:hAnsi="Arial"/>
          <w:sz w:val="22"/>
          <w:szCs w:val="22"/>
        </w:rPr>
        <w:t xml:space="preserve"> (loans, revolvers, guarantees, mortgages). Trading book exposures use CCR/IMM frameworks.</w:t>
      </w:r>
    </w:p>
    <w:p>
      <w:pPr>
        <w:spacing w:after="60" w:before="60"/>
      </w:pPr>
      <w:r>
        <w:t xml:space="preserve"/>
      </w:r>
    </w:p>
    <w:p>
      <w:pPr>
        <w:spacing w:after="80" w:before="80"/>
      </w:pPr>
      <w:r>
        <w:rPr>
          <w:rFonts w:ascii="Arial" w:cs="Arial" w:eastAsia="Arial" w:hAnsi="Arial"/>
          <w:b/>
          <w:bCs/>
          <w:sz w:val="22"/>
          <w:szCs w:val="22"/>
        </w:rPr>
        <w:t xml:space="preserve">Regulatory scope</w:t>
      </w:r>
      <w:r>
        <w:rPr>
          <w:rFonts w:ascii="Arial" w:cs="Arial" w:eastAsia="Arial" w:hAnsi="Arial"/>
          <w:sz w:val="22"/>
          <w:szCs w:val="22"/>
        </w:rPr>
        <w:t xml:space="preserve"> (CRE30–CRE36):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2. The A-IRB Calculation Pipeline</w:t>
      </w:r>
    </w:p>
    <w:p>
      <w:pPr>
        <w:spacing w:after="60" w:before="60"/>
      </w:pPr>
      <w:r>
        <w:t xml:space="preserve"/>
      </w:r>
    </w:p>
    <w:p>
      <w:pPr>
        <w:spacing w:after="80" w:before="80"/>
      </w:pPr>
      <w:r>
        <w:rPr>
          <w:rFonts w:ascii="Arial" w:cs="Arial" w:eastAsia="Arial" w:hAnsi="Arial"/>
          <w:sz w:val="22"/>
          <w:szCs w:val="22"/>
        </w:rPr>
        <w:t xml:space="preserve">Every exposure flows through these steps in the PROMETHEUS engine:</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Banking Book Exposure (BankingBookExposure)
         │
         ▼
┌─────────────────────────────────────────────┐
│  Step 1: Input Validation &amp; PD Resolution   │
│  • Validate PD ∈ [0,1], LGD ∈ [0,1], EAD≥0 │
│  • Apply PD floor (0.03% for corp/bank)     │
│  • Resolve PD from term structure if set    │
│  • CRE31.8: Cap M at 1Y for margined trades │
└──────────────────┬──────────────────────────┘
                   │
                   ▼
┌─────────────────────────────────────────────┐
│  Step 2: ESG / Climate PD Uplift (CRR3)     │
│  • PD += brown_factor × uplift_rate         │
└──────────────────┬──────────────────────────┘
                   │
                   ▼
┌─────────────────────────────────────────────┐
│  Step 3: Market Regime Stress (if enabled)  │
│  • PD × pd_stress_factor[asset_class]       │
│  • LGD × lgd_stress_factor[asset_class]     │
└──────────────────┬──────────────────────────┘
                   │
                   ▼
┌─────────────────────────────────────────────┐
│  Step 4: Credit Risk Mitigation Chain       │
│  (A) Retail deposit netting → EAD reduction │
│  (B) Funded collateral → LGD* (CRE32.10)   │
│  (C) Guarantee → Split-K (CRE32.24 FIX-04) │
│  (D) CDS → Double-default PD (CRE22.10)    │
└──────────────────┬──────────────────────────┘
                   │
                   ▼
┌─────────────────────────────────────────────┐
│  Step 5: Asset Correlation R (CRE31.5)      │
│  • R_regulatory = Basel formula (Pillar 1)  │
│  • R_internal   = sector/conc overlay (P2)  │
│  • Capital always uses R_regulatory         │
└──────────────────┬──────────────────────────┘
                   │
                   ▼
┌─────────────────────────────────────────────┐
│  Step 6: Maturity Adjustment b (CRE31.7)    │
│  • b(PD) = (0.11852 − 0.05478×ln(PD))²     │
│  • Retail: b = 0, M = 1Y (no adj)          │
└──────────────────┬──────────────────────────┘
                   │
                   ▼
┌─────────────────────────────────────────────┐
│  Step 7: Capital Requirement K (CRE31.4)    │
│  • K = [LGD×N(z) − PD×LGD] × MA           │
│  • z = (N⁻¹(PD) + √R×N⁻¹(0.999))/√(1-R)  │
│  • MA = (1+(M-2.5)×b)/(1-1.5×b)           │
└──────────────────┬──────────────────────────┘
                   │
                   ▼
┌─────────────────────────────────────────────┐
│  Step 8: RWA = K × 12.5 × EAD              │
└──────────────────┬──────────────────────────┘
                   │
                   ▼
┌─────────────────────────────────────────────┐
│  Step 9: EL and Provisions (CRE35)          │
│  • EL = PD × LGD × EAD                     │
│  • Shortfall = max(EL − Provisions, 0)      │
│  • Shortfall deducted from CET1             │
│  • Excess (up to 0.6% RWA) added to Tier 2 │
└──────────────────┬──────────────────────────┘
                   │
                   ▼
┌─────────────────────────────────────────────┐
│  Step 10: SA Output Floor (CRE20.4)         │
│  • Floor = 72.5% × SA RWA                  │
│  • If IRB RWA &lt; floor → binding uplift      │
└──────────────────┘</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3. The Basel Capital Formula — CRE31.4</w:t>
      </w:r>
    </w:p>
    <w:p>
      <w:pPr>
        <w:spacing w:after="60" w:before="60"/>
      </w:pPr>
      <w:r>
        <w:t xml:space="preserve"/>
      </w:r>
    </w:p>
    <w:p>
      <w:pPr>
        <w:spacing w:after="80" w:before="80"/>
      </w:pPr>
      <w:r>
        <w:rPr>
          <w:rFonts w:ascii="Arial" w:cs="Arial" w:eastAsia="Arial" w:hAnsi="Arial"/>
          <w:sz w:val="22"/>
          <w:szCs w:val="22"/>
        </w:rPr>
        <w:t xml:space="preserve">This is the </w:t>
      </w:r>
      <w:r>
        <w:rPr>
          <w:rFonts w:ascii="Arial" w:cs="Arial" w:eastAsia="Arial" w:hAnsi="Arial"/>
          <w:b/>
          <w:bCs/>
          <w:sz w:val="22"/>
          <w:szCs w:val="22"/>
        </w:rPr>
        <w:t xml:space="preserve">single most important equation</w:t>
      </w:r>
      <w:r>
        <w:rPr>
          <w:rFonts w:ascii="Arial" w:cs="Arial" w:eastAsia="Arial" w:hAnsi="Arial"/>
          <w:sz w:val="22"/>
          <w:szCs w:val="22"/>
        </w:rPr>
        <w:t xml:space="preserve"> in the entire A-IRB framework. It converts PD, LGD, maturity, and asset correlation into a capital requirement K (expressed as a fraction of EAD).</w:t>
      </w:r>
    </w:p>
    <w:p>
      <w:pPr>
        <w:spacing w:after="60" w:before="60"/>
      </w:pPr>
      <w:r>
        <w:t xml:space="preserve"/>
      </w:r>
    </w:p>
    <w:p>
      <w:pPr>
        <w:pStyle w:val="Heading3"/>
        <w:spacing w:after="100" w:before="200"/>
      </w:pPr>
      <w:r>
        <w:rPr>
          <w:rFonts w:ascii="Arial" w:cs="Arial" w:eastAsia="Arial" w:hAnsi="Arial"/>
          <w:sz w:val="22"/>
          <w:szCs w:val="22"/>
        </w:rPr>
        <w:t xml:space="preserve">3.1 The Full Formula</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Step 1 — Vasicek conditional default probability:
  z = [N⁻¹(PD) + √R × N⁻¹(0.999)] / √(1 − R)
Step 2 — Capital before maturity adjustment:
  K_base = LGD × N(z) − PD × LGD
Step 3 — Maturity adjustment:
  MA = (1 + (M − 2.5) × b) / (1 − 1.5 × b)
  b  = (0.11852 − 0.05478 × ln(PD))²
Step 4 — Final capital requirement:
  K = K_base × MA
Step 5 — Risk-Weighted Assets:
  RWA = K × 12.5 × EAD</w:t>
      </w:r>
    </w:p>
    <w:p>
      <w:pPr>
        <w:spacing w:after="60" w:before="60"/>
      </w:pPr>
      <w:r>
        <w:t xml:space="preserve"/>
      </w:r>
    </w:p>
    <w:p>
      <w:pPr>
        <w:pStyle w:val="Heading3"/>
        <w:spacing w:after="100" w:before="200"/>
      </w:pPr>
      <w:r>
        <w:rPr>
          <w:rFonts w:ascii="Arial" w:cs="Arial" w:eastAsia="Arial" w:hAnsi="Arial"/>
          <w:sz w:val="22"/>
          <w:szCs w:val="22"/>
        </w:rPr>
        <w:t xml:space="preserve">3.2 What Each Term Means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Style w:val="Heading3"/>
        <w:spacing w:after="100" w:before="200"/>
      </w:pPr>
      <w:r>
        <w:rPr>
          <w:rFonts w:ascii="Arial" w:cs="Arial" w:eastAsia="Arial" w:hAnsi="Arial"/>
          <w:sz w:val="22"/>
          <w:szCs w:val="22"/>
        </w:rPr>
        <w:t xml:space="preserve">3.3 Intuition — The Vasicek Model</w:t>
      </w:r>
    </w:p>
    <w:p>
      <w:pPr>
        <w:spacing w:after="60" w:before="60"/>
      </w:pPr>
      <w:r>
        <w:t xml:space="preserve"/>
      </w:r>
    </w:p>
    <w:p>
      <w:pPr>
        <w:spacing w:after="80" w:before="80"/>
      </w:pPr>
      <w:r>
        <w:rPr>
          <w:rFonts w:ascii="Arial" w:cs="Arial" w:eastAsia="Arial" w:hAnsi="Arial"/>
          <w:sz w:val="22"/>
          <w:szCs w:val="22"/>
        </w:rPr>
        <w:t xml:space="preserve">The formula is derived from the </w:t>
      </w:r>
      <w:r>
        <w:rPr>
          <w:rFonts w:ascii="Arial" w:cs="Arial" w:eastAsia="Arial" w:hAnsi="Arial"/>
          <w:b/>
          <w:bCs/>
          <w:sz w:val="22"/>
          <w:szCs w:val="22"/>
        </w:rPr>
        <w:t xml:space="preserve">Vasicek single-factor model</w:t>
      </w:r>
      <w:r>
        <w:rPr>
          <w:rFonts w:ascii="Arial" w:cs="Arial" w:eastAsia="Arial" w:hAnsi="Arial"/>
          <w:sz w:val="22"/>
          <w:szCs w:val="22"/>
        </w:rPr>
        <w:t xml:space="preserve">. Every obligor's asset return is driven by:</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Asset Return = √R × Systematic Factor + √(1−R) × Idiosyncratic Factor
Default when Asset Return &lt; N⁻¹(PD)</w:t>
      </w:r>
    </w:p>
    <w:p>
      <w:pPr>
        <w:spacing w:after="60" w:before="60"/>
      </w:pPr>
      <w:r>
        <w:t xml:space="preserve"/>
      </w:r>
    </w:p>
    <w:p>
      <w:pPr>
        <w:pStyle w:val="ListParagraph"/>
        <w:numPr>
          <w:ilvl w:val="0"/>
          <w:numId w:val="3"/>
        </w:numPr>
        <w:spacing w:after="40" w:before="40"/>
      </w:pPr>
      <w:r>
        <w:rPr>
          <w:rFonts w:ascii="Arial" w:cs="Arial" w:eastAsia="Arial" w:hAnsi="Arial"/>
          <w:b/>
          <w:bCs/>
          <w:sz w:val="22"/>
          <w:szCs w:val="22"/>
        </w:rPr>
        <w:t xml:space="preserve">R (correlation):</w:t>
      </w:r>
      <w:r>
        <w:rPr>
          <w:rFonts w:ascii="Arial" w:cs="Arial" w:eastAsia="Arial" w:hAnsi="Arial"/>
          <w:sz w:val="22"/>
          <w:szCs w:val="22"/>
        </w:rPr>
        <w:t xml:space="preserve"> How much of the obligor's asset value is driven by the common market factor. High R = obligor moves with the economic cycle.</w:t>
      </w:r>
    </w:p>
    <w:p>
      <w:pPr>
        <w:pStyle w:val="ListParagraph"/>
        <w:numPr>
          <w:ilvl w:val="0"/>
          <w:numId w:val="3"/>
        </w:numPr>
        <w:spacing w:after="40" w:before="40"/>
      </w:pPr>
      <w:r>
        <w:rPr>
          <w:rFonts w:ascii="Arial" w:cs="Arial" w:eastAsia="Arial" w:hAnsi="Arial"/>
          <w:b/>
          <w:bCs/>
          <w:sz w:val="22"/>
          <w:szCs w:val="22"/>
        </w:rPr>
        <w:t xml:space="preserve">N⁻¹(0.999):</w:t>
      </w:r>
      <w:r>
        <w:rPr>
          <w:rFonts w:ascii="Arial" w:cs="Arial" w:eastAsia="Arial" w:hAnsi="Arial"/>
          <w:sz w:val="22"/>
          <w:szCs w:val="22"/>
        </w:rPr>
        <w:t xml:space="preserve"> Basel fixes the systematic factor at its </w:t>
      </w:r>
      <w:r>
        <w:rPr>
          <w:rFonts w:ascii="Arial" w:cs="Arial" w:eastAsia="Arial" w:hAnsi="Arial"/>
          <w:b/>
          <w:bCs/>
          <w:sz w:val="22"/>
          <w:szCs w:val="22"/>
        </w:rPr>
        <w:t xml:space="preserve">99.9th percentile</w:t>
      </w:r>
      <w:r>
        <w:rPr>
          <w:rFonts w:ascii="Arial" w:cs="Arial" w:eastAsia="Arial" w:hAnsi="Arial"/>
          <w:sz w:val="22"/>
          <w:szCs w:val="22"/>
        </w:rPr>
        <w:t xml:space="preserve"> — a "1-in-1000 year" bad scenario for the economy.</w:t>
      </w:r>
    </w:p>
    <w:p>
      <w:pPr>
        <w:pStyle w:val="ListParagraph"/>
        <w:numPr>
          <w:ilvl w:val="0"/>
          <w:numId w:val="3"/>
        </w:numPr>
        <w:spacing w:after="40" w:before="40"/>
      </w:pPr>
      <w:r>
        <w:rPr>
          <w:rFonts w:ascii="Arial" w:cs="Arial" w:eastAsia="Arial" w:hAnsi="Arial"/>
          <w:b/>
          <w:bCs/>
          <w:sz w:val="22"/>
          <w:szCs w:val="22"/>
        </w:rPr>
        <w:t xml:space="preserve">z:</w:t>
      </w:r>
      <w:r>
        <w:rPr>
          <w:rFonts w:ascii="Arial" w:cs="Arial" w:eastAsia="Arial" w:hAnsi="Arial"/>
          <w:sz w:val="22"/>
          <w:szCs w:val="22"/>
        </w:rPr>
        <w:t xml:space="preserve"> The combined threshold. In a worst-case economy, z measures how far into the loss tail we are.</w:t>
      </w:r>
    </w:p>
    <w:p>
      <w:pPr>
        <w:pStyle w:val="ListParagraph"/>
        <w:numPr>
          <w:ilvl w:val="0"/>
          <w:numId w:val="3"/>
        </w:numPr>
        <w:spacing w:after="40" w:before="40"/>
      </w:pPr>
      <w:r>
        <w:rPr>
          <w:rFonts w:ascii="Arial" w:cs="Arial" w:eastAsia="Arial" w:hAnsi="Arial"/>
          <w:b/>
          <w:bCs/>
          <w:sz w:val="22"/>
          <w:szCs w:val="22"/>
        </w:rPr>
        <w:t xml:space="preserve">N(z):</w:t>
      </w:r>
      <w:r>
        <w:rPr>
          <w:rFonts w:ascii="Arial" w:cs="Arial" w:eastAsia="Arial" w:hAnsi="Arial"/>
          <w:sz w:val="22"/>
          <w:szCs w:val="22"/>
        </w:rPr>
        <w:t xml:space="preserve"> The conditional default probability — the fraction of the portfolio that defaults in the 99.9% bad economic scenario.</w:t>
      </w:r>
    </w:p>
    <w:p>
      <w:pPr>
        <w:pStyle w:val="ListParagraph"/>
        <w:numPr>
          <w:ilvl w:val="0"/>
          <w:numId w:val="3"/>
        </w:numPr>
        <w:spacing w:after="40" w:before="40"/>
      </w:pPr>
      <w:r>
        <w:rPr>
          <w:rFonts w:ascii="Arial" w:cs="Arial" w:eastAsia="Arial" w:hAnsi="Arial"/>
          <w:b/>
          <w:bCs/>
          <w:sz w:val="22"/>
          <w:szCs w:val="22"/>
        </w:rPr>
        <w:t xml:space="preserve">LGD × N(z) − PD × LGD:</w:t>
      </w:r>
      <w:r>
        <w:rPr>
          <w:rFonts w:ascii="Arial" w:cs="Arial" w:eastAsia="Arial" w:hAnsi="Arial"/>
          <w:sz w:val="22"/>
          <w:szCs w:val="22"/>
        </w:rPr>
        <w:t xml:space="preserve"> The unexpected loss (UL) — conditional loss minus expected loss. Capital covers UL.</w:t>
      </w:r>
    </w:p>
    <w:p>
      <w:pPr>
        <w:spacing w:after="60" w:before="60"/>
      </w:pPr>
      <w:r>
        <w:t xml:space="preserve"/>
      </w:r>
    </w:p>
    <w:p>
      <w:pPr>
        <w:pStyle w:val="Heading3"/>
        <w:spacing w:after="100" w:before="200"/>
      </w:pPr>
      <w:r>
        <w:rPr>
          <w:rFonts w:ascii="Arial" w:cs="Arial" w:eastAsia="Arial" w:hAnsi="Arial"/>
          <w:sz w:val="22"/>
          <w:szCs w:val="22"/>
        </w:rPr>
        <w:t xml:space="preserve">3.4 The Confidence Level — Why 99.9%?</w:t>
      </w:r>
    </w:p>
    <w:p>
      <w:pPr>
        <w:spacing w:after="60" w:before="60"/>
      </w:pPr>
      <w:r>
        <w:t xml:space="preserve"/>
      </w:r>
    </w:p>
    <w:p>
      <w:pPr>
        <w:spacing w:after="80" w:before="80"/>
      </w:pPr>
      <w:r>
        <w:rPr>
          <w:rFonts w:ascii="Arial" w:cs="Arial" w:eastAsia="Arial" w:hAnsi="Arial"/>
          <w:sz w:val="22"/>
          <w:szCs w:val="22"/>
        </w:rPr>
        <w:t xml:space="preserve">The Basel Committee calibrated the 99.9% confidence level so that well-diversified banking books hold enough capital to survive a </w:t>
      </w:r>
      <w:r>
        <w:rPr>
          <w:rFonts w:ascii="Arial" w:cs="Arial" w:eastAsia="Arial" w:hAnsi="Arial"/>
          <w:b/>
          <w:bCs/>
          <w:sz w:val="22"/>
          <w:szCs w:val="22"/>
        </w:rPr>
        <w:t xml:space="preserve">1-in-1,000 year</w:t>
      </w:r>
      <w:r>
        <w:rPr>
          <w:rFonts w:ascii="Arial" w:cs="Arial" w:eastAsia="Arial" w:hAnsi="Arial"/>
          <w:sz w:val="22"/>
          <w:szCs w:val="22"/>
        </w:rPr>
        <w:t xml:space="preserve"> economic shock. This is equivalent to an approximate A-/BBB+ rating for the banking system itself.</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4. Asset Correlation R — CRE31.5</w:t>
      </w:r>
    </w:p>
    <w:p>
      <w:pPr>
        <w:spacing w:after="60" w:before="60"/>
      </w:pPr>
      <w:r>
        <w:t xml:space="preserve"/>
      </w:r>
    </w:p>
    <w:p>
      <w:pPr>
        <w:spacing w:after="80" w:before="80"/>
      </w:pPr>
      <w:r>
        <w:rPr>
          <w:rFonts w:ascii="Arial" w:cs="Arial" w:eastAsia="Arial" w:hAnsi="Arial"/>
          <w:sz w:val="22"/>
          <w:szCs w:val="22"/>
        </w:rPr>
        <w:t xml:space="preserve">The asset correlation R determines how much a single obligor's default probability is tied to the systematic economic factor.</w:t>
      </w:r>
    </w:p>
    <w:p>
      <w:pPr>
        <w:spacing w:after="60" w:before="60"/>
      </w:pPr>
      <w:r>
        <w:t xml:space="preserve"/>
      </w:r>
    </w:p>
    <w:p>
      <w:pPr>
        <w:pStyle w:val="Heading3"/>
        <w:spacing w:after="100" w:before="200"/>
      </w:pPr>
      <w:r>
        <w:rPr>
          <w:rFonts w:ascii="Arial" w:cs="Arial" w:eastAsia="Arial" w:hAnsi="Arial"/>
          <w:sz w:val="22"/>
          <w:szCs w:val="22"/>
        </w:rPr>
        <w:t xml:space="preserve">4.1 Corporate / Bank / Sovereign Formula (CRE31.5)</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R = 0.12 × (1 − exp(−50×PD)) / (1 − exp(−50))
  + 0.24 × [1 − (1 − exp(−50×PD)) / (1 − exp(−50))]</w:t>
      </w:r>
    </w:p>
    <w:p>
      <w:pPr>
        <w:spacing w:after="60" w:before="60"/>
      </w:pPr>
      <w:r>
        <w:t xml:space="preserve"/>
      </w:r>
    </w:p>
    <w:p>
      <w:pPr>
        <w:spacing w:after="80" w:before="80"/>
      </w:pPr>
      <w:r>
        <w:rPr>
          <w:rFonts w:ascii="Arial" w:cs="Arial" w:eastAsia="Arial" w:hAnsi="Arial"/>
          <w:sz w:val="22"/>
          <w:szCs w:val="22"/>
        </w:rPr>
        <w:t xml:space="preserve">This is a </w:t>
      </w:r>
      <w:r>
        <w:rPr>
          <w:rFonts w:ascii="Arial" w:cs="Arial" w:eastAsia="Arial" w:hAnsi="Arial"/>
          <w:b/>
          <w:bCs/>
          <w:sz w:val="22"/>
          <w:szCs w:val="22"/>
        </w:rPr>
        <w:t xml:space="preserve">weighted interpolation</w:t>
      </w:r>
      <w:r>
        <w:rPr>
          <w:rFonts w:ascii="Arial" w:cs="Arial" w:eastAsia="Arial" w:hAnsi="Arial"/>
          <w:sz w:val="22"/>
          <w:szCs w:val="22"/>
        </w:rPr>
        <w:t xml:space="preserve"> between:</w:t>
      </w:r>
    </w:p>
    <w:p>
      <w:pPr>
        <w:pStyle w:val="ListParagraph"/>
        <w:numPr>
          <w:ilvl w:val="0"/>
          <w:numId w:val="3"/>
        </w:numPr>
        <w:spacing w:after="40" w:before="40"/>
      </w:pPr>
      <w:r>
        <w:rPr>
          <w:rFonts w:ascii="Arial" w:cs="Arial" w:eastAsia="Arial" w:hAnsi="Arial"/>
          <w:b/>
          <w:bCs/>
          <w:sz w:val="22"/>
          <w:szCs w:val="22"/>
        </w:rPr>
        <w:t xml:space="preserve">0.12</w:t>
      </w:r>
      <w:r>
        <w:rPr>
          <w:rFonts w:ascii="Arial" w:cs="Arial" w:eastAsia="Arial" w:hAnsi="Arial"/>
          <w:sz w:val="22"/>
          <w:szCs w:val="22"/>
        </w:rPr>
        <w:t xml:space="preserve"> (low-R bound): applies at high PD — distressed obligors are idiosyncratic (their defaults are not strongly correlated with each other)</w:t>
      </w:r>
    </w:p>
    <w:p>
      <w:pPr>
        <w:pStyle w:val="ListParagraph"/>
        <w:numPr>
          <w:ilvl w:val="0"/>
          <w:numId w:val="3"/>
        </w:numPr>
        <w:spacing w:after="40" w:before="40"/>
      </w:pPr>
      <w:r>
        <w:rPr>
          <w:rFonts w:ascii="Arial" w:cs="Arial" w:eastAsia="Arial" w:hAnsi="Arial"/>
          <w:b/>
          <w:bCs/>
          <w:sz w:val="22"/>
          <w:szCs w:val="22"/>
        </w:rPr>
        <w:t xml:space="preserve">0.24</w:t>
      </w:r>
      <w:r>
        <w:rPr>
          <w:rFonts w:ascii="Arial" w:cs="Arial" w:eastAsia="Arial" w:hAnsi="Arial"/>
          <w:sz w:val="22"/>
          <w:szCs w:val="22"/>
        </w:rPr>
        <w:t xml:space="preserve"> (high-R bound): applies at low PD — investment-grade obligors are highly correlated with the economic cycle</w:t>
      </w:r>
    </w:p>
    <w:p>
      <w:pPr>
        <w:spacing w:after="60" w:before="60"/>
      </w:pPr>
      <w:r>
        <w:t xml:space="preserve"/>
      </w:r>
    </w:p>
    <w:p>
      <w:pPr>
        <w:spacing w:after="80" w:before="80"/>
      </w:pPr>
      <w:r>
        <w:rPr>
          <w:rFonts w:ascii="Arial" w:cs="Arial" w:eastAsia="Arial" w:hAnsi="Arial"/>
          <w:b/>
          <w:bCs/>
          <w:sz w:val="22"/>
          <w:szCs w:val="22"/>
        </w:rPr>
        <w:t xml:space="preserve">Intuition:</w:t>
      </w:r>
      <w:r>
        <w:rPr>
          <w:rFonts w:ascii="Arial" w:cs="Arial" w:eastAsia="Arial" w:hAnsi="Arial"/>
          <w:sz w:val="22"/>
          <w:szCs w:val="22"/>
        </w:rPr>
        <w:t xml:space="preserve"> A high-quality investment-grade borrower that defaults is almost certainly doing so because of a systemic economic shock (everyone suffers together). A sub-investment-grade borrower that defaults may be doing so for idiosyncratic reasons (bad management, sector-specific issue). Hence low-PD obligors have </w:t>
      </w:r>
      <w:r>
        <w:rPr>
          <w:rFonts w:ascii="Arial" w:cs="Arial" w:eastAsia="Arial" w:hAnsi="Arial"/>
          <w:b/>
          <w:bCs/>
          <w:sz w:val="22"/>
          <w:szCs w:val="22"/>
        </w:rPr>
        <w:t xml:space="preserve">higher</w:t>
      </w:r>
      <w:r>
        <w:rPr>
          <w:rFonts w:ascii="Arial" w:cs="Arial" w:eastAsia="Arial" w:hAnsi="Arial"/>
          <w:sz w:val="22"/>
          <w:szCs w:val="22"/>
        </w:rPr>
        <w:t xml:space="preserve"> R.</w:t>
      </w:r>
    </w:p>
    <w:p>
      <w:pPr>
        <w:spacing w:after="60" w:before="60"/>
      </w:pPr>
      <w:r>
        <w:t xml:space="preserve"/>
      </w:r>
    </w:p>
    <w:p>
      <w:pPr>
        <w:pStyle w:val="Heading3"/>
        <w:spacing w:after="100" w:before="200"/>
      </w:pPr>
      <w:r>
        <w:rPr>
          <w:rFonts w:ascii="Arial" w:cs="Arial" w:eastAsia="Arial" w:hAnsi="Arial"/>
          <w:sz w:val="22"/>
          <w:szCs w:val="22"/>
        </w:rPr>
        <w:t xml:space="preserve">4.2 Retail Asset Classes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Style w:val="Heading3"/>
        <w:spacing w:after="100" w:before="200"/>
      </w:pPr>
      <w:r>
        <w:rPr>
          <w:rFonts w:ascii="Arial" w:cs="Arial" w:eastAsia="Arial" w:hAnsi="Arial"/>
          <w:sz w:val="22"/>
          <w:szCs w:val="22"/>
        </w:rPr>
        <w:t xml:space="preserve">4.3 SME Adjustment (CRE31.9)</w:t>
      </w:r>
    </w:p>
    <w:p>
      <w:pPr>
        <w:spacing w:after="60" w:before="60"/>
      </w:pPr>
      <w:r>
        <w:t xml:space="preserve"/>
      </w:r>
    </w:p>
    <w:p>
      <w:pPr>
        <w:spacing w:after="80" w:before="80"/>
      </w:pPr>
      <w:r>
        <w:rPr>
          <w:rFonts w:ascii="Arial" w:cs="Arial" w:eastAsia="Arial" w:hAnsi="Arial"/>
          <w:sz w:val="22"/>
          <w:szCs w:val="22"/>
        </w:rPr>
        <w:t xml:space="preserve">For corporates with annual sales S ∈ (5, 50) million EUR:</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R_SME = R_corp − 0.04 × (1 − (S − 5) / 45)</w:t>
      </w:r>
    </w:p>
    <w:p>
      <w:pPr>
        <w:spacing w:after="60" w:before="60"/>
      </w:pPr>
      <w:r>
        <w:t xml:space="preserve"/>
      </w:r>
    </w:p>
    <w:p>
      <w:pPr>
        <w:spacing w:after="80" w:before="80"/>
      </w:pPr>
      <w:r>
        <w:rPr>
          <w:rFonts w:ascii="Arial" w:cs="Arial" w:eastAsia="Arial" w:hAnsi="Arial"/>
          <w:sz w:val="22"/>
          <w:szCs w:val="22"/>
        </w:rPr>
        <w:t xml:space="preserve">At S = 5 mEUR: reduction = 0.04 (maximum benefit). At S = 50 mEUR: no reduction.</w:t>
      </w:r>
    </w:p>
    <w:p>
      <w:pPr>
        <w:spacing w:after="60" w:before="60"/>
      </w:pPr>
      <w:r>
        <w:t xml:space="preserve"/>
      </w:r>
    </w:p>
    <w:p>
      <w:pPr>
        <w:spacing w:after="80" w:before="80"/>
      </w:pPr>
      <w:r>
        <w:rPr>
          <w:rFonts w:ascii="Arial" w:cs="Arial" w:eastAsia="Arial" w:hAnsi="Arial"/>
          <w:b/>
          <w:bCs/>
          <w:sz w:val="22"/>
          <w:szCs w:val="22"/>
        </w:rPr>
        <w:t xml:space="preserve">Why:</w:t>
      </w:r>
      <w:r>
        <w:rPr>
          <w:rFonts w:ascii="Arial" w:cs="Arial" w:eastAsia="Arial" w:hAnsi="Arial"/>
          <w:sz w:val="22"/>
          <w:szCs w:val="22"/>
        </w:rPr>
        <w:t xml:space="preserve"> Small firms default more independently of the business cycle than large multinationals — they are less correlated with the systematic factor.</w:t>
      </w:r>
    </w:p>
    <w:p>
      <w:pPr>
        <w:spacing w:after="60" w:before="60"/>
      </w:pPr>
      <w:r>
        <w:t xml:space="preserve"/>
      </w:r>
    </w:p>
    <w:p>
      <w:pPr>
        <w:pStyle w:val="Heading3"/>
        <w:spacing w:after="100" w:before="200"/>
      </w:pPr>
      <w:r>
        <w:rPr>
          <w:rFonts w:ascii="Arial" w:cs="Arial" w:eastAsia="Arial" w:hAnsi="Arial"/>
          <w:sz w:val="22"/>
          <w:szCs w:val="22"/>
        </w:rPr>
        <w:t xml:space="preserve">4.4 Large Financial Institution Multiplier (CRE31.7)</w:t>
      </w:r>
    </w:p>
    <w:p>
      <w:pPr>
        <w:spacing w:after="60" w:before="60"/>
      </w:pPr>
      <w:r>
        <w:t xml:space="preserve"/>
      </w:r>
    </w:p>
    <w:p>
      <w:pPr>
        <w:spacing w:after="80" w:before="80"/>
      </w:pPr>
      <w:r>
        <w:rPr>
          <w:rFonts w:ascii="Arial" w:cs="Arial" w:eastAsia="Arial" w:hAnsi="Arial"/>
          <w:sz w:val="22"/>
          <w:szCs w:val="22"/>
        </w:rPr>
        <w:t xml:space="preserve">For regulated FIs with total assets ≥ USD 100bn or any unregulated FI:</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R_FI = R × 1.25</w:t>
      </w:r>
    </w:p>
    <w:p>
      <w:pPr>
        <w:spacing w:after="60" w:before="60"/>
      </w:pPr>
      <w:r>
        <w:t xml:space="preserve"/>
      </w:r>
    </w:p>
    <w:p>
      <w:pPr>
        <w:spacing w:after="80" w:before="80"/>
      </w:pPr>
      <w:r>
        <w:rPr>
          <w:rFonts w:ascii="Arial" w:cs="Arial" w:eastAsia="Arial" w:hAnsi="Arial"/>
          <w:b/>
          <w:bCs/>
          <w:sz w:val="22"/>
          <w:szCs w:val="22"/>
        </w:rPr>
        <w:t xml:space="preserve">Why:</w:t>
      </w:r>
      <w:r>
        <w:rPr>
          <w:rFonts w:ascii="Arial" w:cs="Arial" w:eastAsia="Arial" w:hAnsi="Arial"/>
          <w:sz w:val="22"/>
          <w:szCs w:val="22"/>
        </w:rPr>
        <w:t xml:space="preserve"> Financial institutions are highly interconnected (contagion risk). Their correlation with the systematic factor is higher than a standard corporate of the same PD.</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5. Maturity Adjustment — CRE31.7</w:t>
      </w:r>
    </w:p>
    <w:p>
      <w:pPr>
        <w:spacing w:after="60" w:before="60"/>
      </w:pPr>
      <w:r>
        <w:t xml:space="preserve"/>
      </w:r>
    </w:p>
    <w:p>
      <w:pPr>
        <w:spacing w:after="80" w:before="80"/>
      </w:pPr>
      <w:r>
        <w:rPr>
          <w:rFonts w:ascii="Arial" w:cs="Arial" w:eastAsia="Arial" w:hAnsi="Arial"/>
          <w:sz w:val="22"/>
          <w:szCs w:val="22"/>
        </w:rPr>
        <w:t xml:space="preserve">Longer-dated exposures carry more risk because there is more time for credit migration (downgrade or default). The maturity adjustment captures this: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b(PD) = (0.11852 − 0.05478 × ln(PD))²
MA = (1 + (M − 2.5) × b) / (1 − 1.5 × b)</w:t>
      </w:r>
    </w:p>
    <w:p>
      <w:pPr>
        <w:spacing w:after="60" w:before="60"/>
      </w:pPr>
      <w:r>
        <w:t xml:space="preserve"/>
      </w:r>
    </w:p>
    <w:p>
      <w:pPr>
        <w:spacing w:after="80" w:before="80"/>
      </w:pPr>
      <w:r>
        <w:rPr>
          <w:rFonts w:ascii="Arial" w:cs="Arial" w:eastAsia="Arial" w:hAnsi="Arial"/>
          <w:sz w:val="22"/>
          <w:szCs w:val="22"/>
        </w:rPr>
        <w:t xml:space="preserve">Where:</w:t>
      </w:r>
    </w:p>
    <w:p>
      <w:pPr>
        <w:pStyle w:val="ListParagraph"/>
        <w:numPr>
          <w:ilvl w:val="0"/>
          <w:numId w:val="3"/>
        </w:numPr>
        <w:spacing w:after="40" w:before="40"/>
      </w:pPr>
      <w:r>
        <w:rPr>
          <w:rFonts w:ascii="Arial" w:cs="Arial" w:eastAsia="Arial" w:hAnsi="Arial"/>
          <w:b/>
          <w:bCs/>
          <w:sz w:val="22"/>
          <w:szCs w:val="22"/>
        </w:rPr>
        <w:t xml:space="preserve">b</w:t>
      </w:r>
      <w:r>
        <w:rPr>
          <w:rFonts w:ascii="Arial" w:cs="Arial" w:eastAsia="Arial" w:hAnsi="Arial"/>
          <w:sz w:val="22"/>
          <w:szCs w:val="22"/>
        </w:rPr>
        <w:t xml:space="preserve"> = sensitivity of K to maturity — higher for low-PD (IG) obligors (they have more "room to fall")</w:t>
      </w:r>
    </w:p>
    <w:p>
      <w:pPr>
        <w:pStyle w:val="ListParagraph"/>
        <w:numPr>
          <w:ilvl w:val="0"/>
          <w:numId w:val="3"/>
        </w:numPr>
        <w:spacing w:after="40" w:before="40"/>
      </w:pPr>
      <w:r>
        <w:rPr>
          <w:rFonts w:ascii="Arial" w:cs="Arial" w:eastAsia="Arial" w:hAnsi="Arial"/>
          <w:b/>
          <w:bCs/>
          <w:sz w:val="22"/>
          <w:szCs w:val="22"/>
        </w:rPr>
        <w:t xml:space="preserve">M</w:t>
      </w:r>
      <w:r>
        <w:rPr>
          <w:rFonts w:ascii="Arial" w:cs="Arial" w:eastAsia="Arial" w:hAnsi="Arial"/>
          <w:sz w:val="22"/>
          <w:szCs w:val="22"/>
        </w:rPr>
        <w:t xml:space="preserve"> = effective maturity in years, floored at 1 year, capped at 5 years (CRE31.7)</w:t>
      </w:r>
    </w:p>
    <w:p>
      <w:pPr>
        <w:pStyle w:val="ListParagraph"/>
        <w:numPr>
          <w:ilvl w:val="0"/>
          <w:numId w:val="3"/>
        </w:numPr>
        <w:spacing w:after="40" w:before="40"/>
      </w:pPr>
      <w:r>
        <w:rPr>
          <w:rFonts w:ascii="Arial" w:cs="Arial" w:eastAsia="Arial" w:hAnsi="Arial"/>
          <w:b/>
          <w:bCs/>
          <w:sz w:val="22"/>
          <w:szCs w:val="22"/>
        </w:rPr>
        <w:t xml:space="preserve">MA &gt; 1</w:t>
      </w:r>
      <w:r>
        <w:rPr>
          <w:rFonts w:ascii="Arial" w:cs="Arial" w:eastAsia="Arial" w:hAnsi="Arial"/>
          <w:sz w:val="22"/>
          <w:szCs w:val="22"/>
        </w:rPr>
        <w:t xml:space="preserve"> for M &gt; 2.5 (long-dated loans penalised)</w:t>
      </w:r>
    </w:p>
    <w:p>
      <w:pPr>
        <w:pStyle w:val="ListParagraph"/>
        <w:numPr>
          <w:ilvl w:val="0"/>
          <w:numId w:val="3"/>
        </w:numPr>
        <w:spacing w:after="40" w:before="40"/>
      </w:pPr>
      <w:r>
        <w:rPr>
          <w:rFonts w:ascii="Arial" w:cs="Arial" w:eastAsia="Arial" w:hAnsi="Arial"/>
          <w:b/>
          <w:bCs/>
          <w:sz w:val="22"/>
          <w:szCs w:val="22"/>
        </w:rPr>
        <w:t xml:space="preserve">MA &lt; 1</w:t>
      </w:r>
      <w:r>
        <w:rPr>
          <w:rFonts w:ascii="Arial" w:cs="Arial" w:eastAsia="Arial" w:hAnsi="Arial"/>
          <w:sz w:val="22"/>
          <w:szCs w:val="22"/>
        </w:rPr>
        <w:t xml:space="preserve"> for M &lt; 2.5 (short-dated loans benefit)</w:t>
      </w:r>
    </w:p>
    <w:p>
      <w:pPr>
        <w:pStyle w:val="ListParagraph"/>
        <w:numPr>
          <w:ilvl w:val="0"/>
          <w:numId w:val="3"/>
        </w:numPr>
        <w:spacing w:after="40" w:before="40"/>
      </w:pPr>
      <w:r>
        <w:rPr>
          <w:rFonts w:ascii="Arial" w:cs="Arial" w:eastAsia="Arial" w:hAnsi="Arial"/>
          <w:b/>
          <w:bCs/>
          <w:sz w:val="22"/>
          <w:szCs w:val="22"/>
        </w:rPr>
        <w:t xml:space="preserve">Retail:</w:t>
      </w:r>
      <w:r>
        <w:rPr>
          <w:rFonts w:ascii="Arial" w:cs="Arial" w:eastAsia="Arial" w:hAnsi="Arial"/>
          <w:sz w:val="22"/>
          <w:szCs w:val="22"/>
        </w:rPr>
        <w:t xml:space="preserve"> b = 0, MA = 1 always (no maturity adjustment for retail)</w:t>
      </w:r>
    </w:p>
    <w:p>
      <w:pPr>
        <w:spacing w:after="60" w:before="60"/>
      </w:pPr>
      <w:r>
        <w:t xml:space="preserve"/>
      </w:r>
    </w:p>
    <w:p>
      <w:pPr>
        <w:spacing w:after="80" w:before="80"/>
      </w:pPr>
      <w:r>
        <w:rPr>
          <w:rFonts w:ascii="Arial" w:cs="Arial" w:eastAsia="Arial" w:hAnsi="Arial"/>
          <w:b/>
          <w:bCs/>
          <w:sz w:val="22"/>
          <w:szCs w:val="22"/>
        </w:rPr>
        <w:t xml:space="preserve">CRE31.8 — Daily-margined derivatives:</w:t>
      </w:r>
      <w:r>
        <w:rPr>
          <w:rFonts w:ascii="Arial" w:cs="Arial" w:eastAsia="Arial" w:hAnsi="Arial"/>
          <w:sz w:val="22"/>
          <w:szCs w:val="22"/>
        </w:rPr>
        <w:t xml:space="preserve"> M is capped at 1 year when </w:t>
      </w:r>
      <w:r>
        <w:rPr>
          <w:rFonts w:ascii="Courier New" w:cs="Courier New" w:eastAsia="Courier New" w:hAnsi="Courier New"/>
          <w:color w:val="C7254E"/>
          <w:sz w:val="20"/>
          <w:szCs w:val="20"/>
          <w:shd w:fill="F9F2F4" w:val="clear"/>
        </w:rPr>
        <w:t xml:space="preserve">is_margined = True</w:t>
      </w:r>
      <w:r>
        <w:rPr>
          <w:rFonts w:ascii="Arial" w:cs="Arial" w:eastAsia="Arial" w:hAnsi="Arial"/>
          <w:sz w:val="22"/>
          <w:szCs w:val="22"/>
        </w:rPr>
        <w:t xml:space="preserve">, dramatically reducing the maturity penalty for OTC derivatives that are daily-variation-margined.</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6. Credit Risk Mitigation (CRM) — CRE32</w:t>
      </w:r>
    </w:p>
    <w:p>
      <w:pPr>
        <w:spacing w:after="60" w:before="60"/>
      </w:pPr>
      <w:r>
        <w:t xml:space="preserve"/>
      </w:r>
    </w:p>
    <w:p>
      <w:pPr>
        <w:spacing w:after="80" w:before="80"/>
      </w:pPr>
      <w:r>
        <w:rPr>
          <w:rFonts w:ascii="Arial" w:cs="Arial" w:eastAsia="Arial" w:hAnsi="Arial"/>
          <w:sz w:val="22"/>
          <w:szCs w:val="22"/>
        </w:rPr>
        <w:t xml:space="preserve">CRM reduces capital requirements by recognising collateral, guarantees, and CDS. The PROMETHEUS engine applies a four-step CRM chain.</w:t>
      </w:r>
    </w:p>
    <w:p>
      <w:pPr>
        <w:spacing w:after="60" w:before="60"/>
      </w:pPr>
      <w:r>
        <w:t xml:space="preserve"/>
      </w:r>
    </w:p>
    <w:p>
      <w:pPr>
        <w:pStyle w:val="Heading3"/>
        <w:spacing w:after="100" w:before="200"/>
      </w:pPr>
      <w:r>
        <w:rPr>
          <w:rFonts w:ascii="Arial" w:cs="Arial" w:eastAsia="Arial" w:hAnsi="Arial"/>
          <w:sz w:val="22"/>
          <w:szCs w:val="22"/>
        </w:rPr>
        <w:t xml:space="preserve">6.1 Step A — Retail Deposit Netting (CRE32.63)</w:t>
      </w:r>
    </w:p>
    <w:p>
      <w:pPr>
        <w:spacing w:after="60" w:before="60"/>
      </w:pPr>
      <w:r>
        <w:t xml:space="preserve"/>
      </w:r>
    </w:p>
    <w:p>
      <w:pPr>
        <w:spacing w:after="80" w:before="80"/>
      </w:pPr>
      <w:r>
        <w:rPr>
          <w:rFonts w:ascii="Arial" w:cs="Arial" w:eastAsia="Arial" w:hAnsi="Arial"/>
          <w:sz w:val="22"/>
          <w:szCs w:val="22"/>
        </w:rPr>
        <w:t xml:space="preserve">Only for retail exposures where a bank holds a deposit from the same borrower:</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EAD_net = max(EAD − Deposit, 0)</w:t>
      </w:r>
    </w:p>
    <w:p>
      <w:pPr>
        <w:spacing w:after="60" w:before="60"/>
      </w:pPr>
      <w:r>
        <w:t xml:space="preserve"/>
      </w:r>
    </w:p>
    <w:p>
      <w:pPr>
        <w:pStyle w:val="Heading3"/>
        <w:spacing w:after="100" w:before="200"/>
      </w:pPr>
      <w:r>
        <w:rPr>
          <w:rFonts w:ascii="Arial" w:cs="Arial" w:eastAsia="Arial" w:hAnsi="Arial"/>
          <w:sz w:val="22"/>
          <w:szCs w:val="22"/>
        </w:rPr>
        <w:t xml:space="preserve">6.2 Step B — Funded Collateral: LGD* Formula (CRE32.10–13)</w:t>
      </w:r>
    </w:p>
    <w:p>
      <w:pPr>
        <w:spacing w:after="60" w:before="60"/>
      </w:pPr>
      <w:r>
        <w:t xml:space="preserve"/>
      </w:r>
    </w:p>
    <w:p>
      <w:pPr>
        <w:spacing w:after="80" w:before="80"/>
      </w:pPr>
      <w:r>
        <w:rPr>
          <w:rFonts w:ascii="Arial" w:cs="Arial" w:eastAsia="Arial" w:hAnsi="Arial"/>
          <w:sz w:val="22"/>
          <w:szCs w:val="22"/>
        </w:rPr>
        <w:t xml:space="preserve">When the bank holds financial collateral, receivables, or real estate:</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SC    = Collateral_Value × (1 − hc)   [credit-risk-adjusted collateral]
E_S   = min(SC, EAD)                  [secured portion]
E_U   = max(EAD − SC, 0)             [unsecured portion]
LGD*  = (E_U / EAD) × LGD_unsecured + (E_S / EAD) × LGD_secured</w:t>
      </w:r>
    </w:p>
    <w:p>
      <w:pPr>
        <w:spacing w:after="60" w:before="60"/>
      </w:pPr>
      <w:r>
        <w:t xml:space="preserve"/>
      </w:r>
    </w:p>
    <w:p>
      <w:pPr>
        <w:spacing w:after="80" w:before="80"/>
      </w:pPr>
      <w:r>
        <w:rPr>
          <w:rFonts w:ascii="Arial" w:cs="Arial" w:eastAsia="Arial" w:hAnsi="Arial"/>
          <w:b/>
          <w:bCs/>
          <w:sz w:val="22"/>
          <w:szCs w:val="22"/>
        </w:rPr>
        <w:t xml:space="preserve">Collateral parameters by 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Key fix (FIX-04 CRE32.13):</w:t>
      </w:r>
      <w:r>
        <w:rPr>
          <w:rFonts w:ascii="Arial" w:cs="Arial" w:eastAsia="Arial" w:hAnsi="Arial"/>
          <w:sz w:val="22"/>
          <w:szCs w:val="22"/>
        </w:rPr>
        <w:t xml:space="preserve"> The haircut applies to the </w:t>
      </w:r>
      <w:r>
        <w:rPr>
          <w:rFonts w:ascii="Arial" w:cs="Arial" w:eastAsia="Arial" w:hAnsi="Arial"/>
          <w:b/>
          <w:bCs/>
          <w:sz w:val="22"/>
          <w:szCs w:val="22"/>
        </w:rPr>
        <w:t xml:space="preserve">collateral value</w:t>
      </w:r>
      <w:r>
        <w:rPr>
          <w:rFonts w:ascii="Arial" w:cs="Arial" w:eastAsia="Arial" w:hAnsi="Arial"/>
          <w:sz w:val="22"/>
          <w:szCs w:val="22"/>
        </w:rPr>
        <w:t xml:space="preserve">, not to the exposure. Previous implementations incorrectly inflated EAD by the haircut.</w:t>
      </w:r>
    </w:p>
    <w:p>
      <w:pPr>
        <w:spacing w:after="60" w:before="60"/>
      </w:pPr>
      <w:r>
        <w:t xml:space="preserve"/>
      </w:r>
    </w:p>
    <w:p>
      <w:pPr>
        <w:pStyle w:val="Heading3"/>
        <w:spacing w:after="100" w:before="200"/>
      </w:pPr>
      <w:r>
        <w:rPr>
          <w:rFonts w:ascii="Arial" w:cs="Arial" w:eastAsia="Arial" w:hAnsi="Arial"/>
          <w:sz w:val="22"/>
          <w:szCs w:val="22"/>
        </w:rPr>
        <w:t xml:space="preserve">6.3 Step C — Guarantee: Split-K Method (CRE32.24–27)</w:t>
      </w:r>
    </w:p>
    <w:p>
      <w:pPr>
        <w:spacing w:after="60" w:before="60"/>
      </w:pPr>
      <w:r>
        <w:t xml:space="preserve"/>
      </w:r>
    </w:p>
    <w:p>
      <w:pPr>
        <w:spacing w:after="80" w:before="80"/>
      </w:pPr>
      <w:r>
        <w:rPr>
          <w:rFonts w:ascii="Arial" w:cs="Arial" w:eastAsia="Arial" w:hAnsi="Arial"/>
          <w:sz w:val="22"/>
          <w:szCs w:val="22"/>
        </w:rPr>
        <w:t xml:space="preserve">When a third-party guarantee covers a fraction of the exposure:</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K_covered   = K(PD_guarantor, LGD_guarantor, M, R_guarantor, b_guarantor)
K_uncovered = K(PD_obligor,   LGD_obligor,   M, R_obligor,   b_obligor)
K_blended = Coverage × K_covered + (1 − Coverage) × K_uncovered</w:t>
      </w:r>
    </w:p>
    <w:p>
      <w:pPr>
        <w:spacing w:after="60" w:before="60"/>
      </w:pPr>
      <w:r>
        <w:t xml:space="preserve"/>
      </w:r>
    </w:p>
    <w:p>
      <w:pPr>
        <w:spacing w:after="80" w:before="80"/>
      </w:pPr>
      <w:r>
        <w:rPr>
          <w:rFonts w:ascii="Arial" w:cs="Arial" w:eastAsia="Arial" w:hAnsi="Arial"/>
          <w:b/>
          <w:bCs/>
          <w:sz w:val="22"/>
          <w:szCs w:val="22"/>
        </w:rPr>
        <w:t xml:space="preserve">Why split-K, not blended PD?</w:t>
      </w:r>
      <w:r>
        <w:rPr>
          <w:rFonts w:ascii="Arial" w:cs="Arial" w:eastAsia="Arial" w:hAnsi="Arial"/>
          <w:sz w:val="22"/>
          <w:szCs w:val="22"/>
        </w:rPr>
        <w:t xml:space="preserve"> The capital formula K is </w:t>
      </w:r>
      <w:r>
        <w:rPr>
          <w:rFonts w:ascii="Arial" w:cs="Arial" w:eastAsia="Arial" w:hAnsi="Arial"/>
          <w:b/>
          <w:bCs/>
          <w:sz w:val="22"/>
          <w:szCs w:val="22"/>
        </w:rPr>
        <w:t xml:space="preserve">non-linear</w:t>
      </w:r>
      <w:r>
        <w:rPr>
          <w:rFonts w:ascii="Arial" w:cs="Arial" w:eastAsia="Arial" w:hAnsi="Arial"/>
          <w:sz w:val="22"/>
          <w:szCs w:val="22"/>
        </w:rPr>
        <w:t xml:space="preserve"> in PD. Blending PDs before feeding to K produces a different (typically overstated) result compared to computing K separately and then blending.</w:t>
      </w:r>
    </w:p>
    <w:p>
      <w:pPr>
        <w:spacing w:after="60" w:before="60"/>
      </w:pPr>
      <w:r>
        <w:t xml:space="preserve"/>
      </w:r>
    </w:p>
    <w:p>
      <w:pPr>
        <w:pStyle w:val="Heading3"/>
        <w:spacing w:after="100" w:before="200"/>
      </w:pPr>
      <w:r>
        <w:rPr>
          <w:rFonts w:ascii="Arial" w:cs="Arial" w:eastAsia="Arial" w:hAnsi="Arial"/>
          <w:sz w:val="22"/>
          <w:szCs w:val="22"/>
        </w:rPr>
        <w:t xml:space="preserve">6.4 Step D — CDS Double-Default (CRE22.10)</w:t>
      </w:r>
    </w:p>
    <w:p>
      <w:pPr>
        <w:spacing w:after="60" w:before="60"/>
      </w:pPr>
      <w:r>
        <w:t xml:space="preserve"/>
      </w:r>
    </w:p>
    <w:p>
      <w:pPr>
        <w:spacing w:after="80" w:before="80"/>
      </w:pPr>
      <w:r>
        <w:rPr>
          <w:rFonts w:ascii="Arial" w:cs="Arial" w:eastAsia="Arial" w:hAnsi="Arial"/>
          <w:sz w:val="22"/>
          <w:szCs w:val="22"/>
        </w:rPr>
        <w:t xml:space="preserve">When a CDS provides protection and both the obligor and the protection seller would need to default simultaneously for the bank to suffer a loss: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PD_dd = PD_obligor × (0.15 + 160 × PD_guarantor)</w:t>
      </w:r>
    </w:p>
    <w:p>
      <w:pPr>
        <w:spacing w:after="60" w:before="60"/>
      </w:pPr>
      <w:r>
        <w:t xml:space="preserve"/>
      </w:r>
    </w:p>
    <w:p>
      <w:pPr>
        <w:spacing w:after="80" w:before="80"/>
      </w:pPr>
      <w:r>
        <w:rPr>
          <w:rFonts w:ascii="Arial" w:cs="Arial" w:eastAsia="Arial" w:hAnsi="Arial"/>
          <w:sz w:val="22"/>
          <w:szCs w:val="22"/>
        </w:rPr>
        <w:t xml:space="preserve">This formula recognises that </w:t>
      </w:r>
      <w:r>
        <w:rPr>
          <w:rFonts w:ascii="Arial" w:cs="Arial" w:eastAsia="Arial" w:hAnsi="Arial"/>
          <w:b/>
          <w:bCs/>
          <w:sz w:val="22"/>
          <w:szCs w:val="22"/>
        </w:rPr>
        <w:t xml:space="preserve">joint default probability</w:t>
      </w:r>
      <w:r>
        <w:rPr>
          <w:rFonts w:ascii="Arial" w:cs="Arial" w:eastAsia="Arial" w:hAnsi="Arial"/>
          <w:sz w:val="22"/>
          <w:szCs w:val="22"/>
        </w:rPr>
        <w:t xml:space="preserve"> is far lower than either individual PD. The maximum benefit is floored at </w:t>
      </w:r>
      <w:r>
        <w:rPr>
          <w:rFonts w:ascii="Courier New" w:cs="Courier New" w:eastAsia="Courier New" w:hAnsi="Courier New"/>
          <w:color w:val="C7254E"/>
          <w:sz w:val="20"/>
          <w:szCs w:val="20"/>
          <w:shd w:fill="F9F2F4" w:val="clear"/>
        </w:rPr>
        <w:t xml:space="preserve">PD_floor</w:t>
      </w:r>
      <w:r>
        <w:rPr>
          <w:rFonts w:ascii="Arial" w:cs="Arial" w:eastAsia="Arial" w:hAnsi="Arial"/>
          <w:sz w:val="22"/>
          <w:szCs w:val="22"/>
        </w:rPr>
        <w:t xml:space="preserve"> and capped at </w:t>
      </w:r>
      <w:r>
        <w:rPr>
          <w:rFonts w:ascii="Courier New" w:cs="Courier New" w:eastAsia="Courier New" w:hAnsi="Courier New"/>
          <w:color w:val="C7254E"/>
          <w:sz w:val="20"/>
          <w:szCs w:val="20"/>
          <w:shd w:fill="F9F2F4" w:val="clear"/>
        </w:rPr>
        <w:t xml:space="preserve">PD_obligor</w:t>
      </w:r>
      <w:r>
        <w:rPr>
          <w:rFonts w:ascii="Arial" w:cs="Arial" w:eastAsia="Arial" w:hAnsi="Arial"/>
          <w:sz w:val="22"/>
          <w:szCs w:val="22"/>
        </w:rPr>
        <w:t xml:space="preserve"> (double-default cannot increase capital).</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7. Expected Loss and Provisions — CRE35</w:t>
      </w:r>
    </w:p>
    <w:p>
      <w:pPr>
        <w:spacing w:after="60" w:before="60"/>
      </w:pPr>
      <w:r>
        <w:t xml:space="preserve"/>
      </w:r>
    </w:p>
    <w:p>
      <w:pPr>
        <w:pStyle w:val="Heading3"/>
        <w:spacing w:after="100" w:before="200"/>
      </w:pPr>
      <w:r>
        <w:rPr>
          <w:rFonts w:ascii="Arial" w:cs="Arial" w:eastAsia="Arial" w:hAnsi="Arial"/>
          <w:sz w:val="22"/>
          <w:szCs w:val="22"/>
        </w:rPr>
        <w:t xml:space="preserve">7.1 Expected Loss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EL = PD × LGD × EAD</w:t>
      </w:r>
    </w:p>
    <w:p>
      <w:pPr>
        <w:spacing w:after="60" w:before="60"/>
      </w:pPr>
      <w:r>
        <w:t xml:space="preserve"/>
      </w:r>
    </w:p>
    <w:p>
      <w:pPr>
        <w:spacing w:after="80" w:before="80"/>
      </w:pPr>
      <w:r>
        <w:rPr>
          <w:rFonts w:ascii="Arial" w:cs="Arial" w:eastAsia="Arial" w:hAnsi="Arial"/>
          <w:sz w:val="22"/>
          <w:szCs w:val="22"/>
        </w:rPr>
        <w:t xml:space="preserve">EL is the </w:t>
      </w:r>
      <w:r>
        <w:rPr>
          <w:rFonts w:ascii="Arial" w:cs="Arial" w:eastAsia="Arial" w:hAnsi="Arial"/>
          <w:b/>
          <w:bCs/>
          <w:sz w:val="22"/>
          <w:szCs w:val="22"/>
        </w:rPr>
        <w:t xml:space="preserve">average loss</w:t>
      </w:r>
      <w:r>
        <w:rPr>
          <w:rFonts w:ascii="Arial" w:cs="Arial" w:eastAsia="Arial" w:hAnsi="Arial"/>
          <w:sz w:val="22"/>
          <w:szCs w:val="22"/>
        </w:rPr>
        <w:t xml:space="preserve"> the bank expects over a 1-year horizon. It is not capital — it should be covered by </w:t>
      </w:r>
      <w:r>
        <w:rPr>
          <w:rFonts w:ascii="Arial" w:cs="Arial" w:eastAsia="Arial" w:hAnsi="Arial"/>
          <w:b/>
          <w:bCs/>
          <w:sz w:val="22"/>
          <w:szCs w:val="22"/>
        </w:rPr>
        <w:t xml:space="preserve">loan loss provisions</w:t>
      </w:r>
      <w:r>
        <w:rPr>
          <w:rFonts w:ascii="Arial" w:cs="Arial" w:eastAsia="Arial" w:hAnsi="Arial"/>
          <w:sz w:val="22"/>
          <w:szCs w:val="22"/>
        </w:rPr>
        <w:t xml:space="preserve"> (accounting reserves).</w:t>
      </w:r>
    </w:p>
    <w:p>
      <w:pPr>
        <w:spacing w:after="60" w:before="60"/>
      </w:pPr>
      <w:r>
        <w:t xml:space="preserve"/>
      </w:r>
    </w:p>
    <w:p>
      <w:pPr>
        <w:pStyle w:val="Heading3"/>
        <w:spacing w:after="100" w:before="200"/>
      </w:pPr>
      <w:r>
        <w:rPr>
          <w:rFonts w:ascii="Arial" w:cs="Arial" w:eastAsia="Arial" w:hAnsi="Arial"/>
          <w:sz w:val="22"/>
          <w:szCs w:val="22"/>
        </w:rPr>
        <w:t xml:space="preserve">7.2 CET1 Shortfall vs. Tier 2 Excess</w:t>
      </w:r>
    </w:p>
    <w:p>
      <w:pPr>
        <w:spacing w:after="60" w:before="60"/>
      </w:pPr>
      <w:r>
        <w:t xml:space="preserve"/>
      </w:r>
    </w:p>
    <w:p>
      <w:pPr>
        <w:spacing w:after="80" w:before="80"/>
      </w:pPr>
      <w:r>
        <w:rPr>
          <w:rFonts w:ascii="Arial" w:cs="Arial" w:eastAsia="Arial" w:hAnsi="Arial"/>
          <w:sz w:val="22"/>
          <w:szCs w:val="22"/>
        </w:rPr>
        <w:t xml:space="preserve">Under CRE35, the bank compares EL to its eligible provisions: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EL_diff = EL − Eligible Provisions
If EL_diff &gt; 0:    CET1 Deduction = EL_diff           (insufficient provisioning)
If EL_diff &lt; 0:    Tier 2 Add-back = min(|EL_diff|, 0.6% × RWA)</w:t>
      </w:r>
    </w:p>
    <w:p>
      <w:pPr>
        <w:spacing w:after="60" w:before="60"/>
      </w:pPr>
      <w:r>
        <w:t xml:space="preserve"/>
      </w:r>
    </w:p>
    <w:p>
      <w:pPr>
        <w:spacing w:after="80" w:before="80"/>
      </w:pPr>
      <w:r>
        <w:rPr>
          <w:rFonts w:ascii="Arial" w:cs="Arial" w:eastAsia="Arial" w:hAnsi="Arial"/>
          <w:sz w:val="22"/>
          <w:szCs w:val="22"/>
        </w:rPr>
        <w:t xml:space="preserve">Only </w:t>
      </w:r>
      <w:r>
        <w:rPr>
          <w:rFonts w:ascii="Arial" w:cs="Arial" w:eastAsia="Arial" w:hAnsi="Arial"/>
          <w:b/>
          <w:bCs/>
          <w:sz w:val="22"/>
          <w:szCs w:val="22"/>
        </w:rPr>
        <w:t xml:space="preserve">Stage 3 (credit-impaired) specific provisions</w:t>
      </w:r>
      <w:r>
        <w:rPr>
          <w:rFonts w:ascii="Arial" w:cs="Arial" w:eastAsia="Arial" w:hAnsi="Arial"/>
          <w:sz w:val="22"/>
          <w:szCs w:val="22"/>
        </w:rPr>
        <w:t xml:space="preserve"> under IFRS 9 are eligible for this offset. Stage 1 (12-month ECL) and Stage 2 (lifetime ECL, non-impaired) general provisions do not qualify.</w:t>
      </w:r>
    </w:p>
    <w:p>
      <w:pPr>
        <w:spacing w:after="60" w:before="60"/>
      </w:pPr>
      <w:r>
        <w:t xml:space="preserve"/>
      </w:r>
    </w:p>
    <w:p>
      <w:pPr>
        <w:spacing w:after="80" w:before="80"/>
      </w:pPr>
      <w:r>
        <w:rPr>
          <w:rFonts w:ascii="Arial" w:cs="Arial" w:eastAsia="Arial" w:hAnsi="Arial"/>
          <w:b/>
          <w:bCs/>
          <w:sz w:val="22"/>
          <w:szCs w:val="22"/>
        </w:rPr>
        <w:t xml:space="preserve">Capital impact:</w:t>
      </w:r>
      <w:r>
        <w:rPr>
          <w:rFonts w:ascii="Arial" w:cs="Arial" w:eastAsia="Arial" w:hAnsi="Arial"/>
          <w:sz w:val="22"/>
          <w:szCs w:val="22"/>
        </w:rPr>
        <w:t xml:space="preserve"> A bank that is under-provisioned (EL &gt; provisions) must deduct the shortfall from its highest-quality capital (CET1). This directly reduces the CET1 ratio.</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8. Double-Default Framework — CRE22</w:t>
      </w:r>
    </w:p>
    <w:p>
      <w:pPr>
        <w:spacing w:after="60" w:before="60"/>
      </w:pPr>
      <w:r>
        <w:t xml:space="preserve"/>
      </w:r>
    </w:p>
    <w:p>
      <w:pPr>
        <w:spacing w:after="80" w:before="80"/>
      </w:pPr>
      <w:r>
        <w:rPr>
          <w:rFonts w:ascii="Arial" w:cs="Arial" w:eastAsia="Arial" w:hAnsi="Arial"/>
          <w:sz w:val="22"/>
          <w:szCs w:val="22"/>
        </w:rPr>
        <w:t xml:space="preserve">The double-default formula (CRE22.10) is reproduced here in full:</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PD_dd = PD_obligor × (0.15 + 160 × PD_guarantor)</w:t>
      </w:r>
    </w:p>
    <w:p>
      <w:pPr>
        <w:spacing w:after="60" w:before="60"/>
      </w:pPr>
      <w:r>
        <w:t xml:space="preserve"/>
      </w:r>
    </w:p>
    <w:p>
      <w:pPr>
        <w:spacing w:after="80" w:before="80"/>
      </w:pPr>
      <w:r>
        <w:rPr>
          <w:rFonts w:ascii="Arial" w:cs="Arial" w:eastAsia="Arial" w:hAnsi="Arial"/>
          <w:b/>
          <w:bCs/>
          <w:sz w:val="22"/>
          <w:szCs w:val="22"/>
        </w:rPr>
        <w:t xml:space="preserve">Worked example:</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PD_obligor   = 2.00%   (BBB-rated corporate)
PD_guarantor = 0.10%   (AA-rated bank guarantee)
PD_dd = 0.02 × (0.15 + 160 × 0.001)
       = 0.02 × (0.15 + 0.16)
       = 0.02 × 0.31
       = 0.62%
Capital reduction: from 2.00% PD to 0.62% PD → significant RWA savings</w:t>
      </w:r>
    </w:p>
    <w:p>
      <w:pPr>
        <w:spacing w:after="60" w:before="60"/>
      </w:pPr>
      <w:r>
        <w:t xml:space="preserve"/>
      </w:r>
    </w:p>
    <w:p>
      <w:pPr>
        <w:spacing w:after="80" w:before="80"/>
      </w:pPr>
      <w:r>
        <w:rPr>
          <w:rFonts w:ascii="Arial" w:cs="Arial" w:eastAsia="Arial" w:hAnsi="Arial"/>
          <w:sz w:val="22"/>
          <w:szCs w:val="22"/>
        </w:rPr>
        <w:t xml:space="preserve">The 0.15 term represents the minimum contribution of the obligor's standalone risk even with a guarantor. The 160 × PD_g term amplifies the guarantor's quality — a higher-rated guarantor provides more benefit.</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9. Macroeconomic Overlay (Pillar 2 / ICAAP)</w:t>
      </w:r>
    </w:p>
    <w:p>
      <w:pPr>
        <w:spacing w:after="60" w:before="60"/>
      </w:pPr>
      <w:r>
        <w:t xml:space="preserve"/>
      </w:r>
    </w:p>
    <w:p>
      <w:pPr>
        <w:spacing w:after="80" w:before="80"/>
      </w:pPr>
      <w:r>
        <w:rPr>
          <w:rFonts w:ascii="Arial" w:cs="Arial" w:eastAsia="Arial" w:hAnsi="Arial"/>
          <w:sz w:val="22"/>
          <w:szCs w:val="22"/>
        </w:rPr>
        <w:t xml:space="preserve">The </w:t>
      </w:r>
      <w:r>
        <w:rPr>
          <w:rFonts w:ascii="Courier New" w:cs="Courier New" w:eastAsia="Courier New" w:hAnsi="Courier New"/>
          <w:color w:val="C7254E"/>
          <w:sz w:val="20"/>
          <w:szCs w:val="20"/>
          <w:shd w:fill="F9F2F4" w:val="clear"/>
        </w:rPr>
        <w:t xml:space="preserve">MacroeconomicOverlay</w:t>
      </w:r>
      <w:r>
        <w:rPr>
          <w:rFonts w:ascii="Arial" w:cs="Arial" w:eastAsia="Arial" w:hAnsi="Arial"/>
          <w:sz w:val="22"/>
          <w:szCs w:val="22"/>
        </w:rPr>
        <w:t xml:space="preserve"> class adjusts PD and LGD based on current market conditions. This is a </w:t>
      </w:r>
      <w:r>
        <w:rPr>
          <w:rFonts w:ascii="Arial" w:cs="Arial" w:eastAsia="Arial" w:hAnsi="Arial"/>
          <w:b/>
          <w:bCs/>
          <w:sz w:val="22"/>
          <w:szCs w:val="22"/>
        </w:rPr>
        <w:t xml:space="preserve">Pillar 2 / ICAAP</w:t>
      </w:r>
      <w:r>
        <w:rPr>
          <w:rFonts w:ascii="Arial" w:cs="Arial" w:eastAsia="Arial" w:hAnsi="Arial"/>
          <w:sz w:val="22"/>
          <w:szCs w:val="22"/>
        </w:rPr>
        <w:t xml:space="preserve"> tool — it never feeds into Pillar 1 regulatory capital.</w:t>
      </w:r>
    </w:p>
    <w:p>
      <w:pPr>
        <w:spacing w:after="60" w:before="60"/>
      </w:pPr>
      <w:r>
        <w:t xml:space="preserve"/>
      </w:r>
    </w:p>
    <w:p>
      <w:pPr>
        <w:pStyle w:val="Heading3"/>
        <w:spacing w:after="100" w:before="200"/>
      </w:pPr>
      <w:r>
        <w:rPr>
          <w:rFonts w:ascii="Arial" w:cs="Arial" w:eastAsia="Arial" w:hAnsi="Arial"/>
          <w:sz w:val="22"/>
          <w:szCs w:val="22"/>
        </w:rPr>
        <w:t xml:space="preserve">9.1 PD Macro Adjustment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PD_adjusted = PD_base × (1 + vix_impact + gdp_impact + default_impact)
vix_impact     = 0.15 × (VIX − 15) / 10
gdp_impact     = −0.20 × (GDP_growth − 2.0%)
default_impact = 0.50 × (credit_default_rate − 2%)
Adjustment factor clamped to [0.5×, 3.0×]</w:t>
      </w:r>
    </w:p>
    <w:p>
      <w:pPr>
        <w:spacing w:after="60" w:before="60"/>
      </w:pPr>
      <w:r>
        <w:t xml:space="preserve"/>
      </w:r>
    </w:p>
    <w:p>
      <w:pPr>
        <w:spacing w:after="80" w:before="80"/>
      </w:pPr>
      <w:r>
        <w:rPr>
          <w:rFonts w:ascii="Arial" w:cs="Arial" w:eastAsia="Arial" w:hAnsi="Arial"/>
          <w:b/>
          <w:bCs/>
          <w:sz w:val="22"/>
          <w:szCs w:val="22"/>
        </w:rPr>
        <w:t xml:space="preserve">Interpretation:</w:t>
      </w:r>
    </w:p>
    <w:p>
      <w:pPr>
        <w:pStyle w:val="ListParagraph"/>
        <w:numPr>
          <w:ilvl w:val="0"/>
          <w:numId w:val="3"/>
        </w:numPr>
        <w:spacing w:after="40" w:before="40"/>
      </w:pPr>
      <w:r>
        <w:rPr>
          <w:rFonts w:ascii="Arial" w:cs="Arial" w:eastAsia="Arial" w:hAnsi="Arial"/>
          <w:sz w:val="22"/>
          <w:szCs w:val="22"/>
        </w:rPr>
        <w:t xml:space="preserve">VIX rising from 15 to 25 (a stress event) → PD_adjusted = PD_base × 1.15</w:t>
      </w:r>
    </w:p>
    <w:p>
      <w:pPr>
        <w:pStyle w:val="ListParagraph"/>
        <w:numPr>
          <w:ilvl w:val="0"/>
          <w:numId w:val="3"/>
        </w:numPr>
        <w:spacing w:after="40" w:before="40"/>
      </w:pPr>
      <w:r>
        <w:rPr>
          <w:rFonts w:ascii="Arial" w:cs="Arial" w:eastAsia="Arial" w:hAnsi="Arial"/>
          <w:sz w:val="22"/>
          <w:szCs w:val="22"/>
        </w:rPr>
        <w:t xml:space="preserve">GDP falling from 2% to −1% (a recession) → PD_adjusted = PD_base × 1.60</w:t>
      </w:r>
    </w:p>
    <w:p>
      <w:pPr>
        <w:pStyle w:val="ListParagraph"/>
        <w:numPr>
          <w:ilvl w:val="0"/>
          <w:numId w:val="3"/>
        </w:numPr>
        <w:spacing w:after="40" w:before="40"/>
      </w:pPr>
      <w:r>
        <w:rPr>
          <w:rFonts w:ascii="Arial" w:cs="Arial" w:eastAsia="Arial" w:hAnsi="Arial"/>
          <w:sz w:val="22"/>
          <w:szCs w:val="22"/>
        </w:rPr>
        <w:t xml:space="preserve">Charge-off rate rising from 0.5% to 2% → PD_adjusted = PD_base × 1.75</w:t>
      </w:r>
    </w:p>
    <w:p>
      <w:pPr>
        <w:spacing w:after="60" w:before="60"/>
      </w:pPr>
      <w:r>
        <w:t xml:space="preserve"/>
      </w:r>
    </w:p>
    <w:p>
      <w:pPr>
        <w:pStyle w:val="Heading3"/>
        <w:spacing w:after="100" w:before="200"/>
      </w:pPr>
      <w:r>
        <w:rPr>
          <w:rFonts w:ascii="Arial" w:cs="Arial" w:eastAsia="Arial" w:hAnsi="Arial"/>
          <w:sz w:val="22"/>
          <w:szCs w:val="22"/>
        </w:rPr>
        <w:t xml:space="preserve">9.2 LGD Macro Adjustment (Frye Effect)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LGD_adjusted = LGD_base × (1 + spread_impact + default_impact)
spread_impact  = 0.10 × (HY_spread_bp − 400bp) / 100
default_impact = 0.30 × (credit_default_rate − 2%)
Adjustment factor clamped to [0.7×, 1.5×]</w:t>
      </w:r>
    </w:p>
    <w:p>
      <w:pPr>
        <w:spacing w:after="60" w:before="60"/>
      </w:pPr>
      <w:r>
        <w:t xml:space="preserve"/>
      </w:r>
    </w:p>
    <w:p>
      <w:pPr>
        <w:spacing w:after="80" w:before="80"/>
      </w:pPr>
      <w:r>
        <w:rPr>
          <w:rFonts w:ascii="Arial" w:cs="Arial" w:eastAsia="Arial" w:hAnsi="Arial"/>
          <w:b/>
          <w:bCs/>
          <w:sz w:val="22"/>
          <w:szCs w:val="22"/>
        </w:rPr>
        <w:t xml:space="preserve">Why LGD rises in crises (Frye effect):</w:t>
      </w:r>
      <w:r>
        <w:rPr>
          <w:rFonts w:ascii="Arial" w:cs="Arial" w:eastAsia="Arial" w:hAnsi="Arial"/>
          <w:sz w:val="22"/>
          <w:szCs w:val="22"/>
        </w:rPr>
        <w:t xml:space="preserve"> When many borrowers default simultaneously, the market for distressed assets becomes flooded. Recovery values fall because there are too many assets being liquidated at once and too few buyers. This is the </w:t>
      </w:r>
      <w:r>
        <w:rPr>
          <w:rFonts w:ascii="Arial" w:cs="Arial" w:eastAsia="Arial" w:hAnsi="Arial"/>
          <w:b/>
          <w:bCs/>
          <w:sz w:val="22"/>
          <w:szCs w:val="22"/>
        </w:rPr>
        <w:t xml:space="preserve">procyclicality</w:t>
      </w:r>
      <w:r>
        <w:rPr>
          <w:rFonts w:ascii="Arial" w:cs="Arial" w:eastAsia="Arial" w:hAnsi="Arial"/>
          <w:sz w:val="22"/>
          <w:szCs w:val="22"/>
        </w:rPr>
        <w:t xml:space="preserve"> of LGD — PD and LGD are positively correlated in crisis.</w:t>
      </w:r>
    </w:p>
    <w:p>
      <w:pPr>
        <w:spacing w:after="60" w:before="60"/>
      </w:pPr>
      <w:r>
        <w:t xml:space="preserve"/>
      </w:r>
    </w:p>
    <w:p>
      <w:pPr>
        <w:pStyle w:val="Heading3"/>
        <w:spacing w:after="100" w:before="200"/>
      </w:pPr>
      <w:r>
        <w:rPr>
          <w:rFonts w:ascii="Arial" w:cs="Arial" w:eastAsia="Arial" w:hAnsi="Arial"/>
          <w:sz w:val="22"/>
          <w:szCs w:val="22"/>
        </w:rPr>
        <w:t xml:space="preserve">9.3 Stress Index</w:t>
      </w:r>
    </w:p>
    <w:p>
      <w:pPr>
        <w:spacing w:after="60" w:before="60"/>
      </w:pPr>
      <w:r>
        <w:t xml:space="preserve"/>
      </w:r>
    </w:p>
    <w:p>
      <w:pPr>
        <w:spacing w:after="80" w:before="80"/>
      </w:pPr>
      <w:r>
        <w:rPr>
          <w:rFonts w:ascii="Arial" w:cs="Arial" w:eastAsia="Arial" w:hAnsi="Arial"/>
          <w:sz w:val="22"/>
          <w:szCs w:val="22"/>
        </w:rPr>
        <w:t xml:space="preserve">The macro conditions are summarised into a composite stress index ∈ [0, 1]:</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Stress Index = 0.25 × VIX/80 + 0.35 × (HY_spread − 300bp)/1000bp
             + 0.20 × (Unemployment − 3%)/5% + 0.20 × ChargeOff/10%
Regime Classification:
  Stress &lt; 0.30  → NORMAL
  Stress ∈ [0.30, 0.60) → STRESSED
  Stress ≥ 0.60  → CRISIS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10. Dynamic Correlation Model (Pillar 2)</w:t>
      </w:r>
    </w:p>
    <w:p>
      <w:pPr>
        <w:spacing w:after="60" w:before="60"/>
      </w:pPr>
      <w:r>
        <w:t xml:space="preserve"/>
      </w:r>
    </w:p>
    <w:p>
      <w:pPr>
        <w:spacing w:after="80" w:before="80"/>
      </w:pPr>
      <w:r>
        <w:rPr>
          <w:rFonts w:ascii="Arial" w:cs="Arial" w:eastAsia="Arial" w:hAnsi="Arial"/>
          <w:sz w:val="22"/>
          <w:szCs w:val="22"/>
        </w:rPr>
        <w:t xml:space="preserve">The </w:t>
      </w:r>
      <w:r>
        <w:rPr>
          <w:rFonts w:ascii="Courier New" w:cs="Courier New" w:eastAsia="Courier New" w:hAnsi="Courier New"/>
          <w:color w:val="C7254E"/>
          <w:sz w:val="20"/>
          <w:szCs w:val="20"/>
          <w:shd w:fill="F9F2F4" w:val="clear"/>
        </w:rPr>
        <w:t xml:space="preserve">DynamicCorrelationModel</w:t>
      </w:r>
      <w:r>
        <w:rPr>
          <w:rFonts w:ascii="Arial" w:cs="Arial" w:eastAsia="Arial" w:hAnsi="Arial"/>
          <w:sz w:val="22"/>
          <w:szCs w:val="22"/>
        </w:rPr>
        <w:t xml:space="preserve"> provides a regime-dependent view of asset correlation for Pillar 2 / ICAAP stress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Important:</w:t>
      </w:r>
      <w:r>
        <w:rPr>
          <w:rFonts w:ascii="Arial" w:cs="Arial" w:eastAsia="Arial" w:hAnsi="Arial"/>
          <w:sz w:val="22"/>
          <w:szCs w:val="22"/>
        </w:rPr>
        <w:t xml:space="preserve"> Even in Pillar 2, all values are capped at the CRE31.5 regulatory ceiling. Previous implementations had crisis values of 0.40–0.85, which were empirically implausible and produced ICAAP capital 3–4× above Pillar 1.</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11. Stressed vs. Baseline Regime</w:t>
      </w:r>
    </w:p>
    <w:p>
      <w:pPr>
        <w:spacing w:after="60" w:before="60"/>
      </w:pPr>
      <w:r>
        <w:t xml:space="preserve"/>
      </w:r>
    </w:p>
    <w:p>
      <w:pPr>
        <w:spacing w:after="80" w:before="80"/>
      </w:pPr>
      <w:r>
        <w:rPr>
          <w:rFonts w:ascii="Arial" w:cs="Arial" w:eastAsia="Arial" w:hAnsi="Arial"/>
          <w:sz w:val="22"/>
          <w:szCs w:val="22"/>
        </w:rPr>
        <w:t xml:space="preserve">When </w:t>
      </w:r>
      <w:r>
        <w:rPr>
          <w:rFonts w:ascii="Courier New" w:cs="Courier New" w:eastAsia="Courier New" w:hAnsi="Courier New"/>
          <w:color w:val="C7254E"/>
          <w:sz w:val="20"/>
          <w:szCs w:val="20"/>
          <w:shd w:fill="F9F2F4" w:val="clear"/>
        </w:rPr>
        <w:t xml:space="preserve">use_stressed_params = True</w:t>
      </w:r>
      <w:r>
        <w:rPr>
          <w:rFonts w:ascii="Arial" w:cs="Arial" w:eastAsia="Arial" w:hAnsi="Arial"/>
          <w:sz w:val="22"/>
          <w:szCs w:val="22"/>
        </w:rPr>
        <w:t xml:space="preserve">, PD and LGD are multiplied by regime-specific stress factors before the capital formula: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HVCRE has the highest stress factor</w:t>
      </w:r>
      <w:r>
        <w:rPr>
          <w:rFonts w:ascii="Arial" w:cs="Arial" w:eastAsia="Arial" w:hAnsi="Arial"/>
          <w:sz w:val="22"/>
          <w:szCs w:val="22"/>
        </w:rPr>
        <w:t xml:space="preserve"> — reflecting the historical evidence that commercial real estate values can fall 40–60% in severe downturns, dramatically increasing LGD, while default rates spike more than standard corporates.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12. ESG / Climate Transition Risk — CRR3 Art. 87a</w:t>
      </w:r>
    </w:p>
    <w:p>
      <w:pPr>
        <w:spacing w:after="60" w:before="60"/>
      </w:pPr>
      <w:r>
        <w:t xml:space="preserve"/>
      </w:r>
    </w:p>
    <w:p>
      <w:pPr>
        <w:spacing w:after="80" w:before="80"/>
      </w:pPr>
      <w:r>
        <w:rPr>
          <w:rFonts w:ascii="Arial" w:cs="Arial" w:eastAsia="Arial" w:hAnsi="Arial"/>
          <w:sz w:val="22"/>
          <w:szCs w:val="22"/>
        </w:rPr>
        <w:t xml:space="preserve">A climate transition risk PD uplift is applied based on the exposure's </w:t>
      </w:r>
      <w:r>
        <w:rPr>
          <w:rFonts w:ascii="Courier New" w:cs="Courier New" w:eastAsia="Courier New" w:hAnsi="Courier New"/>
          <w:color w:val="C7254E"/>
          <w:sz w:val="20"/>
          <w:szCs w:val="20"/>
          <w:shd w:fill="F9F2F4" w:val="clear"/>
        </w:rPr>
        <w:t xml:space="preserve">climate_brown_factor</w:t>
      </w:r>
      <w:r>
        <w:rPr>
          <w:rFonts w:ascii="Arial" w:cs="Arial" w:eastAsia="Arial" w:hAnsi="Arial"/>
          <w:sz w:val="22"/>
          <w:szCs w:val="22"/>
        </w:rPr>
        <w:t xml:space="preserve"> (0 = green/neutral, 1 = fully brown/fossil fuel):</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PD_final = PD_base + brown_factor × uplift_rate[asset_class]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sz w:val="22"/>
          <w:szCs w:val="22"/>
        </w:rPr>
        <w:t xml:space="preserve">This is a regulatory add-on under EU CRR3 Article 87a, reflecting transition risk (carbon taxes, stranded asset risk) and physical risk (climate damage to collateral).</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12a. Through-the-Cycle PD Calibration — Version 3.8 (CRE36.63 / CRE36.77)</w:t>
      </w:r>
    </w:p>
    <w:p>
      <w:pPr>
        <w:spacing w:after="60" w:before="60"/>
      </w:pPr>
      <w:r>
        <w:t xml:space="preserve"/>
      </w:r>
    </w:p>
    <w:p>
      <w:pPr>
        <w:pStyle w:val="Heading3"/>
        <w:spacing w:after="100" w:before="200"/>
      </w:pPr>
      <w:r>
        <w:rPr>
          <w:rFonts w:ascii="Arial" w:cs="Arial" w:eastAsia="Arial" w:hAnsi="Arial"/>
          <w:sz w:val="22"/>
          <w:szCs w:val="22"/>
        </w:rPr>
        <w:t xml:space="preserve">Regulatory Requirement</w:t>
      </w:r>
    </w:p>
    <w:p>
      <w:pPr>
        <w:spacing w:after="60" w:before="60"/>
      </w:pPr>
      <w:r>
        <w:t xml:space="preserve"/>
      </w:r>
    </w:p>
    <w:p>
      <w:pPr>
        <w:spacing w:after="80" w:before="80"/>
      </w:pPr>
      <w:r>
        <w:rPr>
          <w:rFonts w:ascii="Arial" w:cs="Arial" w:eastAsia="Arial" w:hAnsi="Arial"/>
          <w:sz w:val="22"/>
          <w:szCs w:val="22"/>
        </w:rPr>
        <w:t xml:space="preserve">CRE36.63: </w:t>
      </w:r>
      <w:r>
        <w:rPr>
          <w:rFonts w:ascii="Arial" w:cs="Arial" w:eastAsia="Arial" w:hAnsi="Arial"/>
          <w:i/>
          <w:iCs/>
          <w:sz w:val="22"/>
          <w:szCs w:val="22"/>
        </w:rPr>
        <w:t xml:space="preserve">"PD estimates must be a long-run average of one-year default rates for borrowers in the grade."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CRE36.77: </w:t>
      </w:r>
      <w:r>
        <w:rPr>
          <w:rFonts w:ascii="Arial" w:cs="Arial" w:eastAsia="Arial" w:hAnsi="Arial"/>
          <w:i/>
          <w:iCs/>
          <w:sz w:val="22"/>
          <w:szCs w:val="22"/>
        </w:rPr>
        <w:t xml:space="preserve">"Banks must use information and techniques that take appropriate account of the long-run experience."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CRE31.17: PD floor for non-defaulted exposures = </w:t>
      </w:r>
      <w:r>
        <w:rPr>
          <w:rFonts w:ascii="Arial" w:cs="Arial" w:eastAsia="Arial" w:hAnsi="Arial"/>
          <w:b/>
          <w:bCs/>
          <w:sz w:val="22"/>
          <w:szCs w:val="22"/>
        </w:rPr>
        <w:t xml:space="preserve">3 basis points (0.03%)</w:t>
      </w:r>
      <w:r>
        <w:rPr>
          <w:rFonts w:ascii="Arial" w:cs="Arial" w:eastAsia="Arial" w:hAnsi="Arial"/>
          <w:sz w:val="22"/>
          <w:szCs w:val="22"/>
        </w:rPr>
        <w:t xml:space="preserve">.</w:t>
      </w:r>
    </w:p>
    <w:p>
      <w:pPr>
        <w:spacing w:after="60" w:before="60"/>
      </w:pPr>
      <w:r>
        <w:t xml:space="preserve"/>
      </w:r>
    </w:p>
    <w:p>
      <w:pPr>
        <w:spacing w:after="80" w:before="80"/>
      </w:pPr>
      <w:r>
        <w:rPr>
          <w:rFonts w:ascii="Arial" w:cs="Arial" w:eastAsia="Arial" w:hAnsi="Arial"/>
          <w:sz w:val="22"/>
          <w:szCs w:val="22"/>
        </w:rPr>
        <w:t xml:space="preserve">Market-implied (CDS-derived) PDs are Point-in-Time (PiT). They are appropriate for CVA capital (MAR50.32)</w:t>
      </w:r>
    </w:p>
    <w:p>
      <w:pPr>
        <w:spacing w:after="80" w:before="80"/>
      </w:pPr>
      <w:r>
        <w:rPr>
          <w:rFonts w:ascii="Arial" w:cs="Arial" w:eastAsia="Arial" w:hAnsi="Arial"/>
          <w:sz w:val="22"/>
          <w:szCs w:val="22"/>
        </w:rPr>
        <w:t xml:space="preserve">but </w:t>
      </w:r>
      <w:r>
        <w:rPr>
          <w:rFonts w:ascii="Arial" w:cs="Arial" w:eastAsia="Arial" w:hAnsi="Arial"/>
          <w:b/>
          <w:bCs/>
          <w:sz w:val="22"/>
          <w:szCs w:val="22"/>
        </w:rPr>
        <w:t xml:space="preserve">must not be used directly for A-IRB regulatory capital</w:t>
      </w:r>
      <w:r>
        <w:rPr>
          <w:rFonts w:ascii="Arial" w:cs="Arial" w:eastAsia="Arial" w:hAnsi="Arial"/>
          <w:sz w:val="22"/>
          <w:szCs w:val="22"/>
        </w:rPr>
        <w:t xml:space="preserve"> without TtC anchoring.</w:t>
      </w:r>
    </w:p>
    <w:p>
      <w:pPr>
        <w:spacing w:after="60" w:before="60"/>
      </w:pPr>
      <w:r>
        <w:t xml:space="preserve"/>
      </w:r>
    </w:p>
    <w:p>
      <w:pPr>
        <w:pStyle w:val="Heading3"/>
        <w:spacing w:after="100" w:before="200"/>
      </w:pPr>
      <w:r>
        <w:rPr>
          <w:rFonts w:ascii="Arial" w:cs="Arial" w:eastAsia="Arial" w:hAnsi="Arial"/>
          <w:sz w:val="22"/>
          <w:szCs w:val="22"/>
        </w:rPr>
        <w:t xml:space="preserve">Implementation (Version 3.8)</w:t>
      </w:r>
    </w:p>
    <w:p>
      <w:pPr>
        <w:spacing w:after="60" w:before="60"/>
      </w:pPr>
      <w:r>
        <w:t xml:space="preserve"/>
      </w:r>
    </w:p>
    <w:p>
      <w:pPr>
        <w:spacing w:after="80" w:before="80"/>
      </w:pPr>
      <w:r>
        <w:rPr>
          <w:rFonts w:ascii="Arial" w:cs="Arial" w:eastAsia="Arial" w:hAnsi="Arial"/>
          <w:b/>
          <w:bCs/>
          <w:sz w:val="22"/>
          <w:szCs w:val="22"/>
        </w:rPr>
        <w:t xml:space="preserve">`LRA_PD_TTC`</w:t>
      </w:r>
      <w:r>
        <w:rPr>
          <w:rFonts w:ascii="Arial" w:cs="Arial" w:eastAsia="Arial" w:hAnsi="Arial"/>
          <w:sz w:val="22"/>
          <w:szCs w:val="22"/>
        </w:rPr>
        <w:t xml:space="preserve"> — S&amp;P 42-year long-run average default rates (</w:t>
      </w:r>
      <w:r>
        <w:rPr>
          <w:rFonts w:ascii="Courier New" w:cs="Courier New" w:eastAsia="Courier New" w:hAnsi="Courier New"/>
          <w:color w:val="C7254E"/>
          <w:sz w:val="20"/>
          <w:szCs w:val="20"/>
          <w:shd w:fill="F9F2F4" w:val="clear"/>
        </w:rPr>
        <w:t xml:space="preserve">backend/data_sources/credit_calibration.py</w:t>
      </w:r>
      <w:r>
        <w:rPr>
          <w:rFonts w:ascii="Arial" w:cs="Arial" w:eastAsia="Arial" w:hAnsi="Arial"/>
          <w:sz w:val="22"/>
          <w:szCs w:val="22"/>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`pd_from_rating_ttc(rating, horizon_years, pit_pd)`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Anchors to </w:t>
      </w:r>
      <w:r>
        <w:rPr>
          <w:rFonts w:ascii="Courier New" w:cs="Courier New" w:eastAsia="Courier New" w:hAnsi="Courier New"/>
          <w:color w:val="C7254E"/>
          <w:sz w:val="20"/>
          <w:szCs w:val="20"/>
          <w:shd w:fill="F9F2F4" w:val="clear"/>
        </w:rPr>
        <w:t xml:space="preserve">LRA_PD_TTC[rating]</w:t>
      </w:r>
      <w:r>
        <w:rPr>
          <w:rFonts w:ascii="Arial" w:cs="Arial" w:eastAsia="Arial" w:hAnsi="Arial"/>
          <w:sz w:val="22"/>
          <w:szCs w:val="22"/>
        </w:rPr>
        <w:t xml:space="preserve"> — the TtC long-run baseline</w:t>
      </w:r>
    </w:p>
    <w:p>
      <w:pPr>
        <w:pStyle w:val="ListParagraph"/>
        <w:numPr>
          <w:ilvl w:val="0"/>
          <w:numId w:val="2"/>
        </w:numPr>
        <w:spacing w:after="40" w:before="40"/>
      </w:pPr>
      <w:r>
        <w:rPr>
          <w:rFonts w:ascii="Arial" w:cs="Arial" w:eastAsia="Arial" w:hAnsi="Arial"/>
          <w:sz w:val="22"/>
          <w:szCs w:val="22"/>
        </w:rPr>
        <w:t xml:space="preserve">Optional PiT blend: </w:t>
      </w:r>
      <w:r>
        <w:rPr>
          <w:rFonts w:ascii="Courier New" w:cs="Courier New" w:eastAsia="Courier New" w:hAnsi="Courier New"/>
          <w:color w:val="C7254E"/>
          <w:sz w:val="20"/>
          <w:szCs w:val="20"/>
          <w:shd w:fill="F9F2F4" w:val="clear"/>
        </w:rPr>
        <w:t xml:space="preserve">TtC_PD = 0.80 × LRA_PD + 0.20 × PiT_PD</w:t>
      </w:r>
      <w:r>
        <w:rPr>
          <w:rFonts w:ascii="Arial" w:cs="Arial" w:eastAsia="Arial" w:hAnsi="Arial"/>
          <w:sz w:val="22"/>
          <w:szCs w:val="22"/>
        </w:rPr>
        <w:t xml:space="preserve"> (80/20 lean-TtC per CRE36.77)</w:t>
      </w:r>
    </w:p>
    <w:p>
      <w:pPr>
        <w:pStyle w:val="ListParagraph"/>
        <w:numPr>
          <w:ilvl w:val="0"/>
          <w:numId w:val="2"/>
        </w:numPr>
        <w:spacing w:after="40" w:before="40"/>
      </w:pPr>
      <w:r>
        <w:rPr>
          <w:rFonts w:ascii="Arial" w:cs="Arial" w:eastAsia="Arial" w:hAnsi="Arial"/>
          <w:sz w:val="22"/>
          <w:szCs w:val="22"/>
        </w:rPr>
        <w:t xml:space="preserve">Horizon scaling: </w:t>
      </w:r>
      <w:r>
        <w:rPr>
          <w:rFonts w:ascii="Courier New" w:cs="Courier New" w:eastAsia="Courier New" w:hAnsi="Courier New"/>
          <w:color w:val="C7254E"/>
          <w:sz w:val="20"/>
          <w:szCs w:val="20"/>
          <w:shd w:fill="F9F2F4" w:val="clear"/>
        </w:rPr>
        <w:t xml:space="preserve">P(T) = 1 − (1 − P_1yr)^T</w:t>
      </w:r>
      <w:r>
        <w:rPr>
          <w:rFonts w:ascii="Arial" w:cs="Arial" w:eastAsia="Arial" w:hAnsi="Arial"/>
          <w:sz w:val="22"/>
          <w:szCs w:val="22"/>
        </w:rPr>
        <w:t xml:space="preserve"> (survival probability, not matrix power)</w:t>
      </w:r>
    </w:p>
    <w:p>
      <w:pPr>
        <w:pStyle w:val="ListParagraph"/>
        <w:numPr>
          <w:ilvl w:val="0"/>
          <w:numId w:val="2"/>
        </w:numPr>
        <w:spacing w:after="40" w:before="40"/>
      </w:pPr>
      <w:r>
        <w:rPr>
          <w:rFonts w:ascii="Arial" w:cs="Arial" w:eastAsia="Arial" w:hAnsi="Arial"/>
          <w:sz w:val="22"/>
          <w:szCs w:val="22"/>
        </w:rPr>
        <w:t xml:space="preserve">Clamped: </w:t>
      </w:r>
      <w:r>
        <w:rPr>
          <w:rFonts w:ascii="Courier New" w:cs="Courier New" w:eastAsia="Courier New" w:hAnsi="Courier New"/>
          <w:color w:val="C7254E"/>
          <w:sz w:val="20"/>
          <w:szCs w:val="20"/>
          <w:shd w:fill="F9F2F4" w:val="clear"/>
        </w:rPr>
        <w:t xml:space="preserve">[3bp, 99.9%]</w:t>
      </w:r>
      <w:r>
        <w:rPr>
          <w:rFonts w:ascii="Arial" w:cs="Arial" w:eastAsia="Arial" w:hAnsi="Arial"/>
          <w:sz w:val="22"/>
          <w:szCs w:val="22"/>
        </w:rPr>
        <w:t xml:space="preserve"> per CRE31.17</w:t>
      </w:r>
    </w:p>
    <w:p>
      <w:pPr>
        <w:spacing w:after="60" w:before="60"/>
      </w:pPr>
      <w:r>
        <w:t xml:space="preserve"/>
      </w:r>
    </w:p>
    <w:p>
      <w:pPr>
        <w:spacing w:after="80" w:before="80"/>
      </w:pPr>
      <w:r>
        <w:rPr>
          <w:rFonts w:ascii="Arial" w:cs="Arial" w:eastAsia="Arial" w:hAnsi="Arial"/>
          <w:b/>
          <w:bCs/>
          <w:sz w:val="22"/>
          <w:szCs w:val="22"/>
        </w:rPr>
        <w:t xml:space="preserve">`blended_pd()` in `a_irb.py`</w:t>
      </w:r>
      <w:r>
        <w:rPr>
          <w:rFonts w:ascii="Arial" w:cs="Arial" w:eastAsia="Arial" w:hAnsi="Arial"/>
          <w:sz w:val="22"/>
          <w:szCs w:val="22"/>
        </w:rPr>
        <w:t xml:space="preserve"> updated with the 80/20 TtC overlay:</w:t>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 Fix 7: regulatory_pd = 80% TtC LRA + 20% internal PiT blend
lra   = LRA_PD_TTC.get(rating, LRA_PD_TTC["NR"])
regulatory_pd = 0.80 * lra + 0.20 * pit_blended</w:t>
      </w:r>
    </w:p>
    <w:p>
      <w:pPr>
        <w:spacing w:after="60" w:before="60"/>
      </w:pPr>
      <w:r>
        <w:t xml:space="preserve"/>
      </w:r>
    </w:p>
    <w:p>
      <w:pPr>
        <w:pStyle w:val="Heading3"/>
        <w:spacing w:after="100" w:before="200"/>
      </w:pPr>
      <w:r>
        <w:rPr>
          <w:rFonts w:ascii="Arial" w:cs="Arial" w:eastAsia="Arial" w:hAnsi="Arial"/>
          <w:sz w:val="22"/>
          <w:szCs w:val="22"/>
        </w:rPr>
        <w:t xml:space="preserve">Stability Under Stress (Design Intent)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sz w:val="22"/>
          <w:szCs w:val="22"/>
        </w:rPr>
        <w:t xml:space="preserve">The TtC approach is counter-cyclical by design — RWA does not collapse in benign conditions</w:t>
      </w:r>
    </w:p>
    <w:p>
      <w:pPr>
        <w:spacing w:after="80" w:before="80"/>
      </w:pPr>
      <w:r>
        <w:rPr>
          <w:rFonts w:ascii="Arial" w:cs="Arial" w:eastAsia="Arial" w:hAnsi="Arial"/>
          <w:sz w:val="22"/>
          <w:szCs w:val="22"/>
        </w:rPr>
        <w:t xml:space="preserve">nor spike procyclically in stress, as required by CRE36.63.</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13. SA Output Floor — CRE20.4 / Basel IV</w:t>
      </w:r>
    </w:p>
    <w:p>
      <w:pPr>
        <w:spacing w:after="60" w:before="60"/>
      </w:pPr>
      <w:r>
        <w:t xml:space="preserve"/>
      </w:r>
    </w:p>
    <w:p>
      <w:pPr>
        <w:spacing w:after="80" w:before="80"/>
      </w:pPr>
      <w:r>
        <w:rPr>
          <w:rFonts w:ascii="Arial" w:cs="Arial" w:eastAsia="Arial" w:hAnsi="Arial"/>
          <w:sz w:val="22"/>
          <w:szCs w:val="22"/>
        </w:rPr>
        <w:t xml:space="preserve">Under Basel IV (fully phased in from January 2025), IRB RWA cannot be less than 72.5% of the Standardised Approach RWA for the same exposure:</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Floor RWA  = 72.5% × SA RWA
Floor Binding  = (IRB RWA &lt; Floor RWA)
SA Floor Uplift = max(Floor RWA − IRB RWA, 0)</w:t>
      </w:r>
    </w:p>
    <w:p>
      <w:pPr>
        <w:spacing w:after="60" w:before="60"/>
      </w:pPr>
      <w:r>
        <w:t xml:space="preserve"/>
      </w:r>
    </w:p>
    <w:p>
      <w:pPr>
        <w:spacing w:after="80" w:before="80"/>
      </w:pPr>
      <w:r>
        <w:rPr>
          <w:rFonts w:ascii="Arial" w:cs="Arial" w:eastAsia="Arial" w:hAnsi="Arial"/>
          <w:sz w:val="22"/>
          <w:szCs w:val="22"/>
        </w:rPr>
        <w:t xml:space="preserve">This is the most significant structural change from Basel III to Basel IV for G-SIBs. Banks with historically low IRB RWA ratios (e.g., large mortgage books with internally estimated LGDs of 5–10%) face the largest capital increases from this floor.</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14. Sensitivity Analysis — RWA Greeks</w:t>
      </w:r>
    </w:p>
    <w:p>
      <w:pPr>
        <w:spacing w:after="60" w:before="60"/>
      </w:pPr>
      <w:r>
        <w:t xml:space="preserve"/>
      </w:r>
    </w:p>
    <w:p>
      <w:pPr>
        <w:spacing w:after="80" w:before="80"/>
      </w:pPr>
      <w:r>
        <w:rPr>
          <w:rFonts w:ascii="Arial" w:cs="Arial" w:eastAsia="Arial" w:hAnsi="Arial"/>
          <w:sz w:val="22"/>
          <w:szCs w:val="22"/>
        </w:rPr>
        <w:t xml:space="preserve">The engine computes sensitivities of RWA to parameter changes using finite differences: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RWA Attribution (rwa_drivers):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base_rwa              = total RWA from formula
pd_contribution       = fraction of RWA attributable to PD level
lgd_contribution      = fraction attributable to LGD
correlation_internal  = Pillar 2 view (with sector/concentration overlays)
correlation_regulatory = Pillar 1 view (pure Basel formula)
maturity_adjustment   = extra capital due to long maturity
mitigant_benefit      = RWA reduction from CRM (collateral, guarantee, CDS)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15. Live Macro Data Feed — USMacroDataFeed</w:t>
      </w:r>
    </w:p>
    <w:p>
      <w:pPr>
        <w:spacing w:after="60" w:before="60"/>
      </w:pPr>
      <w:r>
        <w:t xml:space="preserve"/>
      </w:r>
    </w:p>
    <w:p>
      <w:pPr>
        <w:spacing w:after="80" w:before="80"/>
      </w:pPr>
      <w:r>
        <w:rPr>
          <w:rFonts w:ascii="Arial" w:cs="Arial" w:eastAsia="Arial" w:hAnsi="Arial"/>
          <w:sz w:val="22"/>
          <w:szCs w:val="22"/>
        </w:rPr>
        <w:t xml:space="preserve">The </w:t>
      </w:r>
      <w:r>
        <w:rPr>
          <w:rFonts w:ascii="Courier New" w:cs="Courier New" w:eastAsia="Courier New" w:hAnsi="Courier New"/>
          <w:color w:val="C7254E"/>
          <w:sz w:val="20"/>
          <w:szCs w:val="20"/>
          <w:shd w:fill="F9F2F4" w:val="clear"/>
        </w:rPr>
        <w:t xml:space="preserve">USMacroDataFeed</w:t>
      </w:r>
      <w:r>
        <w:rPr>
          <w:rFonts w:ascii="Arial" w:cs="Arial" w:eastAsia="Arial" w:hAnsi="Arial"/>
          <w:sz w:val="22"/>
          <w:szCs w:val="22"/>
        </w:rPr>
        <w:t xml:space="preserve"> class provides real-time US macroeconomic data for Pillar 2 / ICAAP overlay calculations. It uses a </w:t>
      </w:r>
      <w:r>
        <w:rPr>
          <w:rFonts w:ascii="Arial" w:cs="Arial" w:eastAsia="Arial" w:hAnsi="Arial"/>
          <w:b/>
          <w:bCs/>
          <w:sz w:val="22"/>
          <w:szCs w:val="22"/>
        </w:rPr>
        <w:t xml:space="preserve">three-tier fallback</w:t>
      </w:r>
      <w:r>
        <w:rPr>
          <w:rFonts w:ascii="Arial" w:cs="Arial" w:eastAsia="Arial" w:hAnsi="Arial"/>
          <w:sz w:val="22"/>
          <w:szCs w:val="22"/>
        </w:rPr>
        <w:t xml:space="preserve">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Thread safety:</w:t>
      </w:r>
      <w:r>
        <w:rPr>
          <w:rFonts w:ascii="Arial" w:cs="Arial" w:eastAsia="Arial" w:hAnsi="Arial"/>
          <w:sz w:val="22"/>
          <w:szCs w:val="22"/>
        </w:rPr>
        <w:t xml:space="preserve"> A single RLock protects the in-memory cache. Concurrent daily batch runs always see a consistent snapshot.</w:t>
      </w:r>
    </w:p>
    <w:p>
      <w:pPr>
        <w:spacing w:after="60" w:before="60"/>
      </w:pPr>
      <w:r>
        <w:t xml:space="preserve"/>
      </w:r>
    </w:p>
    <w:p>
      <w:pPr>
        <w:spacing w:after="80" w:before="80"/>
      </w:pPr>
      <w:r>
        <w:rPr>
          <w:rFonts w:ascii="Arial" w:cs="Arial" w:eastAsia="Arial" w:hAnsi="Arial"/>
          <w:b/>
          <w:bCs/>
          <w:sz w:val="22"/>
          <w:szCs w:val="22"/>
        </w:rPr>
        <w:t xml:space="preserve">Caching:</w:t>
      </w:r>
      <w:r>
        <w:rPr>
          <w:rFonts w:ascii="Arial" w:cs="Arial" w:eastAsia="Arial" w:hAnsi="Arial"/>
          <w:sz w:val="22"/>
          <w:szCs w:val="22"/>
        </w:rPr>
        <w:t xml:space="preserve"> TTL = 3,600 seconds (1 hour) by default. An optional JSON disk cache allows overnight batch runs to share their macro snapshot with intraday processes.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16. Configuration Parameters</w:t>
      </w:r>
    </w:p>
    <w:p>
      <w:pPr>
        <w:spacing w:after="60" w:before="60"/>
      </w:pPr>
      <w:r>
        <w:t xml:space="preserve"/>
      </w:r>
    </w:p>
    <w:p>
      <w:pPr>
        <w:spacing w:after="80" w:before="80"/>
      </w:pPr>
      <w:r>
        <w:rPr>
          <w:rFonts w:ascii="Arial" w:cs="Arial" w:eastAsia="Arial" w:hAnsi="Arial"/>
          <w:sz w:val="22"/>
          <w:szCs w:val="22"/>
        </w:rPr>
        <w:t xml:space="preserve">Defined in </w:t>
      </w:r>
      <w:r>
        <w:rPr>
          <w:rFonts w:ascii="Courier New" w:cs="Courier New" w:eastAsia="Courier New" w:hAnsi="Courier New"/>
          <w:color w:val="C7254E"/>
          <w:sz w:val="20"/>
          <w:szCs w:val="20"/>
          <w:shd w:fill="F9F2F4" w:val="clear"/>
        </w:rPr>
        <w:t xml:space="preserve">backend/config.py</w:t>
      </w:r>
      <w:r>
        <w:rPr>
          <w:rFonts w:ascii="Arial" w:cs="Arial" w:eastAsia="Arial" w:hAnsi="Arial"/>
          <w:sz w:val="22"/>
          <w:szCs w:val="22"/>
        </w:rPr>
        <w:t xml:space="preserve"> and </w:t>
      </w:r>
      <w:r>
        <w:rPr>
          <w:rFonts w:ascii="Courier New" w:cs="Courier New" w:eastAsia="Courier New" w:hAnsi="Courier New"/>
          <w:color w:val="C7254E"/>
          <w:sz w:val="20"/>
          <w:szCs w:val="20"/>
          <w:shd w:fill="F9F2F4" w:val="clear"/>
        </w:rPr>
        <w:t xml:space="preserve">AIRBConfiguration</w:t>
      </w:r>
      <w:r>
        <w:rPr>
          <w:rFonts w:ascii="Arial" w:cs="Arial" w:eastAsia="Arial" w:hAnsi="Arial"/>
          <w:sz w:val="22"/>
          <w:szCs w:val="22"/>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17. Complete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A: Step-by-Step Numeric Example — Corporate Loan (No CRM)</w:t>
      </w:r>
    </w:p>
    <w:p>
      <w:pPr>
        <w:spacing w:after="60" w:before="60"/>
      </w:pPr>
      <w:r>
        <w:t xml:space="preserve"/>
      </w:r>
    </w:p>
    <w:p>
      <w:pPr>
        <w:pStyle w:val="Heading3"/>
        <w:spacing w:after="100" w:before="200"/>
      </w:pPr>
      <w:r>
        <w:rPr>
          <w:rFonts w:ascii="Arial" w:cs="Arial" w:eastAsia="Arial" w:hAnsi="Arial"/>
          <w:sz w:val="22"/>
          <w:szCs w:val="22"/>
        </w:rPr>
        <w:t xml:space="preserve">The Exposure</w:t>
      </w:r>
    </w:p>
    <w:p>
      <w:pPr>
        <w:spacing w:after="60" w:before="60"/>
      </w:pPr>
      <w:r>
        <w:t xml:space="preserve"/>
      </w:r>
    </w:p>
    <w:p>
      <w:pPr>
        <w:pBdr>
          <w:left w:val="single" w:color="2E75B6" w:sz="8" w:space="4"/>
        </w:pBdr>
        <w:shd w:fill="EBF3FB" w:val="clear"/>
        <w:spacing w:after="80" w:before="80"/>
        <w:ind w:left="720"/>
      </w:pPr>
      <w:r>
        <w:rPr>
          <w:rFonts w:ascii="Arial" w:cs="Arial" w:eastAsia="Arial" w:hAnsi="Arial"/>
          <w:b/>
          <w:bCs/>
          <w:sz w:val="22"/>
          <w:szCs w:val="22"/>
        </w:rPr>
        <w:t xml:space="preserve">Obligor:</w:t>
      </w:r>
      <w:r>
        <w:rPr>
          <w:rFonts w:ascii="Arial" w:cs="Arial" w:eastAsia="Arial" w:hAnsi="Arial"/>
          <w:sz w:val="22"/>
          <w:szCs w:val="22"/>
        </w:rPr>
        <w:t xml:space="preserve"> Investment-grade UK corporate (BBB-rated)  </w:t>
      </w:r>
    </w:p>
    <w:p>
      <w:pPr>
        <w:pBdr>
          <w:left w:val="single" w:color="2E75B6" w:sz="8" w:space="4"/>
        </w:pBdr>
        <w:shd w:fill="EBF3FB" w:val="clear"/>
        <w:spacing w:after="80" w:before="80"/>
        <w:ind w:left="720"/>
      </w:pPr>
      <w:r>
        <w:rPr>
          <w:rFonts w:ascii="Arial" w:cs="Arial" w:eastAsia="Arial" w:hAnsi="Arial"/>
          <w:b/>
          <w:bCs/>
          <w:sz w:val="22"/>
          <w:szCs w:val="22"/>
        </w:rPr>
        <w:t xml:space="preserve">Asset Class:</w:t>
      </w:r>
      <w:r>
        <w:rPr>
          <w:rFonts w:ascii="Arial" w:cs="Arial" w:eastAsia="Arial" w:hAnsi="Arial"/>
          <w:sz w:val="22"/>
          <w:szCs w:val="22"/>
        </w:rPr>
        <w:t xml:space="preserve"> CORP  </w:t>
      </w:r>
    </w:p>
    <w:p>
      <w:pPr>
        <w:pBdr>
          <w:left w:val="single" w:color="2E75B6" w:sz="8" w:space="4"/>
        </w:pBdr>
        <w:shd w:fill="EBF3FB" w:val="clear"/>
        <w:spacing w:after="80" w:before="80"/>
        <w:ind w:left="720"/>
      </w:pPr>
      <w:r>
        <w:rPr>
          <w:rFonts w:ascii="Arial" w:cs="Arial" w:eastAsia="Arial" w:hAnsi="Arial"/>
          <w:b/>
          <w:bCs/>
          <w:sz w:val="22"/>
          <w:szCs w:val="22"/>
        </w:rPr>
        <w:t xml:space="preserve">EAD:</w:t>
      </w:r>
      <w:r>
        <w:rPr>
          <w:rFonts w:ascii="Arial" w:cs="Arial" w:eastAsia="Arial" w:hAnsi="Arial"/>
          <w:sz w:val="22"/>
          <w:szCs w:val="22"/>
        </w:rPr>
        <w:t xml:space="preserve"> USD 10,000,000 (a USD 10M term loan, fully drawn)  </w:t>
      </w:r>
    </w:p>
    <w:p>
      <w:pPr>
        <w:pBdr>
          <w:left w:val="single" w:color="2E75B6" w:sz="8" w:space="4"/>
        </w:pBdr>
        <w:shd w:fill="EBF3FB" w:val="clear"/>
        <w:spacing w:after="80" w:before="80"/>
        <w:ind w:left="720"/>
      </w:pPr>
      <w:r>
        <w:rPr>
          <w:rFonts w:ascii="Arial" w:cs="Arial" w:eastAsia="Arial" w:hAnsi="Arial"/>
          <w:b/>
          <w:bCs/>
          <w:sz w:val="22"/>
          <w:szCs w:val="22"/>
        </w:rPr>
        <w:t xml:space="preserve">PD:</w:t>
      </w:r>
      <w:r>
        <w:rPr>
          <w:rFonts w:ascii="Arial" w:cs="Arial" w:eastAsia="Arial" w:hAnsi="Arial"/>
          <w:sz w:val="22"/>
          <w:szCs w:val="22"/>
        </w:rPr>
        <w:t xml:space="preserve"> 0.50% (0.0050) — consistent with BBB-/Ba1  </w:t>
      </w:r>
    </w:p>
    <w:p>
      <w:pPr>
        <w:pBdr>
          <w:left w:val="single" w:color="2E75B6" w:sz="8" w:space="4"/>
        </w:pBdr>
        <w:shd w:fill="EBF3FB" w:val="clear"/>
        <w:spacing w:after="80" w:before="80"/>
        <w:ind w:left="720"/>
      </w:pPr>
      <w:r>
        <w:rPr>
          <w:rFonts w:ascii="Arial" w:cs="Arial" w:eastAsia="Arial" w:hAnsi="Arial"/>
          <w:b/>
          <w:bCs/>
          <w:sz w:val="22"/>
          <w:szCs w:val="22"/>
        </w:rPr>
        <w:t xml:space="preserve">LGD:</w:t>
      </w:r>
      <w:r>
        <w:rPr>
          <w:rFonts w:ascii="Arial" w:cs="Arial" w:eastAsia="Arial" w:hAnsi="Arial"/>
          <w:sz w:val="22"/>
          <w:szCs w:val="22"/>
        </w:rPr>
        <w:t xml:space="preserve"> 45% (0.45) — senior unsecured, no collateral  </w:t>
      </w:r>
    </w:p>
    <w:p>
      <w:pPr>
        <w:pBdr>
          <w:left w:val="single" w:color="2E75B6" w:sz="8" w:space="4"/>
        </w:pBdr>
        <w:shd w:fill="EBF3FB" w:val="clear"/>
        <w:spacing w:after="80" w:before="80"/>
        <w:ind w:left="720"/>
      </w:pPr>
      <w:r>
        <w:rPr>
          <w:rFonts w:ascii="Arial" w:cs="Arial" w:eastAsia="Arial" w:hAnsi="Arial"/>
          <w:b/>
          <w:bCs/>
          <w:sz w:val="22"/>
          <w:szCs w:val="22"/>
        </w:rPr>
        <w:t xml:space="preserve">Maturity:</w:t>
      </w:r>
      <w:r>
        <w:rPr>
          <w:rFonts w:ascii="Arial" w:cs="Arial" w:eastAsia="Arial" w:hAnsi="Arial"/>
          <w:sz w:val="22"/>
          <w:szCs w:val="22"/>
        </w:rPr>
        <w:t xml:space="preserve"> 3 years  </w:t>
      </w:r>
    </w:p>
    <w:p>
      <w:pPr>
        <w:pBdr>
          <w:left w:val="single" w:color="2E75B6" w:sz="8" w:space="4"/>
        </w:pBdr>
        <w:shd w:fill="EBF3FB" w:val="clear"/>
        <w:spacing w:after="80" w:before="80"/>
        <w:ind w:left="720"/>
      </w:pPr>
      <w:r>
        <w:rPr>
          <w:rFonts w:ascii="Arial" w:cs="Arial" w:eastAsia="Arial" w:hAnsi="Arial"/>
          <w:b/>
          <w:bCs/>
          <w:sz w:val="22"/>
          <w:szCs w:val="22"/>
        </w:rPr>
        <w:t xml:space="preserve">Sector:</w:t>
      </w:r>
      <w:r>
        <w:rPr>
          <w:rFonts w:ascii="Arial" w:cs="Arial" w:eastAsia="Arial" w:hAnsi="Arial"/>
          <w:sz w:val="22"/>
          <w:szCs w:val="22"/>
        </w:rPr>
        <w:t xml:space="preserve"> INDUSTRIALS  </w:t>
      </w:r>
    </w:p>
    <w:p>
      <w:pPr>
        <w:pBdr>
          <w:left w:val="single" w:color="2E75B6" w:sz="8" w:space="4"/>
        </w:pBdr>
        <w:shd w:fill="EBF3FB" w:val="clear"/>
        <w:spacing w:after="80" w:before="80"/>
        <w:ind w:left="720"/>
      </w:pPr>
      <w:r>
        <w:rPr>
          <w:rFonts w:ascii="Arial" w:cs="Arial" w:eastAsia="Arial" w:hAnsi="Arial"/>
          <w:b/>
          <w:bCs/>
          <w:sz w:val="22"/>
          <w:szCs w:val="22"/>
        </w:rPr>
        <w:t xml:space="preserve">SME Sales:</w:t>
      </w:r>
      <w:r>
        <w:rPr>
          <w:rFonts w:ascii="Arial" w:cs="Arial" w:eastAsia="Arial" w:hAnsi="Arial"/>
          <w:sz w:val="22"/>
          <w:szCs w:val="22"/>
        </w:rPr>
        <w:t xml:space="preserve"> 0 (large corporate — no SME adjustment)  </w:t>
      </w:r>
    </w:p>
    <w:p>
      <w:pPr>
        <w:pBdr>
          <w:left w:val="single" w:color="2E75B6" w:sz="8" w:space="4"/>
        </w:pBdr>
        <w:shd w:fill="EBF3FB" w:val="clear"/>
        <w:spacing w:after="80" w:before="80"/>
        <w:ind w:left="720"/>
      </w:pPr>
      <w:r>
        <w:rPr>
          <w:rFonts w:ascii="Arial" w:cs="Arial" w:eastAsia="Arial" w:hAnsi="Arial"/>
          <w:b/>
          <w:bCs/>
          <w:sz w:val="22"/>
          <w:szCs w:val="22"/>
        </w:rPr>
        <w:t xml:space="preserve">Market Regime:</w:t>
      </w:r>
      <w:r>
        <w:rPr>
          <w:rFonts w:ascii="Arial" w:cs="Arial" w:eastAsia="Arial" w:hAnsi="Arial"/>
          <w:sz w:val="22"/>
          <w:szCs w:val="22"/>
        </w:rPr>
        <w:t xml:space="preserve"> NORMAL</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1: PD Floor Check</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PD_floor = 0.0003 (0.03%)
PD_eff   = max(0.0050, 0.0003) = 0.0050  (above floor — no change)
LGD_eff  = max(0.45, 0.25)    = 0.45    (above unsecured floor — no change)
M_eff    = 3.0 years                      (within [1, 5])</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2: Asset Correlation R (CRE31.5)</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exp(−50 × PD) = exp(−50 × 0.0050) = exp(−0.25) = 0.7788
1 − exp(−50)  ≈ 1.0000   (exp(−50) ≈ 0)
R_base = 0.12 × (1 − 0.7788) / 1.0 + 0.24 × (1 − (1 − 0.7788) / 1.0)
       = 0.12 × 0.2212        + 0.24 × (1 − 0.2212)
       = 0.12 × 0.2212        + 0.24 × 0.7788
       = 0.02654               + 0.18691
       = 0.21345
No SME adjustment (large corporate).
No FI multiplier (not a financial institution).
R_regulatory = 0.2135</w:t>
      </w:r>
    </w:p>
    <w:p>
      <w:pPr>
        <w:spacing w:after="60" w:before="60"/>
      </w:pPr>
      <w:r>
        <w:t xml:space="preserve"/>
      </w:r>
    </w:p>
    <w:p>
      <w:pPr>
        <w:spacing w:after="80" w:before="80"/>
      </w:pPr>
      <w:r>
        <w:rPr>
          <w:rFonts w:ascii="Arial" w:cs="Arial" w:eastAsia="Arial" w:hAnsi="Arial"/>
          <w:b/>
          <w:bCs/>
          <w:sz w:val="22"/>
          <w:szCs w:val="22"/>
        </w:rPr>
        <w:t xml:space="preserve">Key insight:</w:t>
      </w:r>
      <w:r>
        <w:rPr>
          <w:rFonts w:ascii="Arial" w:cs="Arial" w:eastAsia="Arial" w:hAnsi="Arial"/>
          <w:sz w:val="22"/>
          <w:szCs w:val="22"/>
        </w:rPr>
        <w:t xml:space="preserve"> At PD = 0.50% (IG), R = 21.4% — relatively high, close to the 24% cap. This IG corporate is strongly correlated with the economic cycle.</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3: Maturity Adjustment b and MA</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b = (0.11852 − 0.05478 × ln(0.0050))²
  = (0.11852 − 0.05478 × (−5.2983))²
  = (0.11852 + 0.29024)²
  = (0.40876)²
  = 0.16708
MA = (1 + (3.0 − 2.5) × 0.16708) / (1 − 1.5 × 0.16708)
   = (1 + 0.5 × 0.16708) / (1 − 0.25062)
   = (1 + 0.08354) / 0.74938
   = 1.08354 / 0.74938
   = 1.4459</w:t>
      </w:r>
    </w:p>
    <w:p>
      <w:pPr>
        <w:spacing w:after="60" w:before="60"/>
      </w:pPr>
      <w:r>
        <w:t xml:space="preserve"/>
      </w:r>
    </w:p>
    <w:p>
      <w:pPr>
        <w:spacing w:after="80" w:before="80"/>
      </w:pPr>
      <w:r>
        <w:rPr>
          <w:rFonts w:ascii="Arial" w:cs="Arial" w:eastAsia="Arial" w:hAnsi="Arial"/>
          <w:b/>
          <w:bCs/>
          <w:sz w:val="22"/>
          <w:szCs w:val="22"/>
        </w:rPr>
        <w:t xml:space="preserve">Interpretation:</w:t>
      </w:r>
      <w:r>
        <w:rPr>
          <w:rFonts w:ascii="Arial" w:cs="Arial" w:eastAsia="Arial" w:hAnsi="Arial"/>
          <w:sz w:val="22"/>
          <w:szCs w:val="22"/>
        </w:rPr>
        <w:t xml:space="preserve"> A 3-year maturity increases the capital charge by 44.6% compared to a 2.5-year reference maturity. This reflects the greater credit migration risk over 3 years.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4: Capital Requirement K (CRE31.4)</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N⁻¹(PD)   = N⁻¹(0.0050) = −2.5758  (5th percentile of normal)
N⁻¹(0.999) = 3.0902
z = (N⁻¹(PD) + √R × N⁻¹(0.999)) / √(1 − R)
  = (−2.5758 + √0.2135 × 3.0902) / √(1 − 0.2135)
  = (−2.5758 + 0.4621 × 3.0902) / √0.7865
  = (−2.5758 + 1.4279) / 0.8869
  = (−1.1479) / 0.8869
  = −1.2948
N(z) = N(−1.2948) = 0.0977   (about 9.77% conditional default probability)
K_base = LGD × N(z) − PD × LGD
       = 0.45 × 0.0977 − 0.0050 × 0.45
       = 0.04397 − 0.00225
       = 0.04172
K = K_base × MA
  = 0.04172 × 1.4459
  = 0.06031   (6.031% of EAD)</w:t>
      </w:r>
    </w:p>
    <w:p>
      <w:pPr>
        <w:spacing w:after="60" w:before="60"/>
      </w:pPr>
      <w:r>
        <w:t xml:space="preserve"/>
      </w:r>
    </w:p>
    <w:p>
      <w:pPr>
        <w:spacing w:after="80" w:before="80"/>
      </w:pPr>
      <w:r>
        <w:rPr>
          <w:rFonts w:ascii="Arial" w:cs="Arial" w:eastAsia="Arial" w:hAnsi="Arial"/>
          <w:b/>
          <w:bCs/>
          <w:sz w:val="22"/>
          <w:szCs w:val="22"/>
        </w:rPr>
        <w:t xml:space="preserve">Interpretation:</w:t>
      </w:r>
    </w:p>
    <w:p>
      <w:pPr>
        <w:pStyle w:val="ListParagraph"/>
        <w:numPr>
          <w:ilvl w:val="0"/>
          <w:numId w:val="3"/>
        </w:numPr>
        <w:spacing w:after="40" w:before="40"/>
      </w:pPr>
      <w:r>
        <w:rPr>
          <w:rFonts w:ascii="Arial" w:cs="Arial" w:eastAsia="Arial" w:hAnsi="Arial"/>
          <w:sz w:val="22"/>
          <w:szCs w:val="22"/>
        </w:rPr>
        <w:t xml:space="preserve">In the 99.9% bad economic scenario, 9.77% of the portfolio defaults (N(z))</w:t>
      </w:r>
    </w:p>
    <w:p>
      <w:pPr>
        <w:pStyle w:val="ListParagraph"/>
        <w:numPr>
          <w:ilvl w:val="0"/>
          <w:numId w:val="3"/>
        </w:numPr>
        <w:spacing w:after="40" w:before="40"/>
      </w:pPr>
      <w:r>
        <w:rPr>
          <w:rFonts w:ascii="Arial" w:cs="Arial" w:eastAsia="Arial" w:hAnsi="Arial"/>
          <w:sz w:val="22"/>
          <w:szCs w:val="22"/>
        </w:rPr>
        <w:t xml:space="preserve">Average loss given default = 45%</w:t>
      </w:r>
    </w:p>
    <w:p>
      <w:pPr>
        <w:pStyle w:val="ListParagraph"/>
        <w:numPr>
          <w:ilvl w:val="0"/>
          <w:numId w:val="3"/>
        </w:numPr>
        <w:spacing w:after="40" w:before="40"/>
      </w:pPr>
      <w:r>
        <w:rPr>
          <w:rFonts w:ascii="Arial" w:cs="Arial" w:eastAsia="Arial" w:hAnsi="Arial"/>
          <w:sz w:val="22"/>
          <w:szCs w:val="22"/>
        </w:rPr>
        <w:t xml:space="preserve">Conditional loss = 9.77% × 45% = 4.40% of EAD</w:t>
      </w:r>
    </w:p>
    <w:p>
      <w:pPr>
        <w:pStyle w:val="ListParagraph"/>
        <w:numPr>
          <w:ilvl w:val="0"/>
          <w:numId w:val="3"/>
        </w:numPr>
        <w:spacing w:after="40" w:before="40"/>
      </w:pPr>
      <w:r>
        <w:rPr>
          <w:rFonts w:ascii="Arial" w:cs="Arial" w:eastAsia="Arial" w:hAnsi="Arial"/>
          <w:sz w:val="22"/>
          <w:szCs w:val="22"/>
        </w:rPr>
        <w:t xml:space="preserve">Minus expected loss (0.50% × 45% = 0.225%) = </w:t>
      </w:r>
      <w:r>
        <w:rPr>
          <w:rFonts w:ascii="Arial" w:cs="Arial" w:eastAsia="Arial" w:hAnsi="Arial"/>
          <w:b/>
          <w:bCs/>
          <w:sz w:val="22"/>
          <w:szCs w:val="22"/>
        </w:rPr>
        <w:t xml:space="preserve">unexpected loss = 4.17%</w:t>
      </w:r>
    </w:p>
    <w:p>
      <w:pPr>
        <w:pStyle w:val="ListParagraph"/>
        <w:numPr>
          <w:ilvl w:val="0"/>
          <w:numId w:val="3"/>
        </w:numPr>
        <w:spacing w:after="40" w:before="40"/>
      </w:pPr>
      <w:r>
        <w:rPr>
          <w:rFonts w:ascii="Arial" w:cs="Arial" w:eastAsia="Arial" w:hAnsi="Arial"/>
          <w:sz w:val="22"/>
          <w:szCs w:val="22"/>
        </w:rPr>
        <w:t xml:space="preserve">Multiplied by maturity adjustment (×1.446) = </w:t>
      </w:r>
      <w:r>
        <w:rPr>
          <w:rFonts w:ascii="Arial" w:cs="Arial" w:eastAsia="Arial" w:hAnsi="Arial"/>
          <w:b/>
          <w:bCs/>
          <w:sz w:val="22"/>
          <w:szCs w:val="22"/>
        </w:rPr>
        <w:t xml:space="preserve">final K = 6.03%</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5: RWA</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RWA = K × 12.5 × EAD
    = 0.06031 × 12.5 × $10,000,000
    = $7,538,750
Risk Weight (%) = RWA / EAD = 75.4%
Capital Charge  = K × EAD = 0.06031 × $10,000,000 = $603,100</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6: Expected Loss and Provisions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EL     = PD × LGD × EAD
       = 0.0050 × 0.45 × $10,000,000
       = $22,500
Assume Provisions held = $15,000 (Stage 3 eligible)
EL_diff = $22,500 − $15,000 = +$7,500  (shortfall)
CET1 Deduction = $7,500</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Summary</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Input Parameters:
  EAD = $10,000,000    PD = 0.50%    LGD = 45%    M = 3yr
Intermediate Results:
  R       = 0.2135     (21.4% asset correlation)
  b       = 0.16708    (maturity sensitivity)
  MA      = 1.4459     (44.6% maturity uplift)
  z       = −1.2948    (conditional threshold)
  N(z)    = 9.77%      (conditional default probability at 99.9%)
Output:
  K       = 6.03%      (capital per unit EAD)
  RWA     = $7,538,750 (75.4% risk weight)
  EL      = $22,500    (expected loss — for provisioning)
  EL Shortfall = $7,500 → CET1 deduction</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B: Numeric Example — Collateralised Real Estate Loan</w:t>
      </w:r>
    </w:p>
    <w:p>
      <w:pPr>
        <w:spacing w:after="60" w:before="60"/>
      </w:pPr>
      <w:r>
        <w:t xml:space="preserve"/>
      </w:r>
    </w:p>
    <w:p>
      <w:pPr>
        <w:pStyle w:val="Heading3"/>
        <w:spacing w:after="100" w:before="200"/>
      </w:pPr>
      <w:r>
        <w:rPr>
          <w:rFonts w:ascii="Arial" w:cs="Arial" w:eastAsia="Arial" w:hAnsi="Arial"/>
          <w:sz w:val="22"/>
          <w:szCs w:val="22"/>
        </w:rPr>
        <w:t xml:space="preserve">The Exposure</w:t>
      </w:r>
    </w:p>
    <w:p>
      <w:pPr>
        <w:spacing w:after="60" w:before="60"/>
      </w:pPr>
      <w:r>
        <w:t xml:space="preserve"/>
      </w:r>
    </w:p>
    <w:p>
      <w:pPr>
        <w:pBdr>
          <w:left w:val="single" w:color="2E75B6" w:sz="8" w:space="4"/>
        </w:pBdr>
        <w:shd w:fill="EBF3FB" w:val="clear"/>
        <w:spacing w:after="80" w:before="80"/>
        <w:ind w:left="720"/>
      </w:pPr>
      <w:r>
        <w:rPr>
          <w:rFonts w:ascii="Arial" w:cs="Arial" w:eastAsia="Arial" w:hAnsi="Arial"/>
          <w:b/>
          <w:bCs/>
          <w:sz w:val="22"/>
          <w:szCs w:val="22"/>
        </w:rPr>
        <w:t xml:space="preserve">Product:</w:t>
      </w:r>
      <w:r>
        <w:rPr>
          <w:rFonts w:ascii="Arial" w:cs="Arial" w:eastAsia="Arial" w:hAnsi="Arial"/>
          <w:sz w:val="22"/>
          <w:szCs w:val="22"/>
        </w:rPr>
        <w:t xml:space="preserve"> Commercial Real Estate loan  </w:t>
      </w:r>
    </w:p>
    <w:p>
      <w:pPr>
        <w:pBdr>
          <w:left w:val="single" w:color="2E75B6" w:sz="8" w:space="4"/>
        </w:pBdr>
        <w:shd w:fill="EBF3FB" w:val="clear"/>
        <w:spacing w:after="80" w:before="80"/>
        <w:ind w:left="720"/>
      </w:pPr>
      <w:r>
        <w:rPr>
          <w:rFonts w:ascii="Arial" w:cs="Arial" w:eastAsia="Arial" w:hAnsi="Arial"/>
          <w:b/>
          <w:bCs/>
          <w:sz w:val="22"/>
          <w:szCs w:val="22"/>
        </w:rPr>
        <w:t xml:space="preserve">Asset Class:</w:t>
      </w:r>
      <w:r>
        <w:rPr>
          <w:rFonts w:ascii="Arial" w:cs="Arial" w:eastAsia="Arial" w:hAnsi="Arial"/>
          <w:sz w:val="22"/>
          <w:szCs w:val="22"/>
        </w:rPr>
        <w:t xml:space="preserve"> CORP (CRE loan treated as corporate)  </w:t>
      </w:r>
    </w:p>
    <w:p>
      <w:pPr>
        <w:pBdr>
          <w:left w:val="single" w:color="2E75B6" w:sz="8" w:space="4"/>
        </w:pBdr>
        <w:shd w:fill="EBF3FB" w:val="clear"/>
        <w:spacing w:after="80" w:before="80"/>
        <w:ind w:left="720"/>
      </w:pPr>
      <w:r>
        <w:rPr>
          <w:rFonts w:ascii="Arial" w:cs="Arial" w:eastAsia="Arial" w:hAnsi="Arial"/>
          <w:b/>
          <w:bCs/>
          <w:sz w:val="22"/>
          <w:szCs w:val="22"/>
        </w:rPr>
        <w:t xml:space="preserve">EAD:</w:t>
      </w:r>
      <w:r>
        <w:rPr>
          <w:rFonts w:ascii="Arial" w:cs="Arial" w:eastAsia="Arial" w:hAnsi="Arial"/>
          <w:sz w:val="22"/>
          <w:szCs w:val="22"/>
        </w:rPr>
        <w:t xml:space="preserve"> USD 5,000,000  </w:t>
      </w:r>
    </w:p>
    <w:p>
      <w:pPr>
        <w:pBdr>
          <w:left w:val="single" w:color="2E75B6" w:sz="8" w:space="4"/>
        </w:pBdr>
        <w:shd w:fill="EBF3FB" w:val="clear"/>
        <w:spacing w:after="80" w:before="80"/>
        <w:ind w:left="720"/>
      </w:pPr>
      <w:r>
        <w:rPr>
          <w:rFonts w:ascii="Arial" w:cs="Arial" w:eastAsia="Arial" w:hAnsi="Arial"/>
          <w:b/>
          <w:bCs/>
          <w:sz w:val="22"/>
          <w:szCs w:val="22"/>
        </w:rPr>
        <w:t xml:space="preserve">PD:</w:t>
      </w:r>
      <w:r>
        <w:rPr>
          <w:rFonts w:ascii="Arial" w:cs="Arial" w:eastAsia="Arial" w:hAnsi="Arial"/>
          <w:sz w:val="22"/>
          <w:szCs w:val="22"/>
        </w:rPr>
        <w:t xml:space="preserve"> 1.00% (0.010) — BB+ rated developer  </w:t>
      </w:r>
    </w:p>
    <w:p>
      <w:pPr>
        <w:pBdr>
          <w:left w:val="single" w:color="2E75B6" w:sz="8" w:space="4"/>
        </w:pBdr>
        <w:shd w:fill="EBF3FB" w:val="clear"/>
        <w:spacing w:after="80" w:before="80"/>
        <w:ind w:left="720"/>
      </w:pPr>
      <w:r>
        <w:rPr>
          <w:rFonts w:ascii="Arial" w:cs="Arial" w:eastAsia="Arial" w:hAnsi="Arial"/>
          <w:b/>
          <w:bCs/>
          <w:sz w:val="22"/>
          <w:szCs w:val="22"/>
        </w:rPr>
        <w:t xml:space="preserve">LGD (unsecured):</w:t>
      </w:r>
      <w:r>
        <w:rPr>
          <w:rFonts w:ascii="Arial" w:cs="Arial" w:eastAsia="Arial" w:hAnsi="Arial"/>
          <w:sz w:val="22"/>
          <w:szCs w:val="22"/>
        </w:rPr>
        <w:t xml:space="preserve"> 45% (pre-CRM)  </w:t>
      </w:r>
    </w:p>
    <w:p>
      <w:pPr>
        <w:pBdr>
          <w:left w:val="single" w:color="2E75B6" w:sz="8" w:space="4"/>
        </w:pBdr>
        <w:shd w:fill="EBF3FB" w:val="clear"/>
        <w:spacing w:after="80" w:before="80"/>
        <w:ind w:left="720"/>
      </w:pPr>
      <w:r>
        <w:rPr>
          <w:rFonts w:ascii="Arial" w:cs="Arial" w:eastAsia="Arial" w:hAnsi="Arial"/>
          <w:b/>
          <w:bCs/>
          <w:sz w:val="22"/>
          <w:szCs w:val="22"/>
        </w:rPr>
        <w:t xml:space="preserve">Maturity:</w:t>
      </w:r>
      <w:r>
        <w:rPr>
          <w:rFonts w:ascii="Arial" w:cs="Arial" w:eastAsia="Arial" w:hAnsi="Arial"/>
          <w:sz w:val="22"/>
          <w:szCs w:val="22"/>
        </w:rPr>
        <w:t xml:space="preserve"> 5 years  </w:t>
      </w:r>
    </w:p>
    <w:p>
      <w:pPr>
        <w:pBdr>
          <w:left w:val="single" w:color="2E75B6" w:sz="8" w:space="4"/>
        </w:pBdr>
        <w:shd w:fill="EBF3FB" w:val="clear"/>
        <w:spacing w:after="80" w:before="80"/>
        <w:ind w:left="720"/>
      </w:pPr>
      <w:r>
        <w:rPr>
          <w:rFonts w:ascii="Arial" w:cs="Arial" w:eastAsia="Arial" w:hAnsi="Arial"/>
          <w:b/>
          <w:bCs/>
          <w:sz w:val="22"/>
          <w:szCs w:val="22"/>
        </w:rPr>
        <w:t xml:space="preserve">Collateral:</w:t>
      </w:r>
      <w:r>
        <w:rPr>
          <w:rFonts w:ascii="Arial" w:cs="Arial" w:eastAsia="Arial" w:hAnsi="Arial"/>
          <w:sz w:val="22"/>
          <w:szCs w:val="22"/>
        </w:rPr>
        <w:t xml:space="preserve"> Commercial Real Estate, value = USD 4,000,000  </w:t>
      </w:r>
    </w:p>
    <w:p>
      <w:pPr>
        <w:pBdr>
          <w:left w:val="single" w:color="2E75B6" w:sz="8" w:space="4"/>
        </w:pBdr>
        <w:shd w:fill="EBF3FB" w:val="clear"/>
        <w:spacing w:after="80" w:before="80"/>
        <w:ind w:left="720"/>
      </w:pPr>
      <w:r>
        <w:rPr>
          <w:rFonts w:ascii="Arial" w:cs="Arial" w:eastAsia="Arial" w:hAnsi="Arial"/>
          <w:b/>
          <w:bCs/>
          <w:sz w:val="22"/>
          <w:szCs w:val="22"/>
        </w:rPr>
        <w:t xml:space="preserve">Collateral Haircut (hc):</w:t>
      </w:r>
      <w:r>
        <w:rPr>
          <w:rFonts w:ascii="Arial" w:cs="Arial" w:eastAsia="Arial" w:hAnsi="Arial"/>
          <w:sz w:val="22"/>
          <w:szCs w:val="22"/>
        </w:rPr>
        <w:t xml:space="preserve"> 40% (CRE32 COMMERCIAL_RE)  </w:t>
      </w:r>
    </w:p>
    <w:p>
      <w:pPr>
        <w:pBdr>
          <w:left w:val="single" w:color="2E75B6" w:sz="8" w:space="4"/>
        </w:pBdr>
        <w:shd w:fill="EBF3FB" w:val="clear"/>
        <w:spacing w:after="80" w:before="80"/>
        <w:ind w:left="720"/>
      </w:pPr>
      <w:r>
        <w:rPr>
          <w:rFonts w:ascii="Arial" w:cs="Arial" w:eastAsia="Arial" w:hAnsi="Arial"/>
          <w:b/>
          <w:bCs/>
          <w:sz w:val="22"/>
          <w:szCs w:val="22"/>
        </w:rPr>
        <w:t xml:space="preserve">LGD_secured:</w:t>
      </w:r>
      <w:r>
        <w:rPr>
          <w:rFonts w:ascii="Arial" w:cs="Arial" w:eastAsia="Arial" w:hAnsi="Arial"/>
          <w:sz w:val="22"/>
          <w:szCs w:val="22"/>
        </w:rPr>
        <w:t xml:space="preserve"> 20% (CRE32.12 for commercial real estate)</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1: LGD* Calculation (CRE32.10–13)</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SC    = Collateral × (1 − hc) = $4,000,000 × (1 − 0.40) = $2,400,000
E_S   = min(SC, EAD)          = min($2,400,000, $5,000,000) = $2,400,000
E_U   = max(EAD − SC, 0)      = max($5,000,000 − $2,400,000, 0) = $2,600,000
LGD*  = (E_U / EAD) × LGD_u + (E_S / EAD) × LGD_s
       = ($2,600,000 / $5,000,000) × 0.45 + ($2,400,000 / $5,000,000) × 0.20
       = 0.52 × 0.45 + 0.48 × 0.20
       = 0.2340 + 0.0960
       = 0.3300   (33%)
Floor check: LGD* ≥ 10% (CRE32 COMMERCIAL_RE floor) ✓
LGD_eff = 33%</w:t>
      </w:r>
    </w:p>
    <w:p>
      <w:pPr>
        <w:spacing w:after="60" w:before="60"/>
      </w:pPr>
      <w:r>
        <w:t xml:space="preserve"/>
      </w:r>
    </w:p>
    <w:p>
      <w:pPr>
        <w:spacing w:after="80" w:before="80"/>
      </w:pPr>
      <w:r>
        <w:rPr>
          <w:rFonts w:ascii="Arial" w:cs="Arial" w:eastAsia="Arial" w:hAnsi="Arial"/>
          <w:b/>
          <w:bCs/>
          <w:sz w:val="22"/>
          <w:szCs w:val="22"/>
        </w:rPr>
        <w:t xml:space="preserve">Capital saved by collateral:</w:t>
      </w:r>
      <w:r>
        <w:rPr>
          <w:rFonts w:ascii="Arial" w:cs="Arial" w:eastAsia="Arial" w:hAnsi="Arial"/>
          <w:sz w:val="22"/>
          <w:szCs w:val="22"/>
        </w:rPr>
        <w:t xml:space="preserve"> LGD reduced from 45% to 33% — a 12 percentage point reduction.</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2–5: K and RWA Calculation</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  = 1.00%,  LGD_eff = 33%,  M = 5.0yr
R = 0.12 × (1 − exp(−0.50)) / 1.0 + 0.24 × (1 − …)
  = 0.12 × 0.3935 + 0.24 × 0.6065
  = 0.04722 + 0.14556
  = 0.1928   (19.3%)
b = (0.11852 − 0.05478 × ln(0.010))²
  = (0.11852 − 0.05478 × (−4.6052))²
  = (0.11852 + 0.25224)²
  = (0.37076)²
  = 0.13746
MA = (1 + (5.0 − 2.5) × 0.13746) / (1 − 1.5 × 0.13746)
   = (1 + 0.34365) / (1 − 0.20619)
   = 1.34365 / 0.79381
   = 1.6929
z = (N⁻¹(0.010) + √0.1928 × 3.0902) / √(1 − 0.1928)
  = (−2.3263 + 0.4391 × 3.0902) / √0.8072
  = (−2.3263 + 1.3565) / 0.8985
  = −0.9698 / 0.8985
  = −1.0793
N(z) = N(−1.0793) = 0.1402   (14.02% conditional default probability)
K_base = 0.33 × 0.1402 − 0.010 × 0.33
       = 0.04627 − 0.00330
       = 0.04297
K = 0.04297 × 1.6929 = 0.07278   (7.28%)</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Summary</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                      No CRM         With RE Collateral
PD                    1.00%          1.00%
LGD                   45%            33%           (−12pp from LGD*)
K                     8.59%          7.28%         (−15.2% capital reduction)
RWA                   $5,369,500     $4,549,750    (−$819,750 saved)
Risk Weight           107.4%         91.0%
EL                    $45,000        $33,000       (lower provisioning need)</w:t>
      </w:r>
    </w:p>
    <w:p>
      <w:pPr>
        <w:spacing w:after="60" w:before="60"/>
      </w:pPr>
      <w:r>
        <w:t xml:space="preserve"/>
      </w:r>
    </w:p>
    <w:p>
      <w:pPr>
        <w:spacing w:after="80" w:before="80"/>
      </w:pPr>
      <w:r>
        <w:rPr>
          <w:rFonts w:ascii="Arial" w:cs="Arial" w:eastAsia="Arial" w:hAnsi="Arial"/>
          <w:b/>
          <w:bCs/>
          <w:sz w:val="22"/>
          <w:szCs w:val="22"/>
        </w:rPr>
        <w:t xml:space="preserve">Collateral efficiency:</w:t>
      </w:r>
      <w:r>
        <w:rPr>
          <w:rFonts w:ascii="Arial" w:cs="Arial" w:eastAsia="Arial" w:hAnsi="Arial"/>
          <w:sz w:val="22"/>
          <w:szCs w:val="22"/>
        </w:rPr>
        <w:t xml:space="preserve"> USD 4M of commercial real estate (after 40% haircut → $2.4M effective) reduces RWA by $819,750. The "return on collateral" (RWA saved / collateral value) = 20.5%.</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C: Numeric Example — Guaranteed Exposure (Split-K Method)</w:t>
      </w:r>
    </w:p>
    <w:p>
      <w:pPr>
        <w:spacing w:after="60" w:before="60"/>
      </w:pPr>
      <w:r>
        <w:t xml:space="preserve"/>
      </w:r>
    </w:p>
    <w:p>
      <w:pPr>
        <w:pStyle w:val="Heading3"/>
        <w:spacing w:after="100" w:before="200"/>
      </w:pPr>
      <w:r>
        <w:rPr>
          <w:rFonts w:ascii="Arial" w:cs="Arial" w:eastAsia="Arial" w:hAnsi="Arial"/>
          <w:sz w:val="22"/>
          <w:szCs w:val="22"/>
        </w:rPr>
        <w:t xml:space="preserve">The Exposure</w:t>
      </w:r>
    </w:p>
    <w:p>
      <w:pPr>
        <w:spacing w:after="60" w:before="60"/>
      </w:pPr>
      <w:r>
        <w:t xml:space="preserve"/>
      </w:r>
    </w:p>
    <w:p>
      <w:pPr>
        <w:pBdr>
          <w:left w:val="single" w:color="2E75B6" w:sz="8" w:space="4"/>
        </w:pBdr>
        <w:shd w:fill="EBF3FB" w:val="clear"/>
        <w:spacing w:after="80" w:before="80"/>
        <w:ind w:left="720"/>
      </w:pPr>
      <w:r>
        <w:rPr>
          <w:rFonts w:ascii="Arial" w:cs="Arial" w:eastAsia="Arial" w:hAnsi="Arial"/>
          <w:b/>
          <w:bCs/>
          <w:sz w:val="22"/>
          <w:szCs w:val="22"/>
        </w:rPr>
        <w:t xml:space="preserve">Obligor:</w:t>
      </w:r>
      <w:r>
        <w:rPr>
          <w:rFonts w:ascii="Arial" w:cs="Arial" w:eastAsia="Arial" w:hAnsi="Arial"/>
          <w:sz w:val="22"/>
          <w:szCs w:val="22"/>
        </w:rPr>
        <w:t xml:space="preserve"> Mid-cap corporate, PD = 3.00% (BB-rated)  </w:t>
      </w:r>
    </w:p>
    <w:p>
      <w:pPr>
        <w:pBdr>
          <w:left w:val="single" w:color="2E75B6" w:sz="8" w:space="4"/>
        </w:pBdr>
        <w:shd w:fill="EBF3FB" w:val="clear"/>
        <w:spacing w:after="80" w:before="80"/>
        <w:ind w:left="720"/>
      </w:pPr>
      <w:r>
        <w:rPr>
          <w:rFonts w:ascii="Arial" w:cs="Arial" w:eastAsia="Arial" w:hAnsi="Arial"/>
          <w:b/>
          <w:bCs/>
          <w:sz w:val="22"/>
          <w:szCs w:val="22"/>
        </w:rPr>
        <w:t xml:space="preserve">Guarantor:</w:t>
      </w:r>
      <w:r>
        <w:rPr>
          <w:rFonts w:ascii="Arial" w:cs="Arial" w:eastAsia="Arial" w:hAnsi="Arial"/>
          <w:sz w:val="22"/>
          <w:szCs w:val="22"/>
        </w:rPr>
        <w:t xml:space="preserve"> Investment-grade bank, PD = 0.20% (A-rated)  </w:t>
      </w:r>
    </w:p>
    <w:p>
      <w:pPr>
        <w:pBdr>
          <w:left w:val="single" w:color="2E75B6" w:sz="8" w:space="4"/>
        </w:pBdr>
        <w:shd w:fill="EBF3FB" w:val="clear"/>
        <w:spacing w:after="80" w:before="80"/>
        <w:ind w:left="720"/>
      </w:pPr>
      <w:r>
        <w:rPr>
          <w:rFonts w:ascii="Arial" w:cs="Arial" w:eastAsia="Arial" w:hAnsi="Arial"/>
          <w:b/>
          <w:bCs/>
          <w:sz w:val="22"/>
          <w:szCs w:val="22"/>
        </w:rPr>
        <w:t xml:space="preserve">EAD:</w:t>
      </w:r>
      <w:r>
        <w:rPr>
          <w:rFonts w:ascii="Arial" w:cs="Arial" w:eastAsia="Arial" w:hAnsi="Arial"/>
          <w:sz w:val="22"/>
          <w:szCs w:val="22"/>
        </w:rPr>
        <w:t xml:space="preserve"> USD 8,000,000  </w:t>
      </w:r>
    </w:p>
    <w:p>
      <w:pPr>
        <w:pBdr>
          <w:left w:val="single" w:color="2E75B6" w:sz="8" w:space="4"/>
        </w:pBdr>
        <w:shd w:fill="EBF3FB" w:val="clear"/>
        <w:spacing w:after="80" w:before="80"/>
        <w:ind w:left="720"/>
      </w:pPr>
      <w:r>
        <w:rPr>
          <w:rFonts w:ascii="Arial" w:cs="Arial" w:eastAsia="Arial" w:hAnsi="Arial"/>
          <w:b/>
          <w:bCs/>
          <w:sz w:val="22"/>
          <w:szCs w:val="22"/>
        </w:rPr>
        <w:t xml:space="preserve">LGD_obligor:</w:t>
      </w:r>
      <w:r>
        <w:rPr>
          <w:rFonts w:ascii="Arial" w:cs="Arial" w:eastAsia="Arial" w:hAnsi="Arial"/>
          <w:sz w:val="22"/>
          <w:szCs w:val="22"/>
        </w:rPr>
        <w:t xml:space="preserve"> 45% (unsecured senior)  </w:t>
      </w:r>
    </w:p>
    <w:p>
      <w:pPr>
        <w:pBdr>
          <w:left w:val="single" w:color="2E75B6" w:sz="8" w:space="4"/>
        </w:pBdr>
        <w:shd w:fill="EBF3FB" w:val="clear"/>
        <w:spacing w:after="80" w:before="80"/>
        <w:ind w:left="720"/>
      </w:pPr>
      <w:r>
        <w:rPr>
          <w:rFonts w:ascii="Arial" w:cs="Arial" w:eastAsia="Arial" w:hAnsi="Arial"/>
          <w:b/>
          <w:bCs/>
          <w:sz w:val="22"/>
          <w:szCs w:val="22"/>
        </w:rPr>
        <w:t xml:space="preserve">LGD_guarantor:</w:t>
      </w:r>
      <w:r>
        <w:rPr>
          <w:rFonts w:ascii="Arial" w:cs="Arial" w:eastAsia="Arial" w:hAnsi="Arial"/>
          <w:sz w:val="22"/>
          <w:szCs w:val="22"/>
        </w:rPr>
        <w:t xml:space="preserve"> 45%  </w:t>
      </w:r>
    </w:p>
    <w:p>
      <w:pPr>
        <w:pBdr>
          <w:left w:val="single" w:color="2E75B6" w:sz="8" w:space="4"/>
        </w:pBdr>
        <w:shd w:fill="EBF3FB" w:val="clear"/>
        <w:spacing w:after="80" w:before="80"/>
        <w:ind w:left="720"/>
      </w:pPr>
      <w:r>
        <w:rPr>
          <w:rFonts w:ascii="Arial" w:cs="Arial" w:eastAsia="Arial" w:hAnsi="Arial"/>
          <w:b/>
          <w:bCs/>
          <w:sz w:val="22"/>
          <w:szCs w:val="22"/>
        </w:rPr>
        <w:t xml:space="preserve">Guarantee Coverage:</w:t>
      </w:r>
      <w:r>
        <w:rPr>
          <w:rFonts w:ascii="Arial" w:cs="Arial" w:eastAsia="Arial" w:hAnsi="Arial"/>
          <w:sz w:val="22"/>
          <w:szCs w:val="22"/>
        </w:rPr>
        <w:t xml:space="preserve"> 60% of EAD  </w:t>
      </w:r>
    </w:p>
    <w:p>
      <w:pPr>
        <w:pBdr>
          <w:left w:val="single" w:color="2E75B6" w:sz="8" w:space="4"/>
        </w:pBdr>
        <w:shd w:fill="EBF3FB" w:val="clear"/>
        <w:spacing w:after="80" w:before="80"/>
        <w:ind w:left="720"/>
      </w:pPr>
      <w:r>
        <w:rPr>
          <w:rFonts w:ascii="Arial" w:cs="Arial" w:eastAsia="Arial" w:hAnsi="Arial"/>
          <w:b/>
          <w:bCs/>
          <w:sz w:val="22"/>
          <w:szCs w:val="22"/>
        </w:rPr>
        <w:t xml:space="preserve">Maturity:</w:t>
      </w:r>
      <w:r>
        <w:rPr>
          <w:rFonts w:ascii="Arial" w:cs="Arial" w:eastAsia="Arial" w:hAnsi="Arial"/>
          <w:sz w:val="22"/>
          <w:szCs w:val="22"/>
        </w:rPr>
        <w:t xml:space="preserve"> 4 years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1: Compute K_obligor (uncovered portion — 40%)</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PD_obligor = 3.00%
R_obligor  = 0.12 × (1 − exp(−1.50)) + 0.24 × (1 − …) = 0.1659  (16.6%)
b_obligor  = (0.11852 − 0.05478 × ln(0.030))² = (0.11852 + 0.19118)² = 0.09580
MA_obl     = (1 + (4 − 2.5) × 0.09580) / (1 − 1.5 × 0.09580) = 1.2044
z_obl      = (N⁻¹(0.030) + √0.1659 × 3.0902) / √0.8341
           = (−1.8808 + 1.2586) / 0.9133
           = −0.6815
N(z_obl)   = N(−0.6815) = 0.2478
K_base_obl = 0.45 × 0.2478 − 0.030 × 0.45 = 0.11151 − 0.01350 = 0.09801
K_obligor  = 0.09801 × 1.2044 = 0.11804   (11.80%)</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2: Compute K_guarantor (covered portion — 60%)</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PD_guarantor = 0.20%
R_guarantor  = 0.12 × (1 − exp(−0.10)) + 0.24 × (1 − …) = 0.2274  (22.7%)
b_guarantor  = (0.11852 − 0.05478 × ln(0.002))² = (0.11852 + 0.33929)² = 0.20975
MA_gua       = (1 + (4 − 2.5) × 0.20975) / (1 − 1.5 × 0.20975) = 1.5316
z_gua        = (N⁻¹(0.002) + √0.2274 × 3.0902) / √0.7726
            = (−2.8782 + 1.4730) / 0.8790
            = −1.5974
N(z_gua)     = N(−1.5974) = 0.0551
K_base_gua   = 0.45 × 0.0551 − 0.002 × 0.45 = 0.02480 − 0.00090 = 0.02390
K_guarantor  = 0.02390 × 1.5316 = 0.03661   (3.66%)</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3: Split-K Blending (CRE32.24 — FIX-04)</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K_blended = Coverage × K_guarantor + (1 − Coverage) × K_obligor
           = 0.60 × 0.03661 + 0.40 × 0.11804
           = 0.02197 + 0.04722
           = 0.06919   (6.92%)</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Summary — Guarantee Benefit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                    No Guarantee    With 60% Guarantee
PD applied          3.00%           60%×0.20% + 40%×3.00% (split)
K                   11.80%          6.92%          (−41.4% capital reduction!)
RWA                 $11,803,200     $6,918,720     (−$4,884,480)
Risk Weight         147.5%          86.5%</w:t>
      </w:r>
    </w:p>
    <w:p>
      <w:pPr>
        <w:spacing w:after="60" w:before="60"/>
      </w:pPr>
      <w:r>
        <w:t xml:space="preserve"/>
      </w:r>
    </w:p>
    <w:p>
      <w:pPr>
        <w:spacing w:after="80" w:before="80"/>
      </w:pPr>
      <w:r>
        <w:rPr>
          <w:rFonts w:ascii="Arial" w:cs="Arial" w:eastAsia="Arial" w:hAnsi="Arial"/>
          <w:b/>
          <w:bCs/>
          <w:sz w:val="22"/>
          <w:szCs w:val="22"/>
        </w:rPr>
        <w:t xml:space="preserve">Why split-K matters:</w:t>
      </w:r>
      <w:r>
        <w:rPr>
          <w:rFonts w:ascii="Arial" w:cs="Arial" w:eastAsia="Arial" w:hAnsi="Arial"/>
          <w:sz w:val="22"/>
          <w:szCs w:val="22"/>
        </w:rPr>
        <w:t xml:space="preserve"> If we had incorrectly blended PDs (60%×0.20% + 40%×3.00% = 1.32%) and fed that single PD to K, we would get K ≈ 8.1% — 17% higher than the correct 6.92%. The </w:t>
      </w:r>
      <w:r>
        <w:rPr>
          <w:rFonts w:ascii="Arial" w:cs="Arial" w:eastAsia="Arial" w:hAnsi="Arial"/>
          <w:b/>
          <w:bCs/>
          <w:sz w:val="22"/>
          <w:szCs w:val="22"/>
        </w:rPr>
        <w:t xml:space="preserve">non-linearity</w:t>
      </w:r>
      <w:r>
        <w:rPr>
          <w:rFonts w:ascii="Arial" w:cs="Arial" w:eastAsia="Arial" w:hAnsi="Arial"/>
          <w:sz w:val="22"/>
          <w:szCs w:val="22"/>
        </w:rPr>
        <w:t xml:space="preserve"> of the Vasicek formula means PD blending overstates capital.</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D: Numeric Example — Retail Mortgage Portfolio</w:t>
      </w:r>
    </w:p>
    <w:p>
      <w:pPr>
        <w:spacing w:after="60" w:before="60"/>
      </w:pPr>
      <w:r>
        <w:t xml:space="preserve"/>
      </w:r>
    </w:p>
    <w:p>
      <w:pPr>
        <w:pStyle w:val="Heading3"/>
        <w:spacing w:after="100" w:before="200"/>
      </w:pPr>
      <w:r>
        <w:rPr>
          <w:rFonts w:ascii="Arial" w:cs="Arial" w:eastAsia="Arial" w:hAnsi="Arial"/>
          <w:sz w:val="22"/>
          <w:szCs w:val="22"/>
        </w:rPr>
        <w:t xml:space="preserve">The Exposure</w:t>
      </w:r>
    </w:p>
    <w:p>
      <w:pPr>
        <w:spacing w:after="60" w:before="60"/>
      </w:pPr>
      <w:r>
        <w:t xml:space="preserve"/>
      </w:r>
    </w:p>
    <w:p>
      <w:pPr>
        <w:pBdr>
          <w:left w:val="single" w:color="2E75B6" w:sz="8" w:space="4"/>
        </w:pBdr>
        <w:shd w:fill="EBF3FB" w:val="clear"/>
        <w:spacing w:after="80" w:before="80"/>
        <w:ind w:left="720"/>
      </w:pPr>
      <w:r>
        <w:rPr>
          <w:rFonts w:ascii="Arial" w:cs="Arial" w:eastAsia="Arial" w:hAnsi="Arial"/>
          <w:b/>
          <w:bCs/>
          <w:sz w:val="22"/>
          <w:szCs w:val="22"/>
        </w:rPr>
        <w:t xml:space="preserve">Product:</w:t>
      </w:r>
      <w:r>
        <w:rPr>
          <w:rFonts w:ascii="Arial" w:cs="Arial" w:eastAsia="Arial" w:hAnsi="Arial"/>
          <w:sz w:val="22"/>
          <w:szCs w:val="22"/>
        </w:rPr>
        <w:t xml:space="preserve"> Residential mortgage portfolio (aggregated)  </w:t>
      </w:r>
    </w:p>
    <w:p>
      <w:pPr>
        <w:pBdr>
          <w:left w:val="single" w:color="2E75B6" w:sz="8" w:space="4"/>
        </w:pBdr>
        <w:shd w:fill="EBF3FB" w:val="clear"/>
        <w:spacing w:after="80" w:before="80"/>
        <w:ind w:left="720"/>
      </w:pPr>
      <w:r>
        <w:rPr>
          <w:rFonts w:ascii="Arial" w:cs="Arial" w:eastAsia="Arial" w:hAnsi="Arial"/>
          <w:b/>
          <w:bCs/>
          <w:sz w:val="22"/>
          <w:szCs w:val="22"/>
        </w:rPr>
        <w:t xml:space="preserve">Asset Class:</w:t>
      </w:r>
      <w:r>
        <w:rPr>
          <w:rFonts w:ascii="Arial" w:cs="Arial" w:eastAsia="Arial" w:hAnsi="Arial"/>
          <w:sz w:val="22"/>
          <w:szCs w:val="22"/>
        </w:rPr>
        <w:t xml:space="preserve"> RETAIL_MORT  </w:t>
      </w:r>
    </w:p>
    <w:p>
      <w:pPr>
        <w:pBdr>
          <w:left w:val="single" w:color="2E75B6" w:sz="8" w:space="4"/>
        </w:pBdr>
        <w:shd w:fill="EBF3FB" w:val="clear"/>
        <w:spacing w:after="80" w:before="80"/>
        <w:ind w:left="720"/>
      </w:pPr>
      <w:r>
        <w:rPr>
          <w:rFonts w:ascii="Arial" w:cs="Arial" w:eastAsia="Arial" w:hAnsi="Arial"/>
          <w:b/>
          <w:bCs/>
          <w:sz w:val="22"/>
          <w:szCs w:val="22"/>
        </w:rPr>
        <w:t xml:space="preserve">EAD:</w:t>
      </w:r>
      <w:r>
        <w:rPr>
          <w:rFonts w:ascii="Arial" w:cs="Arial" w:eastAsia="Arial" w:hAnsi="Arial"/>
          <w:sz w:val="22"/>
          <w:szCs w:val="22"/>
        </w:rPr>
        <w:t xml:space="preserve"> USD 50,000,000 (portfolio of 500 mortgages, average $100k each)  </w:t>
      </w:r>
    </w:p>
    <w:p>
      <w:pPr>
        <w:pBdr>
          <w:left w:val="single" w:color="2E75B6" w:sz="8" w:space="4"/>
        </w:pBdr>
        <w:shd w:fill="EBF3FB" w:val="clear"/>
        <w:spacing w:after="80" w:before="80"/>
        <w:ind w:left="720"/>
      </w:pPr>
      <w:r>
        <w:rPr>
          <w:rFonts w:ascii="Arial" w:cs="Arial" w:eastAsia="Arial" w:hAnsi="Arial"/>
          <w:b/>
          <w:bCs/>
          <w:sz w:val="22"/>
          <w:szCs w:val="22"/>
        </w:rPr>
        <w:t xml:space="preserve">PD:</w:t>
      </w:r>
      <w:r>
        <w:rPr>
          <w:rFonts w:ascii="Arial" w:cs="Arial" w:eastAsia="Arial" w:hAnsi="Arial"/>
          <w:sz w:val="22"/>
          <w:szCs w:val="22"/>
        </w:rPr>
        <w:t xml:space="preserve"> 0.80% (weighted average — well-seasoned UK owner-occupier portfolio)  </w:t>
      </w:r>
    </w:p>
    <w:p>
      <w:pPr>
        <w:pBdr>
          <w:left w:val="single" w:color="2E75B6" w:sz="8" w:space="4"/>
        </w:pBdr>
        <w:shd w:fill="EBF3FB" w:val="clear"/>
        <w:spacing w:after="80" w:before="80"/>
        <w:ind w:left="720"/>
      </w:pPr>
      <w:r>
        <w:rPr>
          <w:rFonts w:ascii="Arial" w:cs="Arial" w:eastAsia="Arial" w:hAnsi="Arial"/>
          <w:b/>
          <w:bCs/>
          <w:sz w:val="22"/>
          <w:szCs w:val="22"/>
        </w:rPr>
        <w:t xml:space="preserve">LGD:</w:t>
      </w:r>
      <w:r>
        <w:rPr>
          <w:rFonts w:ascii="Arial" w:cs="Arial" w:eastAsia="Arial" w:hAnsi="Arial"/>
          <w:sz w:val="22"/>
          <w:szCs w:val="22"/>
        </w:rPr>
        <w:t xml:space="preserve"> 15% (low — first-charge residential mortgage, LTV 65%)  </w:t>
      </w:r>
    </w:p>
    <w:p>
      <w:pPr>
        <w:pBdr>
          <w:left w:val="single" w:color="2E75B6" w:sz="8" w:space="4"/>
        </w:pBdr>
        <w:shd w:fill="EBF3FB" w:val="clear"/>
        <w:spacing w:after="80" w:before="80"/>
        <w:ind w:left="720"/>
      </w:pPr>
      <w:r>
        <w:rPr>
          <w:rFonts w:ascii="Arial" w:cs="Arial" w:eastAsia="Arial" w:hAnsi="Arial"/>
          <w:b/>
          <w:bCs/>
          <w:sz w:val="22"/>
          <w:szCs w:val="22"/>
        </w:rPr>
        <w:t xml:space="preserve">Maturity:</w:t>
      </w:r>
      <w:r>
        <w:rPr>
          <w:rFonts w:ascii="Arial" w:cs="Arial" w:eastAsia="Arial" w:hAnsi="Arial"/>
          <w:sz w:val="22"/>
          <w:szCs w:val="22"/>
        </w:rPr>
        <w:t xml:space="preserve"> Fixed at 1 year (CRE31.13 — no maturity adjustment for retail)</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Key Differences for Retail</w:t>
      </w:r>
    </w:p>
    <w:p>
      <w:pPr>
        <w:spacing w:after="60" w:before="60"/>
      </w:pPr>
      <w:r>
        <w:t xml:space="preserve"/>
      </w:r>
    </w:p>
    <w:p>
      <w:pPr>
        <w:pStyle w:val="ListParagraph"/>
        <w:numPr>
          <w:ilvl w:val="0"/>
          <w:numId w:val="3"/>
        </w:numPr>
        <w:spacing w:after="40" w:before="40"/>
      </w:pPr>
      <w:r>
        <w:rPr>
          <w:rFonts w:ascii="Arial" w:cs="Arial" w:eastAsia="Arial" w:hAnsi="Arial"/>
          <w:b/>
          <w:bCs/>
          <w:sz w:val="22"/>
          <w:szCs w:val="22"/>
        </w:rPr>
        <w:t xml:space="preserve">R = 0.15 (fixed)</w:t>
      </w:r>
      <w:r>
        <w:rPr>
          <w:rFonts w:ascii="Arial" w:cs="Arial" w:eastAsia="Arial" w:hAnsi="Arial"/>
          <w:sz w:val="22"/>
          <w:szCs w:val="22"/>
        </w:rPr>
        <w:t xml:space="preserve"> — not the PD-dependent corporate formula</w:t>
      </w:r>
    </w:p>
    <w:p>
      <w:pPr>
        <w:pStyle w:val="ListParagraph"/>
        <w:numPr>
          <w:ilvl w:val="0"/>
          <w:numId w:val="3"/>
        </w:numPr>
        <w:spacing w:after="40" w:before="40"/>
      </w:pPr>
      <w:r>
        <w:rPr>
          <w:rFonts w:ascii="Arial" w:cs="Arial" w:eastAsia="Arial" w:hAnsi="Arial"/>
          <w:b/>
          <w:bCs/>
          <w:sz w:val="22"/>
          <w:szCs w:val="22"/>
        </w:rPr>
        <w:t xml:space="preserve">b = 0, MA = 1</w:t>
      </w:r>
      <w:r>
        <w:rPr>
          <w:rFonts w:ascii="Arial" w:cs="Arial" w:eastAsia="Arial" w:hAnsi="Arial"/>
          <w:sz w:val="22"/>
          <w:szCs w:val="22"/>
        </w:rPr>
        <w:t xml:space="preserve"> — no maturity adjustment</w:t>
      </w:r>
    </w:p>
    <w:p>
      <w:pPr>
        <w:pStyle w:val="ListParagraph"/>
        <w:numPr>
          <w:ilvl w:val="0"/>
          <w:numId w:val="3"/>
        </w:numPr>
        <w:spacing w:after="40" w:before="40"/>
      </w:pPr>
      <w:r>
        <w:rPr>
          <w:rFonts w:ascii="Arial" w:cs="Arial" w:eastAsia="Arial" w:hAnsi="Arial"/>
          <w:b/>
          <w:bCs/>
          <w:sz w:val="22"/>
          <w:szCs w:val="22"/>
        </w:rPr>
        <w:t xml:space="preserve">No maturity adjustment</w:t>
      </w:r>
      <w:r>
        <w:rPr>
          <w:rFonts w:ascii="Arial" w:cs="Arial" w:eastAsia="Arial" w:hAnsi="Arial"/>
          <w:sz w:val="22"/>
          <w:szCs w:val="22"/>
        </w:rPr>
        <w:t xml:space="preserve"> — K formula is simpler</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Capital Calculation</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R  = 0.15 (fixed — CRE31.13)
b  = 0    (retail — no maturity adjustment)
MA = 1.0
N⁻¹(0.0080) = −2.4089
z = (−2.4089 + √0.15 × 3.0902) / √(1 − 0.15)
  = (−2.4089 + 0.3873 × 3.0902) / √0.85
  = (−2.4089 + 1.1962) / 0.9220
  = −1.2127 / 0.9220
  = −1.3152
N(z) = N(−1.3152) = 0.0942   (9.42% conditional default probability)
K_base = LGD × N(z) − PD × LGD
       = 0.15 × 0.0942 − 0.0080 × 0.15
       = 0.01413 − 0.00120
       = 0.01293
K = K_base × MA = 0.01293 × 1.0 = 0.01293   (1.29%)</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Summary</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EAD = $50,000,000   PD = 0.80%   LGD = 15%   R = 0.15 (fixed)
K       = 1.29%
RWA     = 0.01293 × 12.5 × $50,000,000 = $8,081,250
Risk Weight = 16.2%
EL      = 0.80% × 15% × $50M = $60,000
Compare to Standardised Approach:
  SA Risk Weight (LTV 65%) = 35%   (CRE20)
  SA RWA = 35% × $50M = $17,500,000
SA Output Floor: 72.5% × $17,500,000 = $12,687,500
IRB RWA = $8,081,250 &lt; Floor = $12,687,500
→ SA Floor IS binding — IRB uplift = $4,606,250
→ Effective RWA = $12,687,500   (floor-constrained)
→ This illustrates why Basel IV significantly impacts retail mortgage books!</w:t>
      </w:r>
    </w:p>
    <w:p>
      <w:pPr>
        <w:spacing w:after="60" w:before="60"/>
      </w:pPr>
      <w:r>
        <w:t xml:space="preserve"/>
      </w:r>
    </w:p>
    <w:p>
      <w:pPr>
        <w:spacing w:after="80" w:before="80"/>
      </w:pPr>
      <w:r>
        <w:rPr>
          <w:rFonts w:ascii="Arial" w:cs="Arial" w:eastAsia="Arial" w:hAnsi="Arial"/>
          <w:b/>
          <w:bCs/>
          <w:sz w:val="22"/>
          <w:szCs w:val="22"/>
        </w:rPr>
        <w:t xml:space="preserve">Critical insight for the CRO:</w:t>
      </w:r>
      <w:r>
        <w:rPr>
          <w:rFonts w:ascii="Arial" w:cs="Arial" w:eastAsia="Arial" w:hAnsi="Arial"/>
          <w:sz w:val="22"/>
          <w:szCs w:val="22"/>
        </w:rPr>
        <w:t xml:space="preserve"> The SA output floor (Basel IV) is most impactful for </w:t>
      </w:r>
      <w:r>
        <w:rPr>
          <w:rFonts w:ascii="Arial" w:cs="Arial" w:eastAsia="Arial" w:hAnsi="Arial"/>
          <w:b/>
          <w:bCs/>
          <w:sz w:val="22"/>
          <w:szCs w:val="22"/>
        </w:rPr>
        <w:t xml:space="preserve">retail mortgages and other low-risk assets where IRB models generate far lower capital than the SA</w:t>
      </w:r>
      <w:r>
        <w:rPr>
          <w:rFonts w:ascii="Arial" w:cs="Arial" w:eastAsia="Arial" w:hAnsi="Arial"/>
          <w:sz w:val="22"/>
          <w:szCs w:val="22"/>
        </w:rPr>
        <w:t xml:space="preserve">. Banks cannot simply argue their internal models justify 16% risk weights when the SA says 35% — the floor sets a binding minimum at 72.5% of SA.</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E: Numeric Example — SME Corporate with CDS Double-Default</w:t>
      </w:r>
    </w:p>
    <w:p>
      <w:pPr>
        <w:spacing w:after="60" w:before="60"/>
      </w:pPr>
      <w:r>
        <w:t xml:space="preserve"/>
      </w:r>
    </w:p>
    <w:p>
      <w:pPr>
        <w:pStyle w:val="Heading3"/>
        <w:spacing w:after="100" w:before="200"/>
      </w:pPr>
      <w:r>
        <w:rPr>
          <w:rFonts w:ascii="Arial" w:cs="Arial" w:eastAsia="Arial" w:hAnsi="Arial"/>
          <w:sz w:val="22"/>
          <w:szCs w:val="22"/>
        </w:rPr>
        <w:t xml:space="preserve">The Exposure</w:t>
      </w:r>
    </w:p>
    <w:p>
      <w:pPr>
        <w:spacing w:after="60" w:before="60"/>
      </w:pPr>
      <w:r>
        <w:t xml:space="preserve"/>
      </w:r>
    </w:p>
    <w:p>
      <w:pPr>
        <w:pBdr>
          <w:left w:val="single" w:color="2E75B6" w:sz="8" w:space="4"/>
        </w:pBdr>
        <w:shd w:fill="EBF3FB" w:val="clear"/>
        <w:spacing w:after="80" w:before="80"/>
        <w:ind w:left="720"/>
      </w:pPr>
      <w:r>
        <w:rPr>
          <w:rFonts w:ascii="Arial" w:cs="Arial" w:eastAsia="Arial" w:hAnsi="Arial"/>
          <w:b/>
          <w:bCs/>
          <w:sz w:val="22"/>
          <w:szCs w:val="22"/>
        </w:rPr>
        <w:t xml:space="preserve">Obligor:</w:t>
      </w:r>
      <w:r>
        <w:rPr>
          <w:rFonts w:ascii="Arial" w:cs="Arial" w:eastAsia="Arial" w:hAnsi="Arial"/>
          <w:sz w:val="22"/>
          <w:szCs w:val="22"/>
        </w:rPr>
        <w:t xml:space="preserve"> UK SME manufacturer, annual sales = €20 million  </w:t>
      </w:r>
    </w:p>
    <w:p>
      <w:pPr>
        <w:pBdr>
          <w:left w:val="single" w:color="2E75B6" w:sz="8" w:space="4"/>
        </w:pBdr>
        <w:shd w:fill="EBF3FB" w:val="clear"/>
        <w:spacing w:after="80" w:before="80"/>
        <w:ind w:left="720"/>
      </w:pPr>
      <w:r>
        <w:rPr>
          <w:rFonts w:ascii="Arial" w:cs="Arial" w:eastAsia="Arial" w:hAnsi="Arial"/>
          <w:b/>
          <w:bCs/>
          <w:sz w:val="22"/>
          <w:szCs w:val="22"/>
        </w:rPr>
        <w:t xml:space="preserve">Asset Class:</w:t>
      </w:r>
      <w:r>
        <w:rPr>
          <w:rFonts w:ascii="Arial" w:cs="Arial" w:eastAsia="Arial" w:hAnsi="Arial"/>
          <w:sz w:val="22"/>
          <w:szCs w:val="22"/>
        </w:rPr>
        <w:t xml:space="preserve"> CORP  </w:t>
      </w:r>
    </w:p>
    <w:p>
      <w:pPr>
        <w:pBdr>
          <w:left w:val="single" w:color="2E75B6" w:sz="8" w:space="4"/>
        </w:pBdr>
        <w:shd w:fill="EBF3FB" w:val="clear"/>
        <w:spacing w:after="80" w:before="80"/>
        <w:ind w:left="720"/>
      </w:pPr>
      <w:r>
        <w:rPr>
          <w:rFonts w:ascii="Arial" w:cs="Arial" w:eastAsia="Arial" w:hAnsi="Arial"/>
          <w:b/>
          <w:bCs/>
          <w:sz w:val="22"/>
          <w:szCs w:val="22"/>
        </w:rPr>
        <w:t xml:space="preserve">EAD:</w:t>
      </w:r>
      <w:r>
        <w:rPr>
          <w:rFonts w:ascii="Arial" w:cs="Arial" w:eastAsia="Arial" w:hAnsi="Arial"/>
          <w:sz w:val="22"/>
          <w:szCs w:val="22"/>
        </w:rPr>
        <w:t xml:space="preserve"> USD 3,000,000  </w:t>
      </w:r>
    </w:p>
    <w:p>
      <w:pPr>
        <w:pBdr>
          <w:left w:val="single" w:color="2E75B6" w:sz="8" w:space="4"/>
        </w:pBdr>
        <w:shd w:fill="EBF3FB" w:val="clear"/>
        <w:spacing w:after="80" w:before="80"/>
        <w:ind w:left="720"/>
      </w:pPr>
      <w:r>
        <w:rPr>
          <w:rFonts w:ascii="Arial" w:cs="Arial" w:eastAsia="Arial" w:hAnsi="Arial"/>
          <w:b/>
          <w:bCs/>
          <w:sz w:val="22"/>
          <w:szCs w:val="22"/>
        </w:rPr>
        <w:t xml:space="preserve">PD_obligor:</w:t>
      </w:r>
      <w:r>
        <w:rPr>
          <w:rFonts w:ascii="Arial" w:cs="Arial" w:eastAsia="Arial" w:hAnsi="Arial"/>
          <w:sz w:val="22"/>
          <w:szCs w:val="22"/>
        </w:rPr>
        <w:t xml:space="preserve"> 2.00% (BB-rated SME)  </w:t>
      </w:r>
    </w:p>
    <w:p>
      <w:pPr>
        <w:pBdr>
          <w:left w:val="single" w:color="2E75B6" w:sz="8" w:space="4"/>
        </w:pBdr>
        <w:shd w:fill="EBF3FB" w:val="clear"/>
        <w:spacing w:after="80" w:before="80"/>
        <w:ind w:left="720"/>
      </w:pPr>
      <w:r>
        <w:rPr>
          <w:rFonts w:ascii="Arial" w:cs="Arial" w:eastAsia="Arial" w:hAnsi="Arial"/>
          <w:b/>
          <w:bCs/>
          <w:sz w:val="22"/>
          <w:szCs w:val="22"/>
        </w:rPr>
        <w:t xml:space="preserve">LGD_obligor:</w:t>
      </w:r>
      <w:r>
        <w:rPr>
          <w:rFonts w:ascii="Arial" w:cs="Arial" w:eastAsia="Arial" w:hAnsi="Arial"/>
          <w:sz w:val="22"/>
          <w:szCs w:val="22"/>
        </w:rPr>
        <w:t xml:space="preserve"> 45%  </w:t>
      </w:r>
    </w:p>
    <w:p>
      <w:pPr>
        <w:pBdr>
          <w:left w:val="single" w:color="2E75B6" w:sz="8" w:space="4"/>
        </w:pBdr>
        <w:shd w:fill="EBF3FB" w:val="clear"/>
        <w:spacing w:after="80" w:before="80"/>
        <w:ind w:left="720"/>
      </w:pPr>
      <w:r>
        <w:rPr>
          <w:rFonts w:ascii="Arial" w:cs="Arial" w:eastAsia="Arial" w:hAnsi="Arial"/>
          <w:b/>
          <w:bCs/>
          <w:sz w:val="22"/>
          <w:szCs w:val="22"/>
        </w:rPr>
        <w:t xml:space="preserve">Maturity:</w:t>
      </w:r>
      <w:r>
        <w:rPr>
          <w:rFonts w:ascii="Arial" w:cs="Arial" w:eastAsia="Arial" w:hAnsi="Arial"/>
          <w:sz w:val="22"/>
          <w:szCs w:val="22"/>
        </w:rPr>
        <w:t xml:space="preserve"> 2 years  </w:t>
      </w:r>
    </w:p>
    <w:p>
      <w:pPr>
        <w:pBdr>
          <w:left w:val="single" w:color="2E75B6" w:sz="8" w:space="4"/>
        </w:pBdr>
        <w:shd w:fill="EBF3FB" w:val="clear"/>
        <w:spacing w:after="80" w:before="80"/>
        <w:ind w:left="720"/>
      </w:pPr>
      <w:r>
        <w:rPr>
          <w:rFonts w:ascii="Arial" w:cs="Arial" w:eastAsia="Arial" w:hAnsi="Arial"/>
          <w:b/>
          <w:bCs/>
          <w:sz w:val="22"/>
          <w:szCs w:val="22"/>
        </w:rPr>
        <w:t xml:space="preserve">CDS Protection:</w:t>
      </w:r>
      <w:r>
        <w:rPr>
          <w:rFonts w:ascii="Arial" w:cs="Arial" w:eastAsia="Arial" w:hAnsi="Arial"/>
          <w:sz w:val="22"/>
          <w:szCs w:val="22"/>
        </w:rPr>
        <w:t xml:space="preserve"> 100% coverage from A-rated bank (PD_guarantor = 0.15%)  </w:t>
      </w:r>
    </w:p>
    <w:p>
      <w:pPr>
        <w:pBdr>
          <w:left w:val="single" w:color="2E75B6" w:sz="8" w:space="4"/>
        </w:pBdr>
        <w:shd w:fill="EBF3FB" w:val="clear"/>
        <w:spacing w:after="80" w:before="80"/>
        <w:ind w:left="720"/>
      </w:pPr>
      <w:r>
        <w:rPr>
          <w:rFonts w:ascii="Arial" w:cs="Arial" w:eastAsia="Arial" w:hAnsi="Arial"/>
          <w:b/>
          <w:bCs/>
          <w:sz w:val="22"/>
          <w:szCs w:val="22"/>
        </w:rPr>
        <w:t xml:space="preserve">CDS LGD:</w:t>
      </w:r>
      <w:r>
        <w:rPr>
          <w:rFonts w:ascii="Arial" w:cs="Arial" w:eastAsia="Arial" w:hAnsi="Arial"/>
          <w:sz w:val="22"/>
          <w:szCs w:val="22"/>
        </w:rPr>
        <w:t xml:space="preserve"> 45%</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1: SME Correlation Adjustment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Sales = €20M → S_mEUR = 20 (in range 5–50)
R_base = 0.12 × (1 − exp(−1.0)) + 0.24 × (1 − …)
       = 0.12 × 0.6321 + 0.24 × 0.3679
       = 0.07585 + 0.08830
       = 0.16415
SME adjustment = −0.04 × (1 − (S − 5) / 45)
               = −0.04 × (1 − (20 − 5) / 45)
               = −0.04 × (1 − 0.3333)
               = −0.04 × 0.6667
               = −0.02667
R_SME = 0.16415 − 0.02667 = 0.1375   (13.75%)</w:t>
      </w:r>
    </w:p>
    <w:p>
      <w:pPr>
        <w:spacing w:after="60" w:before="60"/>
      </w:pPr>
      <w:r>
        <w:t xml:space="preserve"/>
      </w:r>
    </w:p>
    <w:p>
      <w:pPr>
        <w:spacing w:after="80" w:before="80"/>
      </w:pPr>
      <w:r>
        <w:rPr>
          <w:rFonts w:ascii="Arial" w:cs="Arial" w:eastAsia="Arial" w:hAnsi="Arial"/>
          <w:b/>
          <w:bCs/>
          <w:sz w:val="22"/>
          <w:szCs w:val="22"/>
        </w:rPr>
        <w:t xml:space="preserve">SME benefit:</w:t>
      </w:r>
      <w:r>
        <w:rPr>
          <w:rFonts w:ascii="Arial" w:cs="Arial" w:eastAsia="Arial" w:hAnsi="Arial"/>
          <w:sz w:val="22"/>
          <w:szCs w:val="22"/>
        </w:rPr>
        <w:t xml:space="preserve"> R reduced from 16.4% to 13.8% — less correlated with the economic cycle.</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2: Double-Default PD (CRE22.10)</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PD_dd = PD_obligor × (0.15 + 160 × PD_guarantor)
       = 0.0200 × (0.15 + 160 × 0.0015)
       = 0.0200 × (0.15 + 0.240)
       = 0.0200 × 0.390
       = 0.0078   (0.78%)</w:t>
      </w:r>
    </w:p>
    <w:p>
      <w:pPr>
        <w:spacing w:after="60" w:before="60"/>
      </w:pPr>
      <w:r>
        <w:t xml:space="preserve"/>
      </w:r>
    </w:p>
    <w:p>
      <w:pPr>
        <w:spacing w:after="80" w:before="80"/>
      </w:pPr>
      <w:r>
        <w:rPr>
          <w:rFonts w:ascii="Arial" w:cs="Arial" w:eastAsia="Arial" w:hAnsi="Arial"/>
          <w:b/>
          <w:bCs/>
          <w:sz w:val="22"/>
          <w:szCs w:val="22"/>
        </w:rPr>
        <w:t xml:space="preserve">Double-default benefit:</w:t>
      </w:r>
      <w:r>
        <w:rPr>
          <w:rFonts w:ascii="Arial" w:cs="Arial" w:eastAsia="Arial" w:hAnsi="Arial"/>
          <w:sz w:val="22"/>
          <w:szCs w:val="22"/>
        </w:rPr>
        <w:t xml:space="preserve"> PD reduced from 2.00% to 0.78% — capital falls significantly.</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3: K with Double-Default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PD_eff = 0.78%,  LGD_eff = 45%,  R = 0.1375,  M = 2yr
b = (0.11852 − 0.05478 × ln(0.0078))²
  = (0.11852 + 0.27077)²
  = (0.38929)²
  = 0.15155
MA = (1 + (2.0 − 2.5) × 0.15155) / (1 − 1.5 × 0.15155)
   = (1 − 0.07578) / (1 − 0.22733)
   = 0.92422 / 0.77267
   = 1.1961
z = (N⁻¹(0.0078) + √0.1375 × 3.0902) / √0.8625
  = (−2.4189 + 0.3708 × 3.0902) / 0.9288
  = (−2.4189 + 1.1457) / 0.9288
  = −1.2732 / 0.9288
  = −1.3708
N(z) = N(−1.3708) = 0.0852
K_base = 0.45 × 0.0852 − 0.0078 × 0.45 = 0.03834 − 0.00351 = 0.03483
K      = 0.03483 × 1.1961 = 0.04166   (4.17%)</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Summary — Layered Capital Benefits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                      Baseline    +SME Adj    +SME+CDS DD
PD applied            2.00%       2.00%       0.78%
R                     16.4%       13.75%      13.75%
K                     8.59%       7.78%       4.17%
RWA                   $3,221,250  $2,917,500  $1,563,750
Risk Weight           107.4%      97.2%       52.1%
Capital Saving        —           −$303,750   −$1,657,500</w:t>
      </w:r>
    </w:p>
    <w:p>
      <w:pPr>
        <w:spacing w:after="60" w:before="60"/>
      </w:pPr>
      <w:r>
        <w:t xml:space="preserve"/>
      </w:r>
    </w:p>
    <w:p>
      <w:pPr>
        <w:spacing w:after="80" w:before="80"/>
      </w:pPr>
      <w:r>
        <w:rPr>
          <w:rFonts w:ascii="Arial" w:cs="Arial" w:eastAsia="Arial" w:hAnsi="Arial"/>
          <w:b/>
          <w:bCs/>
          <w:sz w:val="22"/>
          <w:szCs w:val="22"/>
        </w:rPr>
        <w:t xml:space="preserve">Three capital levers on one trade:</w:t>
      </w:r>
    </w:p>
    <w:p>
      <w:pPr>
        <w:pStyle w:val="ListParagraph"/>
        <w:numPr>
          <w:ilvl w:val="0"/>
          <w:numId w:val="2"/>
        </w:numPr>
        <w:spacing w:after="40" w:before="40"/>
      </w:pPr>
      <w:r>
        <w:rPr>
          <w:rFonts w:ascii="Arial" w:cs="Arial" w:eastAsia="Arial" w:hAnsi="Arial"/>
          <w:sz w:val="22"/>
          <w:szCs w:val="22"/>
        </w:rPr>
        <w:t xml:space="preserve">SME sales volume reduction in R: −$303,750 RWA</w:t>
      </w:r>
    </w:p>
    <w:p>
      <w:pPr>
        <w:pStyle w:val="ListParagraph"/>
        <w:numPr>
          <w:ilvl w:val="0"/>
          <w:numId w:val="2"/>
        </w:numPr>
        <w:spacing w:after="40" w:before="40"/>
      </w:pPr>
      <w:r>
        <w:rPr>
          <w:rFonts w:ascii="Arial" w:cs="Arial" w:eastAsia="Arial" w:hAnsi="Arial"/>
          <w:sz w:val="22"/>
          <w:szCs w:val="22"/>
        </w:rPr>
        <w:t xml:space="preserve">CDS double-default PD: −$1,353,750 additional RWA</w:t>
      </w:r>
    </w:p>
    <w:p>
      <w:pPr>
        <w:pStyle w:val="ListParagraph"/>
        <w:numPr>
          <w:ilvl w:val="0"/>
          <w:numId w:val="2"/>
        </w:numPr>
        <w:spacing w:after="40" w:before="40"/>
      </w:pPr>
      <w:r>
        <w:rPr>
          <w:rFonts w:ascii="Arial" w:cs="Arial" w:eastAsia="Arial" w:hAnsi="Arial"/>
          <w:b/>
          <w:bCs/>
          <w:sz w:val="22"/>
          <w:szCs w:val="22"/>
        </w:rPr>
        <w:t xml:space="preserve">Total saving vs. no-CRM baseline: −$1,657,500</w:t>
      </w:r>
      <w:r>
        <w:rPr>
          <w:rFonts w:ascii="Arial" w:cs="Arial" w:eastAsia="Arial" w:hAnsi="Arial"/>
          <w:sz w:val="22"/>
          <w:szCs w:val="22"/>
        </w:rPr>
        <w:t xml:space="preserve"> (51.5% reduction)</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F: Cross-Asset Comparison — All Asset Classes</w:t>
      </w:r>
    </w:p>
    <w:p>
      <w:pPr>
        <w:spacing w:after="60" w:before="60"/>
      </w:pPr>
      <w:r>
        <w:t xml:space="preserve"/>
      </w:r>
    </w:p>
    <w:p>
      <w:pPr>
        <w:pStyle w:val="Heading3"/>
        <w:spacing w:after="100" w:before="200"/>
      </w:pPr>
      <w:r>
        <w:rPr>
          <w:rFonts w:ascii="Arial" w:cs="Arial" w:eastAsia="Arial" w:hAnsi="Arial"/>
          <w:sz w:val="22"/>
          <w:szCs w:val="22"/>
        </w:rPr>
        <w:t xml:space="preserve">F.1 Reference Portfolio — Seven Exposures, Same PD and LGD</w:t>
      </w:r>
    </w:p>
    <w:p>
      <w:pPr>
        <w:spacing w:after="60" w:before="60"/>
      </w:pPr>
      <w:r>
        <w:t xml:space="preserve"/>
      </w:r>
    </w:p>
    <w:p>
      <w:pPr>
        <w:spacing w:after="80" w:before="80"/>
      </w:pPr>
      <w:r>
        <w:rPr>
          <w:rFonts w:ascii="Arial" w:cs="Arial" w:eastAsia="Arial" w:hAnsi="Arial"/>
          <w:sz w:val="22"/>
          <w:szCs w:val="22"/>
        </w:rPr>
        <w:t xml:space="preserve">To isolate the effect of </w:t>
      </w:r>
      <w:r>
        <w:rPr>
          <w:rFonts w:ascii="Arial" w:cs="Arial" w:eastAsia="Arial" w:hAnsi="Arial"/>
          <w:b/>
          <w:bCs/>
          <w:sz w:val="22"/>
          <w:szCs w:val="22"/>
        </w:rPr>
        <w:t xml:space="preserve">asset class and correlation</w:t>
      </w:r>
      <w:r>
        <w:rPr>
          <w:rFonts w:ascii="Arial" w:cs="Arial" w:eastAsia="Arial" w:hAnsi="Arial"/>
          <w:sz w:val="22"/>
          <w:szCs w:val="22"/>
        </w:rPr>
        <w:t xml:space="preserve"> on capital, here is a clean comparison of USD 10M exposures, all with PD = 1.00%, LGD = 45%, M = 3 years: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33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33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33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33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33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33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33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r>
      <w:tr>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Key observations: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RETAIL_REV (revolving credit)</w:t>
      </w:r>
      <w:r>
        <w:rPr>
          <w:rFonts w:ascii="Arial" w:cs="Arial" w:eastAsia="Arial" w:hAnsi="Arial"/>
          <w:sz w:val="22"/>
          <w:szCs w:val="22"/>
        </w:rPr>
        <w:t xml:space="preserve"> has the lowest risk weight (22.8%) despite the same PD — the 4% fixed correlation reflects that consumer card defaults are largely idiosyncratic</w:t>
      </w:r>
    </w:p>
    <w:p>
      <w:pPr>
        <w:pStyle w:val="ListParagraph"/>
        <w:numPr>
          <w:ilvl w:val="0"/>
          <w:numId w:val="2"/>
        </w:numPr>
        <w:spacing w:after="40" w:before="40"/>
      </w:pPr>
      <w:r>
        <w:rPr>
          <w:rFonts w:ascii="Arial" w:cs="Arial" w:eastAsia="Arial" w:hAnsi="Arial"/>
          <w:b/>
          <w:bCs/>
          <w:sz w:val="22"/>
          <w:szCs w:val="22"/>
        </w:rPr>
        <w:t xml:space="preserve">BANK (large FI)</w:t>
      </w:r>
      <w:r>
        <w:rPr>
          <w:rFonts w:ascii="Arial" w:cs="Arial" w:eastAsia="Arial" w:hAnsi="Arial"/>
          <w:sz w:val="22"/>
          <w:szCs w:val="22"/>
        </w:rPr>
        <w:t xml:space="preserve"> has the highest risk weight (105.9%) — the 1.25× multiplier for financial interconnectedness adds a meaningful premium</w:t>
      </w:r>
    </w:p>
    <w:p>
      <w:pPr>
        <w:pStyle w:val="ListParagraph"/>
        <w:numPr>
          <w:ilvl w:val="0"/>
          <w:numId w:val="2"/>
        </w:numPr>
        <w:spacing w:after="40" w:before="40"/>
      </w:pPr>
      <w:r>
        <w:rPr>
          <w:rFonts w:ascii="Arial" w:cs="Arial" w:eastAsia="Arial" w:hAnsi="Arial"/>
          <w:b/>
          <w:bCs/>
          <w:sz w:val="22"/>
          <w:szCs w:val="22"/>
        </w:rPr>
        <w:t xml:space="preserve">RETAIL_MORT</w:t>
      </w:r>
      <w:r>
        <w:rPr>
          <w:rFonts w:ascii="Arial" w:cs="Arial" w:eastAsia="Arial" w:hAnsi="Arial"/>
          <w:sz w:val="22"/>
          <w:szCs w:val="22"/>
        </w:rPr>
        <w:t xml:space="preserve"> benefits from both fixed R=15% and the absence of a maturity adjustment</w:t>
      </w:r>
    </w:p>
    <w:p>
      <w:pPr>
        <w:pStyle w:val="ListParagraph"/>
        <w:numPr>
          <w:ilvl w:val="0"/>
          <w:numId w:val="2"/>
        </w:numPr>
        <w:spacing w:after="40" w:before="40"/>
      </w:pPr>
      <w:r>
        <w:rPr>
          <w:rFonts w:ascii="Arial" w:cs="Arial" w:eastAsia="Arial" w:hAnsi="Arial"/>
          <w:sz w:val="22"/>
          <w:szCs w:val="22"/>
        </w:rPr>
        <w:t xml:space="preserve">For CORP/BANK/SOV, R and K are identical at this PD level — the asset class distinction matters most at the margins (FI multiplier, HVCRE cap)</w:t>
      </w:r>
    </w:p>
    <w:p>
      <w:pPr>
        <w:spacing w:after="60" w:before="60"/>
      </w:pPr>
      <w:r>
        <w:t xml:space="preserve"/>
      </w:r>
    </w:p>
    <w:p>
      <w:pPr>
        <w:pStyle w:val="Heading3"/>
        <w:spacing w:after="100" w:before="200"/>
      </w:pPr>
      <w:r>
        <w:rPr>
          <w:rFonts w:ascii="Arial" w:cs="Arial" w:eastAsia="Arial" w:hAnsi="Arial"/>
          <w:sz w:val="22"/>
          <w:szCs w:val="22"/>
        </w:rPr>
        <w:t xml:space="preserve">F.2 The Effect of Maturity</w:t>
      </w:r>
    </w:p>
    <w:p>
      <w:pPr>
        <w:spacing w:after="60" w:before="60"/>
      </w:pPr>
      <w:r>
        <w:t xml:space="preserve"/>
      </w:r>
    </w:p>
    <w:p>
      <w:pPr>
        <w:spacing w:after="80" w:before="80"/>
      </w:pPr>
      <w:r>
        <w:rPr>
          <w:rFonts w:ascii="Arial" w:cs="Arial" w:eastAsia="Arial" w:hAnsi="Arial"/>
          <w:sz w:val="22"/>
          <w:szCs w:val="22"/>
        </w:rPr>
        <w:t xml:space="preserve">Same exposure (CORP, PD=1%, LGD=45%), varying maturity: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CRO observation:</w:t>
      </w:r>
      <w:r>
        <w:rPr>
          <w:rFonts w:ascii="Arial" w:cs="Arial" w:eastAsia="Arial" w:hAnsi="Arial"/>
          <w:sz w:val="22"/>
          <w:szCs w:val="22"/>
        </w:rPr>
        <w:t xml:space="preserve"> A 5-year term loan requires 85% more capital than a 1-year revolving facility to the same borrower at the same PD and LGD. Structuring long-dated credit as revolvers (M capped at 1 year if annually reviewed) can be a significant capital management tool — subject to legal substance.</w:t>
      </w:r>
    </w:p>
    <w:p>
      <w:pPr>
        <w:spacing w:after="60" w:before="60"/>
      </w:pPr>
      <w:r>
        <w:t xml:space="preserve"/>
      </w:r>
    </w:p>
    <w:p>
      <w:pPr>
        <w:pStyle w:val="Heading3"/>
        <w:spacing w:after="100" w:before="200"/>
      </w:pPr>
      <w:r>
        <w:rPr>
          <w:rFonts w:ascii="Arial" w:cs="Arial" w:eastAsia="Arial" w:hAnsi="Arial"/>
          <w:sz w:val="22"/>
          <w:szCs w:val="22"/>
        </w:rPr>
        <w:t xml:space="preserve">F.3 The Effect of PD — Capital Non-Linearity</w:t>
      </w:r>
    </w:p>
    <w:p>
      <w:pPr>
        <w:spacing w:after="60" w:before="60"/>
      </w:pPr>
      <w:r>
        <w:t xml:space="preserve"/>
      </w:r>
    </w:p>
    <w:p>
      <w:pPr>
        <w:spacing w:after="80" w:before="80"/>
      </w:pPr>
      <w:r>
        <w:rPr>
          <w:rFonts w:ascii="Arial" w:cs="Arial" w:eastAsia="Arial" w:hAnsi="Arial"/>
          <w:sz w:val="22"/>
          <w:szCs w:val="22"/>
        </w:rPr>
        <w:t xml:space="preserve">Same exposure (CORP, LGD=45%, M=3yr), varying PD: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Critical non-linearity insight:</w:t>
      </w:r>
      <w:r>
        <w:rPr>
          <w:rFonts w:ascii="Arial" w:cs="Arial" w:eastAsia="Arial" w:hAnsi="Arial"/>
          <w:sz w:val="22"/>
          <w:szCs w:val="22"/>
        </w:rPr>
        <w:t xml:space="preserve"> Capital (K) </w:t>
      </w:r>
      <w:r>
        <w:rPr>
          <w:rFonts w:ascii="Arial" w:cs="Arial" w:eastAsia="Arial" w:hAnsi="Arial"/>
          <w:b/>
          <w:bCs/>
          <w:sz w:val="22"/>
          <w:szCs w:val="22"/>
        </w:rPr>
        <w:t xml:space="preserve">peaks around BB−/B rating (5–10% PD) and then decreases</w:t>
      </w:r>
      <w:r>
        <w:rPr>
          <w:rFonts w:ascii="Arial" w:cs="Arial" w:eastAsia="Arial" w:hAnsi="Arial"/>
          <w:sz w:val="22"/>
          <w:szCs w:val="22"/>
        </w:rPr>
        <w:t xml:space="preserve"> for higher PDs. This is because:</w:t>
      </w:r>
    </w:p>
    <w:p>
      <w:pPr>
        <w:pStyle w:val="ListParagraph"/>
        <w:numPr>
          <w:ilvl w:val="0"/>
          <w:numId w:val="3"/>
        </w:numPr>
        <w:spacing w:after="40" w:before="40"/>
      </w:pPr>
      <w:r>
        <w:rPr>
          <w:rFonts w:ascii="Arial" w:cs="Arial" w:eastAsia="Arial" w:hAnsi="Arial"/>
          <w:sz w:val="22"/>
          <w:szCs w:val="22"/>
        </w:rPr>
        <w:t xml:space="preserve">At very high PDs (20%), the expected loss (EL = 20%×45% = 9%) is already very large — most of the loss is "expected" and should be provisioned, not capitalised</w:t>
      </w:r>
    </w:p>
    <w:p>
      <w:pPr>
        <w:pStyle w:val="ListParagraph"/>
        <w:numPr>
          <w:ilvl w:val="0"/>
          <w:numId w:val="3"/>
        </w:numPr>
        <w:spacing w:after="40" w:before="40"/>
      </w:pPr>
      <w:r>
        <w:rPr>
          <w:rFonts w:ascii="Arial" w:cs="Arial" w:eastAsia="Arial" w:hAnsi="Arial"/>
          <w:sz w:val="22"/>
          <w:szCs w:val="22"/>
        </w:rPr>
        <w:t xml:space="preserve">The Vasicek formula subtracts EL from the conditional loss, so as PD rises, EL grows faster than the conditional loss differential</w:t>
      </w:r>
    </w:p>
    <w:p>
      <w:pPr>
        <w:spacing w:after="60" w:before="60"/>
      </w:pPr>
      <w:r>
        <w:t xml:space="preserve"/>
      </w:r>
    </w:p>
    <w:p>
      <w:pPr>
        <w:spacing w:after="80" w:before="80"/>
      </w:pPr>
      <w:r>
        <w:rPr>
          <w:rFonts w:ascii="Arial" w:cs="Arial" w:eastAsia="Arial" w:hAnsi="Arial"/>
          <w:sz w:val="22"/>
          <w:szCs w:val="22"/>
        </w:rPr>
        <w:t xml:space="preserve">This creates a counter-intuitive result: a CCC-rated borrower at 20% PD requires less capital (K=8.02%) than a BB− borrower at 5% PD (K=9.19%). The CRO should ensure provisions are adequate for the high-PD tail — otherwise the EL shortfall creates a CET1 deduction that restores the true economic cost.</w:t>
      </w:r>
    </w:p>
    <w:p>
      <w:pPr>
        <w:spacing w:after="60" w:before="60"/>
      </w:pPr>
      <w:r>
        <w:t xml:space="preserve"/>
      </w:r>
    </w:p>
    <w:p>
      <w:pPr>
        <w:pBdr>
          <w:bottom w:val="single" w:color="2E75B6" w:sz="6" w:space="1"/>
        </w:pBdr>
        <w:spacing w:after="120" w:before="120"/>
      </w:pPr>
    </w:p>
    <w:p>
      <w:pPr>
        <w:spacing w:after="60" w:before="60"/>
      </w:pPr>
      <w:r>
        <w:t xml:space="preserve"/>
      </w:r>
    </w:p>
    <w:p>
      <w:pPr>
        <w:spacing w:after="80" w:before="80"/>
      </w:pPr>
      <w:r>
        <w:rPr>
          <w:rFonts w:ascii="Arial" w:cs="Arial" w:eastAsia="Arial" w:hAnsi="Arial"/>
          <w:i/>
          <w:iCs/>
          <w:sz w:val="22"/>
          <w:szCs w:val="22"/>
        </w:rPr>
        <w:t xml:space="preserve">This document was prepared from the PROMETHEUS `a_irb.py` source code and reflects the implementation as of April 2026. Regulatory references are to the Basel Framework (bis.org/basel_framework) CRE30–CRE36 standards effective 1 January 2023.</w:t>
      </w:r>
    </w:p>
    <w:p>
      <w:pPr>
        <w:spacing w:after="60" w:before="60"/>
      </w:pPr>
      <w:r>
        <w:t xml:space="preserve"/>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666666"/>
        <w:sz w:val="18"/>
        <w:szCs w:val="18"/>
      </w:rPr>
      <w:t xml:space="preserve">CONFIDENTIAL — Internal Use Only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PROMETHEUS Risk Platform  |  </w:t>
    </w:r>
    <w:r>
      <w:rPr>
        <w:rFonts w:ascii="Arial" w:cs="Arial" w:eastAsia="Arial" w:hAnsi="Arial"/>
        <w:b/>
        <w:bCs/>
        <w:color w:val="1F4E79"/>
        <w:sz w:val="18"/>
        <w:szCs w:val="18"/>
      </w:rPr>
      <w:t xml:space="preserve">PROMETHEUS — Advanced Internal Ratings-Based Approach (A-IRB)</w:t>
    </w:r>
    <w:r>
      <w:rPr>
        <w:rFonts w:ascii="Arial" w:cs="Arial" w:eastAsia="Arial" w:hAnsi="Arial"/>
        <w:color w:val="666666"/>
        <w:sz w:val="18"/>
        <w:szCs w:val="18"/>
      </w:rPr>
      <w:t xml:space="preserve">  |  Version 3.8 — Apr-27-2026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2E75B6" w:sz="6" w:space="2"/>
      </w:pBd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2026-04-27T08:15:03.573Z</dcterms:created>
  <dcterms:modified xsi:type="dcterms:W3CDTF">2026-04-27T08:15:03.573Z</dcterms:modified>
</cp:coreProperties>
</file>

<file path=docProps/custom.xml><?xml version="1.0" encoding="utf-8"?>
<Properties xmlns="http://schemas.openxmlformats.org/officeDocument/2006/custom-properties" xmlns:vt="http://schemas.openxmlformats.org/officeDocument/2006/docPropsVTypes"/>
</file>