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sz w:val="22"/>
          <w:szCs w:val="22"/>
        </w:rPr>
        <w:t xml:space="preserve">CVA Risk Capital — Technical Guide</w:t>
      </w:r>
    </w:p>
    <w:p>
      <w:pPr>
        <w:pStyle w:val="Heading2"/>
        <w:spacing w:after="120" w:before="280"/>
      </w:pPr>
      <w:r>
        <w:rPr>
          <w:rFonts w:ascii="Arial" w:cs="Arial" w:eastAsia="Arial" w:hAnsi="Arial"/>
          <w:sz w:val="22"/>
          <w:szCs w:val="22"/>
        </w:rPr>
        <w:t xml:space="preserve">Credit Valuation Adjustment (MAR50)</w:t>
      </w:r>
    </w:p>
    <w:p>
      <w:pPr>
        <w:pStyle w:val="Heading3"/>
        <w:spacing w:after="100" w:before="200"/>
      </w:pPr>
      <w:r>
        <w:rPr>
          <w:rFonts w:ascii="Arial" w:cs="Arial" w:eastAsia="Arial" w:hAnsi="Arial"/>
          <w:sz w:val="22"/>
          <w:szCs w:val="22"/>
        </w:rPr>
        <w:t xml:space="preserve">PROMETHEUS Risk Platform</w:t>
      </w:r>
    </w:p>
    <w:p>
      <w:pPr>
        <w:spacing w:after="80" w:before="80"/>
      </w:pPr>
      <w:r>
        <w:rPr>
          <w:rFonts w:ascii="Arial" w:cs="Arial" w:eastAsia="Arial" w:hAnsi="Arial"/>
          <w:b/>
          <w:bCs/>
          <w:sz w:val="22"/>
          <w:szCs w:val="22"/>
        </w:rPr>
        <w:t xml:space="preserve">Last Updated:</w:t>
      </w:r>
      <w:r>
        <w:rPr>
          <w:rFonts w:ascii="Arial" w:cs="Arial" w:eastAsia="Arial" w:hAnsi="Arial"/>
          <w:sz w:val="22"/>
          <w:szCs w:val="22"/>
        </w:rPr>
        <w:t xml:space="preserve"> Version 3.8 — Apr-27-2026  </w:t>
      </w:r>
    </w:p>
    <w:p>
      <w:pPr>
        <w:spacing w:after="80" w:before="80"/>
      </w:pPr>
      <w:r>
        <w:rPr>
          <w:rFonts w:ascii="Arial" w:cs="Arial" w:eastAsia="Arial" w:hAnsi="Arial"/>
          <w:b/>
          <w:bCs/>
          <w:sz w:val="22"/>
          <w:szCs w:val="22"/>
        </w:rPr>
        <w:t xml:space="preserve">Key Changes (v3.8):</w:t>
      </w:r>
      <w:r>
        <w:rPr>
          <w:rFonts w:ascii="Arial" w:cs="Arial" w:eastAsia="Arial" w:hAnsi="Arial"/>
          <w:sz w:val="22"/>
          <w:szCs w:val="22"/>
        </w:rPr>
        <w:t xml:space="preserve"> Fix 3 — BA-CVA supervisory discount factor DF=1 for IMM banks (MAR50.15(4))</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Table of Contents</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Overview &amp; Regulatory Basis</w:t>
      </w:r>
    </w:p>
    <w:p>
      <w:pPr>
        <w:pStyle w:val="ListParagraph"/>
        <w:numPr>
          <w:ilvl w:val="0"/>
          <w:numId w:val="2"/>
        </w:numPr>
        <w:spacing w:after="40" w:before="40"/>
      </w:pPr>
      <w:r>
        <w:rPr>
          <w:rFonts w:ascii="Arial" w:cs="Arial" w:eastAsia="Arial" w:hAnsi="Arial"/>
          <w:sz w:val="22"/>
          <w:szCs w:val="22"/>
        </w:rPr>
        <w:t xml:space="preserve">What Is CVA and Why Does It Generate Capital?</w:t>
      </w:r>
    </w:p>
    <w:p>
      <w:pPr>
        <w:pStyle w:val="ListParagraph"/>
        <w:numPr>
          <w:ilvl w:val="0"/>
          <w:numId w:val="2"/>
        </w:numPr>
        <w:spacing w:after="40" w:before="40"/>
      </w:pPr>
      <w:r>
        <w:rPr>
          <w:rFonts w:ascii="Arial" w:cs="Arial" w:eastAsia="Arial" w:hAnsi="Arial"/>
          <w:sz w:val="22"/>
          <w:szCs w:val="22"/>
        </w:rPr>
        <w:t xml:space="preserve">CVA Capital Approaches — Overview</w:t>
      </w:r>
    </w:p>
    <w:p>
      <w:pPr>
        <w:pStyle w:val="ListParagraph"/>
        <w:numPr>
          <w:ilvl w:val="0"/>
          <w:numId w:val="2"/>
        </w:numPr>
        <w:spacing w:after="40" w:before="40"/>
      </w:pPr>
      <w:r>
        <w:rPr>
          <w:rFonts w:ascii="Arial" w:cs="Arial" w:eastAsia="Arial" w:hAnsi="Arial"/>
          <w:sz w:val="22"/>
          <w:szCs w:val="22"/>
        </w:rPr>
        <w:t xml:space="preserve">Materiality Threshold (MAR50.9)</w:t>
      </w:r>
    </w:p>
    <w:p>
      <w:pPr>
        <w:pStyle w:val="ListParagraph"/>
        <w:numPr>
          <w:ilvl w:val="0"/>
          <w:numId w:val="2"/>
        </w:numPr>
        <w:spacing w:after="40" w:before="40"/>
      </w:pPr>
      <w:r>
        <w:rPr>
          <w:rFonts w:ascii="Arial" w:cs="Arial" w:eastAsia="Arial" w:hAnsi="Arial"/>
          <w:sz w:val="22"/>
          <w:szCs w:val="22"/>
        </w:rPr>
        <w:t xml:space="preserve">BA-CVA — Basic Approach (MAR50.14–38)</w:t>
      </w:r>
    </w:p>
    <w:p>
      <w:pPr>
        <w:pStyle w:val="ListParagraph"/>
        <w:numPr>
          <w:ilvl w:val="0"/>
          <w:numId w:val="2"/>
        </w:numPr>
        <w:spacing w:after="40" w:before="40"/>
      </w:pPr>
      <w:r>
        <w:rPr>
          <w:rFonts w:ascii="Arial" w:cs="Arial" w:eastAsia="Arial" w:hAnsi="Arial"/>
          <w:sz w:val="22"/>
          <w:szCs w:val="22"/>
        </w:rPr>
        <w:t xml:space="preserve">SA-CVA — Standardised Approach (MAR50.40–77)</w:t>
      </w:r>
    </w:p>
    <w:p>
      <w:pPr>
        <w:pStyle w:val="ListParagraph"/>
        <w:numPr>
          <w:ilvl w:val="0"/>
          <w:numId w:val="2"/>
        </w:numPr>
        <w:spacing w:after="40" w:before="40"/>
      </w:pPr>
      <w:r>
        <w:rPr>
          <w:rFonts w:ascii="Arial" w:cs="Arial" w:eastAsia="Arial" w:hAnsi="Arial"/>
          <w:sz w:val="22"/>
          <w:szCs w:val="22"/>
        </w:rPr>
        <w:t xml:space="preserve">CVA Engine — Method Routing and Fallback Logic</w:t>
      </w:r>
    </w:p>
    <w:p>
      <w:pPr>
        <w:pStyle w:val="ListParagraph"/>
        <w:numPr>
          <w:ilvl w:val="0"/>
          <w:numId w:val="2"/>
        </w:numPr>
        <w:spacing w:after="40" w:before="40"/>
      </w:pPr>
      <w:r>
        <w:rPr>
          <w:rFonts w:ascii="Arial" w:cs="Arial" w:eastAsia="Arial" w:hAnsi="Arial"/>
          <w:sz w:val="22"/>
          <w:szCs w:val="22"/>
        </w:rPr>
        <w:t xml:space="preserve">Proxy Spread Cascade (MAR50.32(3))</w:t>
      </w:r>
    </w:p>
    <w:p>
      <w:pPr>
        <w:pStyle w:val="ListParagraph"/>
        <w:numPr>
          <w:ilvl w:val="0"/>
          <w:numId w:val="2"/>
        </w:numPr>
        <w:spacing w:after="40" w:before="40"/>
      </w:pPr>
      <w:r>
        <w:rPr>
          <w:rFonts w:ascii="Arial" w:cs="Arial" w:eastAsia="Arial" w:hAnsi="Arial"/>
          <w:sz w:val="22"/>
          <w:szCs w:val="22"/>
        </w:rPr>
        <w:t xml:space="preserve">Wrong-Way Risk (MAR50.32)</w:t>
      </w:r>
    </w:p>
    <w:p>
      <w:pPr>
        <w:pStyle w:val="ListParagraph"/>
        <w:numPr>
          <w:ilvl w:val="0"/>
          <w:numId w:val="2"/>
        </w:numPr>
        <w:spacing w:after="40" w:before="40"/>
      </w:pPr>
      <w:r>
        <w:rPr>
          <w:rFonts w:ascii="Arial" w:cs="Arial" w:eastAsia="Arial" w:hAnsi="Arial"/>
          <w:sz w:val="22"/>
          <w:szCs w:val="22"/>
        </w:rPr>
        <w:t xml:space="preserve">Live Market Data Integration</w:t>
      </w:r>
    </w:p>
    <w:p>
      <w:pPr>
        <w:pStyle w:val="ListParagraph"/>
        <w:numPr>
          <w:ilvl w:val="0"/>
          <w:numId w:val="2"/>
        </w:numPr>
        <w:spacing w:after="40" w:before="40"/>
      </w:pPr>
      <w:r>
        <w:rPr>
          <w:rFonts w:ascii="Arial" w:cs="Arial" w:eastAsia="Arial" w:hAnsi="Arial"/>
          <w:sz w:val="22"/>
          <w:szCs w:val="22"/>
        </w:rPr>
        <w:t xml:space="preserve">Key Regulatory Fixes Applied (FIX-01 through FIX-09)</w:t>
      </w:r>
    </w:p>
    <w:p>
      <w:pPr>
        <w:pStyle w:val="ListParagraph"/>
        <w:numPr>
          <w:ilvl w:val="0"/>
          <w:numId w:val="2"/>
        </w:numPr>
        <w:spacing w:after="40" w:before="40"/>
      </w:pPr>
      <w:r>
        <w:rPr>
          <w:rFonts w:ascii="Arial" w:cs="Arial" w:eastAsia="Arial" w:hAnsi="Arial"/>
          <w:sz w:val="22"/>
          <w:szCs w:val="22"/>
        </w:rPr>
        <w:t xml:space="preserve">Data Structures Reference</w:t>
      </w:r>
    </w:p>
    <w:p>
      <w:pPr>
        <w:pStyle w:val="ListParagraph"/>
        <w:numPr>
          <w:ilvl w:val="0"/>
          <w:numId w:val="2"/>
        </w:numPr>
        <w:spacing w:after="40" w:before="40"/>
      </w:pPr>
      <w:r>
        <w:rPr>
          <w:rFonts w:ascii="Arial" w:cs="Arial" w:eastAsia="Arial" w:hAnsi="Arial"/>
          <w:sz w:val="22"/>
          <w:szCs w:val="22"/>
        </w:rPr>
        <w:t xml:space="preserve">Glossary</w:t>
      </w:r>
    </w:p>
    <w:p>
      <w:pPr>
        <w:spacing w:after="60" w:before="60"/>
      </w:pPr>
      <w:r>
        <w:t xml:space="preserve"/>
      </w:r>
    </w:p>
    <w:p>
      <w:pPr>
        <w:spacing w:after="80" w:before="80"/>
      </w:pPr>
      <w:r>
        <w:rPr>
          <w:rFonts w:ascii="Arial" w:cs="Arial" w:eastAsia="Arial" w:hAnsi="Arial"/>
          <w:b/>
          <w:bCs/>
          <w:sz w:val="22"/>
          <w:szCs w:val="22"/>
        </w:rPr>
        <w:t xml:space="preserve">Appendix A</w:t>
      </w:r>
      <w:r>
        <w:rPr>
          <w:rFonts w:ascii="Arial" w:cs="Arial" w:eastAsia="Arial" w:hAnsi="Arial"/>
          <w:sz w:val="22"/>
          <w:szCs w:val="22"/>
        </w:rPr>
        <w:t xml:space="preserve"> — Numeric Walk-Through: BA-CVA (Reduced, No Hedges)</w:t>
      </w:r>
    </w:p>
    <w:p>
      <w:pPr>
        <w:spacing w:after="80" w:before="80"/>
      </w:pPr>
      <w:r>
        <w:rPr>
          <w:rFonts w:ascii="Arial" w:cs="Arial" w:eastAsia="Arial" w:hAnsi="Arial"/>
          <w:b/>
          <w:bCs/>
          <w:sz w:val="22"/>
          <w:szCs w:val="22"/>
        </w:rPr>
        <w:t xml:space="preserve">Appendix B</w:t>
      </w:r>
      <w:r>
        <w:rPr>
          <w:rFonts w:ascii="Arial" w:cs="Arial" w:eastAsia="Arial" w:hAnsi="Arial"/>
          <w:sz w:val="22"/>
          <w:szCs w:val="22"/>
        </w:rPr>
        <w:t xml:space="preserve"> — Numeric Walk-Through: BA-CVA (Full, With Hedges)</w:t>
      </w:r>
    </w:p>
    <w:p>
      <w:pPr>
        <w:spacing w:after="80" w:before="80"/>
      </w:pPr>
      <w:r>
        <w:rPr>
          <w:rFonts w:ascii="Arial" w:cs="Arial" w:eastAsia="Arial" w:hAnsi="Arial"/>
          <w:b/>
          <w:bCs/>
          <w:sz w:val="22"/>
          <w:szCs w:val="22"/>
        </w:rPr>
        <w:t xml:space="preserve">Appendix C</w:t>
      </w:r>
      <w:r>
        <w:rPr>
          <w:rFonts w:ascii="Arial" w:cs="Arial" w:eastAsia="Arial" w:hAnsi="Arial"/>
          <w:sz w:val="22"/>
          <w:szCs w:val="22"/>
        </w:rPr>
        <w:t xml:space="preserve"> — Numeric Walk-Through: SA-CVA with Sector Buckets</w:t>
      </w:r>
    </w:p>
    <w:p>
      <w:pPr>
        <w:spacing w:after="80" w:before="80"/>
      </w:pPr>
      <w:r>
        <w:rPr>
          <w:rFonts w:ascii="Arial" w:cs="Arial" w:eastAsia="Arial" w:hAnsi="Arial"/>
          <w:b/>
          <w:bCs/>
          <w:sz w:val="22"/>
          <w:szCs w:val="22"/>
        </w:rPr>
        <w:t xml:space="preserve">Appendix D</w:t>
      </w:r>
      <w:r>
        <w:rPr>
          <w:rFonts w:ascii="Arial" w:cs="Arial" w:eastAsia="Arial" w:hAnsi="Arial"/>
          <w:sz w:val="22"/>
          <w:szCs w:val="22"/>
        </w:rPr>
        <w:t xml:space="preserve"> — Wrong-Way Risk: CDS on Financials</w:t>
      </w:r>
    </w:p>
    <w:p>
      <w:pPr>
        <w:spacing w:after="80" w:before="80"/>
      </w:pPr>
      <w:r>
        <w:rPr>
          <w:rFonts w:ascii="Arial" w:cs="Arial" w:eastAsia="Arial" w:hAnsi="Arial"/>
          <w:b/>
          <w:bCs/>
          <w:sz w:val="22"/>
          <w:szCs w:val="22"/>
        </w:rPr>
        <w:t xml:space="preserve">Appendix E</w:t>
      </w:r>
      <w:r>
        <w:rPr>
          <w:rFonts w:ascii="Arial" w:cs="Arial" w:eastAsia="Arial" w:hAnsi="Arial"/>
          <w:sz w:val="22"/>
          <w:szCs w:val="22"/>
        </w:rPr>
        <w:t xml:space="preserve"> — Cross-Method Comparison Portfolio</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 Overview &amp; Regulatory Basis</w:t>
      </w:r>
    </w:p>
    <w:p>
      <w:pPr>
        <w:spacing w:after="60" w:before="60"/>
      </w:pPr>
      <w:r>
        <w:t xml:space="preserve"/>
      </w:r>
    </w:p>
    <w:p>
      <w:pPr>
        <w:spacing w:after="80" w:before="80"/>
      </w:pPr>
      <w:r>
        <w:rPr>
          <w:rFonts w:ascii="Arial" w:cs="Arial" w:eastAsia="Arial" w:hAnsi="Arial"/>
          <w:sz w:val="22"/>
          <w:szCs w:val="22"/>
        </w:rPr>
        <w:t xml:space="preserve">CVA (Credit Valuation Adjustment) is the market value of </w:t>
      </w:r>
      <w:r>
        <w:rPr>
          <w:rFonts w:ascii="Arial" w:cs="Arial" w:eastAsia="Arial" w:hAnsi="Arial"/>
          <w:b/>
          <w:bCs/>
          <w:sz w:val="22"/>
          <w:szCs w:val="22"/>
        </w:rPr>
        <w:t xml:space="preserve">counterparty credit risk</w:t>
      </w:r>
      <w:r>
        <w:rPr>
          <w:rFonts w:ascii="Arial" w:cs="Arial" w:eastAsia="Arial" w:hAnsi="Arial"/>
          <w:sz w:val="22"/>
          <w:szCs w:val="22"/>
        </w:rPr>
        <w:t xml:space="preserve"> embedded in a derivative portfolio. It represents the expected loss from counterparty default, accounting for the future value of trades at the time of default.</w:t>
      </w:r>
    </w:p>
    <w:p>
      <w:pPr>
        <w:spacing w:after="60" w:before="60"/>
      </w:pPr>
      <w:r>
        <w:t xml:space="preserve"/>
      </w:r>
    </w:p>
    <w:p>
      <w:pPr>
        <w:spacing w:after="80" w:before="80"/>
      </w:pPr>
      <w:r>
        <w:rPr>
          <w:rFonts w:ascii="Arial" w:cs="Arial" w:eastAsia="Arial" w:hAnsi="Arial"/>
          <w:b/>
          <w:bCs/>
          <w:sz w:val="22"/>
          <w:szCs w:val="22"/>
        </w:rPr>
        <w:t xml:space="preserve">CVA Capital</w:t>
      </w:r>
      <w:r>
        <w:rPr>
          <w:rFonts w:ascii="Arial" w:cs="Arial" w:eastAsia="Arial" w:hAnsi="Arial"/>
          <w:sz w:val="22"/>
          <w:szCs w:val="22"/>
        </w:rPr>
        <w:t xml:space="preserve"> (distinct from CVA Value) captures the risk that CVA itself will change due to movements in credit spreads, rates, FX, equity, and other market risk factors. It is a </w:t>
      </w:r>
      <w:r>
        <w:rPr>
          <w:rFonts w:ascii="Arial" w:cs="Arial" w:eastAsia="Arial" w:hAnsi="Arial"/>
          <w:b/>
          <w:bCs/>
          <w:sz w:val="22"/>
          <w:szCs w:val="22"/>
        </w:rPr>
        <w:t xml:space="preserve">market risk charge</w:t>
      </w:r>
      <w:r>
        <w:rPr>
          <w:rFonts w:ascii="Arial" w:cs="Arial" w:eastAsia="Arial" w:hAnsi="Arial"/>
          <w:sz w:val="22"/>
          <w:szCs w:val="22"/>
        </w:rPr>
        <w:t xml:space="preserve"> sitting in the Market Risk RWA bucket, not the Credit Risk bucket.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2. What Is CVA and Why Does It Generate Capital?</w:t>
      </w:r>
    </w:p>
    <w:p>
      <w:pPr>
        <w:spacing w:after="60" w:before="60"/>
      </w:pPr>
      <w:r>
        <w:t xml:space="preserve"/>
      </w:r>
    </w:p>
    <w:p>
      <w:pPr>
        <w:pStyle w:val="Heading3"/>
        <w:spacing w:after="100" w:before="200"/>
      </w:pPr>
      <w:r>
        <w:rPr>
          <w:rFonts w:ascii="Arial" w:cs="Arial" w:eastAsia="Arial" w:hAnsi="Arial"/>
          <w:sz w:val="22"/>
          <w:szCs w:val="22"/>
        </w:rPr>
        <w:t xml:space="preserve">CVA Value</w:t>
      </w:r>
    </w:p>
    <w:p>
      <w:pPr>
        <w:spacing w:after="60" w:before="60"/>
      </w:pPr>
      <w:r>
        <w:t xml:space="preserve"/>
      </w:r>
    </w:p>
    <w:p>
      <w:pPr>
        <w:spacing w:after="80" w:before="80"/>
      </w:pPr>
      <w:r>
        <w:rPr>
          <w:rFonts w:ascii="Arial" w:cs="Arial" w:eastAsia="Arial" w:hAnsi="Arial"/>
          <w:sz w:val="22"/>
          <w:szCs w:val="22"/>
        </w:rPr>
        <w:t xml:space="preserve">CVA is the risk-neutral expected loss from counterparty default: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CVA ≈ LGD × Integral[0→T] {PD(t) × EE(t) × DF(t) dt}
where:
  LGD  = Loss Given Default (market-implied from CDS recovery)
  PD(t) = Risk-neutral default probability at time t (from CDS spread)
  EE(t) = Expected Exposure at time t (from IMM or SA-CCR)
  DF(t) = Risk-free discount factor</w:t>
      </w:r>
    </w:p>
    <w:p>
      <w:pPr>
        <w:spacing w:after="60" w:before="60"/>
      </w:pPr>
      <w:r>
        <w:t xml:space="preserve"/>
      </w:r>
    </w:p>
    <w:p>
      <w:pPr>
        <w:pStyle w:val="Heading3"/>
        <w:spacing w:after="100" w:before="200"/>
      </w:pPr>
      <w:r>
        <w:rPr>
          <w:rFonts w:ascii="Arial" w:cs="Arial" w:eastAsia="Arial" w:hAnsi="Arial"/>
          <w:sz w:val="22"/>
          <w:szCs w:val="22"/>
        </w:rPr>
        <w:t xml:space="preserve">Why Capital is Required</w:t>
      </w:r>
    </w:p>
    <w:p>
      <w:pPr>
        <w:spacing w:after="60" w:before="60"/>
      </w:pPr>
      <w:r>
        <w:t xml:space="preserve"/>
      </w:r>
    </w:p>
    <w:p>
      <w:pPr>
        <w:spacing w:after="80" w:before="80"/>
      </w:pPr>
      <w:r>
        <w:rPr>
          <w:rFonts w:ascii="Arial" w:cs="Arial" w:eastAsia="Arial" w:hAnsi="Arial"/>
          <w:sz w:val="22"/>
          <w:szCs w:val="22"/>
        </w:rPr>
        <w:t xml:space="preserve">CVA itself is an asset (a valuation adjustment) that fluctuates with:</w:t>
      </w:r>
    </w:p>
    <w:p>
      <w:pPr>
        <w:pStyle w:val="ListParagraph"/>
        <w:numPr>
          <w:ilvl w:val="0"/>
          <w:numId w:val="3"/>
        </w:numPr>
        <w:spacing w:after="40" w:before="40"/>
      </w:pPr>
      <w:r>
        <w:rPr>
          <w:rFonts w:ascii="Arial" w:cs="Arial" w:eastAsia="Arial" w:hAnsi="Arial"/>
          <w:b/>
          <w:bCs/>
          <w:sz w:val="22"/>
          <w:szCs w:val="22"/>
        </w:rPr>
        <w:t xml:space="preserve">Credit spread changes</w:t>
      </w:r>
      <w:r>
        <w:rPr>
          <w:rFonts w:ascii="Arial" w:cs="Arial" w:eastAsia="Arial" w:hAnsi="Arial"/>
          <w:sz w:val="22"/>
          <w:szCs w:val="22"/>
        </w:rPr>
        <w:t xml:space="preserve"> — if counterparty spreads widen, CVA increases (more expected loss)</w:t>
      </w:r>
    </w:p>
    <w:p>
      <w:pPr>
        <w:pStyle w:val="ListParagraph"/>
        <w:numPr>
          <w:ilvl w:val="0"/>
          <w:numId w:val="3"/>
        </w:numPr>
        <w:spacing w:after="40" w:before="40"/>
      </w:pPr>
      <w:r>
        <w:rPr>
          <w:rFonts w:ascii="Arial" w:cs="Arial" w:eastAsia="Arial" w:hAnsi="Arial"/>
          <w:b/>
          <w:bCs/>
          <w:sz w:val="22"/>
          <w:szCs w:val="22"/>
        </w:rPr>
        <w:t xml:space="preserve">Exposure changes</w:t>
      </w:r>
      <w:r>
        <w:rPr>
          <w:rFonts w:ascii="Arial" w:cs="Arial" w:eastAsia="Arial" w:hAnsi="Arial"/>
          <w:sz w:val="22"/>
          <w:szCs w:val="22"/>
        </w:rPr>
        <w:t xml:space="preserve"> — if rates/FX/equity move, EE changes, so CVA changes</w:t>
      </w:r>
    </w:p>
    <w:p>
      <w:pPr>
        <w:pStyle w:val="ListParagraph"/>
        <w:numPr>
          <w:ilvl w:val="0"/>
          <w:numId w:val="3"/>
        </w:numPr>
        <w:spacing w:after="40" w:before="40"/>
      </w:pPr>
      <w:r>
        <w:rPr>
          <w:rFonts w:ascii="Arial" w:cs="Arial" w:eastAsia="Arial" w:hAnsi="Arial"/>
          <w:b/>
          <w:bCs/>
          <w:sz w:val="22"/>
          <w:szCs w:val="22"/>
        </w:rPr>
        <w:t xml:space="preserve">Correlation between spread and exposure</w:t>
      </w:r>
      <w:r>
        <w:rPr>
          <w:rFonts w:ascii="Arial" w:cs="Arial" w:eastAsia="Arial" w:hAnsi="Arial"/>
          <w:sz w:val="22"/>
          <w:szCs w:val="22"/>
        </w:rPr>
        <w:t xml:space="preserve"> (wrong-way risk)</w:t>
      </w:r>
    </w:p>
    <w:p>
      <w:pPr>
        <w:spacing w:after="60" w:before="60"/>
      </w:pPr>
      <w:r>
        <w:t xml:space="preserve"/>
      </w:r>
    </w:p>
    <w:p>
      <w:pPr>
        <w:spacing w:after="80" w:before="80"/>
      </w:pPr>
      <w:r>
        <w:rPr>
          <w:rFonts w:ascii="Arial" w:cs="Arial" w:eastAsia="Arial" w:hAnsi="Arial"/>
          <w:sz w:val="22"/>
          <w:szCs w:val="22"/>
        </w:rPr>
        <w:t xml:space="preserve">The </w:t>
      </w:r>
      <w:r>
        <w:rPr>
          <w:rFonts w:ascii="Arial" w:cs="Arial" w:eastAsia="Arial" w:hAnsi="Arial"/>
          <w:b/>
          <w:bCs/>
          <w:sz w:val="22"/>
          <w:szCs w:val="22"/>
        </w:rPr>
        <w:t xml:space="preserve">2007–2009 crisis</w:t>
      </w:r>
      <w:r>
        <w:rPr>
          <w:rFonts w:ascii="Arial" w:cs="Arial" w:eastAsia="Arial" w:hAnsi="Arial"/>
          <w:sz w:val="22"/>
          <w:szCs w:val="22"/>
        </w:rPr>
        <w:t xml:space="preserve"> showed that ~2/3 of credit losses from counterparty credit risk came from CVA mark-to-market movements, not actual defaults. Basel III responded by mandating CVA capital.</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3. CVA Capital Approaches — Overview</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Portfolio of non-cleared derivatives
           │
           ▼
    MAR50.9: Materiality check
    ├── Below EUR 100bn notional → 100% of CCR RWA as proxy
    └── Above EUR 100bn notional → compute CVA capital
                │
                ├── SA-CVA approved + live CDS spreads?
                │    └── SA-CVA (MAR50.40-77)
                │
                └── Otherwise → BA-CVA (MAR50.14–38)
                     ├── Reduced (no hedges) — MAR50.14
                     └── Full (with hedges) — MAR50.20–21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4. Materiality Threshold (MAR50.9)</w:t>
      </w:r>
    </w:p>
    <w:p>
      <w:pPr>
        <w:spacing w:after="60" w:before="60"/>
      </w:pPr>
      <w:r>
        <w:t xml:space="preserve"/>
      </w:r>
    </w:p>
    <w:p>
      <w:pPr>
        <w:spacing w:after="80" w:before="80"/>
      </w:pPr>
      <w:r>
        <w:rPr>
          <w:rFonts w:ascii="Arial" w:cs="Arial" w:eastAsia="Arial" w:hAnsi="Arial"/>
          <w:b/>
          <w:bCs/>
          <w:sz w:val="22"/>
          <w:szCs w:val="22"/>
        </w:rPr>
        <w:t xml:space="preserve">FIX-04:</w:t>
      </w:r>
      <w:r>
        <w:rPr>
          <w:rFonts w:ascii="Arial" w:cs="Arial" w:eastAsia="Arial" w:hAnsi="Arial"/>
          <w:sz w:val="22"/>
          <w:szCs w:val="22"/>
        </w:rPr>
        <w:t xml:space="preserve"> The original code used USD 1M CCR RWA as the threshold — wrong by four orders of magnitude. The correct threshold is: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Threshold: Aggregate non-centrally-cleared derivative NOTIONAL ≤ EUR 100 billion
If notional ≤ EUR 100bn → CVA RWA = 100% of CCR RWA (proxy)
If notional &gt;  EUR 100bn → must compute BA-CVA or SA-CVA</w:t>
      </w:r>
    </w:p>
    <w:p>
      <w:pPr>
        <w:spacing w:after="60" w:before="60"/>
      </w:pPr>
      <w:r>
        <w:t xml:space="preserve"/>
      </w:r>
    </w:p>
    <w:p>
      <w:pPr>
        <w:spacing w:after="80" w:before="80"/>
      </w:pPr>
      <w:r>
        <w:rPr>
          <w:rFonts w:ascii="Arial" w:cs="Arial" w:eastAsia="Arial" w:hAnsi="Arial"/>
          <w:sz w:val="22"/>
          <w:szCs w:val="22"/>
        </w:rPr>
        <w:t xml:space="preserve">For most G-SIBs, the notional far exceeds EUR 100bn. The threshold mainly relieves small regional banks from running CVA models.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5. BA-CVA — Basic Approach (MAR50.14–38)</w:t>
      </w:r>
    </w:p>
    <w:p>
      <w:pPr>
        <w:spacing w:after="60" w:before="60"/>
      </w:pPr>
      <w:r>
        <w:t xml:space="preserve"/>
      </w:r>
    </w:p>
    <w:p>
      <w:pPr>
        <w:pStyle w:val="Heading3"/>
        <w:spacing w:after="100" w:before="200"/>
      </w:pPr>
      <w:r>
        <w:rPr>
          <w:rFonts w:ascii="Arial" w:cs="Arial" w:eastAsia="Arial" w:hAnsi="Arial"/>
          <w:sz w:val="22"/>
          <w:szCs w:val="22"/>
        </w:rPr>
        <w:t xml:space="preserve">Core Concept</w:t>
      </w:r>
    </w:p>
    <w:p>
      <w:pPr>
        <w:spacing w:after="60" w:before="60"/>
      </w:pPr>
      <w:r>
        <w:t xml:space="preserve"/>
      </w:r>
    </w:p>
    <w:p>
      <w:pPr>
        <w:spacing w:after="80" w:before="80"/>
      </w:pPr>
      <w:r>
        <w:rPr>
          <w:rFonts w:ascii="Arial" w:cs="Arial" w:eastAsia="Arial" w:hAnsi="Arial"/>
          <w:sz w:val="22"/>
          <w:szCs w:val="22"/>
        </w:rPr>
        <w:t xml:space="preserve">BA-CVA estimates CVA capital from the </w:t>
      </w:r>
      <w:r>
        <w:rPr>
          <w:rFonts w:ascii="Arial" w:cs="Arial" w:eastAsia="Arial" w:hAnsi="Arial"/>
          <w:b/>
          <w:bCs/>
          <w:sz w:val="22"/>
          <w:szCs w:val="22"/>
        </w:rPr>
        <w:t xml:space="preserve">EAD</w:t>
      </w:r>
      <w:r>
        <w:rPr>
          <w:rFonts w:ascii="Arial" w:cs="Arial" w:eastAsia="Arial" w:hAnsi="Arial"/>
          <w:sz w:val="22"/>
          <w:szCs w:val="22"/>
        </w:rPr>
        <w:t xml:space="preserve"> of each counterparty (not from sensitivity to market risk factors). It uses:</w:t>
      </w:r>
    </w:p>
    <w:p>
      <w:pPr>
        <w:pStyle w:val="ListParagraph"/>
        <w:numPr>
          <w:ilvl w:val="0"/>
          <w:numId w:val="3"/>
        </w:numPr>
        <w:spacing w:after="40" w:before="40"/>
      </w:pPr>
      <w:r>
        <w:rPr>
          <w:rFonts w:ascii="Arial" w:cs="Arial" w:eastAsia="Arial" w:hAnsi="Arial"/>
          <w:b/>
          <w:bCs/>
          <w:sz w:val="22"/>
          <w:szCs w:val="22"/>
        </w:rPr>
        <w:t xml:space="preserve">Supervisory credit spreads</w:t>
      </w:r>
      <w:r>
        <w:rPr>
          <w:rFonts w:ascii="Arial" w:cs="Arial" w:eastAsia="Arial" w:hAnsi="Arial"/>
          <w:sz w:val="22"/>
          <w:szCs w:val="22"/>
        </w:rPr>
        <w:t xml:space="preserve"> (rating-based, from MAR50 Table 1)</w:t>
      </w:r>
    </w:p>
    <w:p>
      <w:pPr>
        <w:pStyle w:val="ListParagraph"/>
        <w:numPr>
          <w:ilvl w:val="0"/>
          <w:numId w:val="3"/>
        </w:numPr>
        <w:spacing w:after="40" w:before="40"/>
      </w:pPr>
      <w:r>
        <w:rPr>
          <w:rFonts w:ascii="Arial" w:cs="Arial" w:eastAsia="Arial" w:hAnsi="Arial"/>
          <w:b/>
          <w:bCs/>
          <w:sz w:val="22"/>
          <w:szCs w:val="22"/>
        </w:rPr>
        <w:t xml:space="preserve">Supervisory correlation</w:t>
      </w:r>
      <w:r>
        <w:rPr>
          <w:rFonts w:ascii="Arial" w:cs="Arial" w:eastAsia="Arial" w:hAnsi="Arial"/>
          <w:sz w:val="22"/>
          <w:szCs w:val="22"/>
        </w:rPr>
        <w:t xml:space="preserve"> ρ = 0.50 (fixed, not market-implied)</w:t>
      </w:r>
    </w:p>
    <w:p>
      <w:pPr>
        <w:pStyle w:val="ListParagraph"/>
        <w:numPr>
          <w:ilvl w:val="0"/>
          <w:numId w:val="3"/>
        </w:numPr>
        <w:spacing w:after="40" w:before="40"/>
      </w:pPr>
      <w:r>
        <w:rPr>
          <w:rFonts w:ascii="Arial" w:cs="Arial" w:eastAsia="Arial" w:hAnsi="Arial"/>
          <w:b/>
          <w:bCs/>
          <w:sz w:val="22"/>
          <w:szCs w:val="22"/>
        </w:rPr>
        <w:t xml:space="preserve">Effective maturity discount</w:t>
      </w:r>
      <w:r>
        <w:rPr>
          <w:rFonts w:ascii="Arial" w:cs="Arial" w:eastAsia="Arial" w:hAnsi="Arial"/>
          <w:sz w:val="22"/>
          <w:szCs w:val="22"/>
        </w:rPr>
        <w:t xml:space="preserve"> for time value</w:t>
      </w:r>
    </w:p>
    <w:p>
      <w:pPr>
        <w:spacing w:after="60" w:before="60"/>
      </w:pPr>
      <w:r>
        <w:t xml:space="preserve"/>
      </w:r>
    </w:p>
    <w:p>
      <w:pPr>
        <w:pStyle w:val="Heading3"/>
        <w:spacing w:after="100" w:before="200"/>
      </w:pPr>
      <w:r>
        <w:rPr>
          <w:rFonts w:ascii="Arial" w:cs="Arial" w:eastAsia="Arial" w:hAnsi="Arial"/>
          <w:sz w:val="22"/>
          <w:szCs w:val="22"/>
        </w:rPr>
        <w:t xml:space="preserve">Stand-Alone CVA Capital: SC_c (MAR50.15)</w:t>
      </w:r>
    </w:p>
    <w:p>
      <w:pPr>
        <w:spacing w:after="60" w:before="60"/>
      </w:pPr>
      <w:r>
        <w:t xml:space="preserve"/>
      </w:r>
    </w:p>
    <w:p>
      <w:pPr>
        <w:pBdr>
          <w:left w:val="single" w:color="2E75B6" w:sz="8" w:space="4"/>
        </w:pBdr>
        <w:shd w:fill="EBF3FB" w:val="clear"/>
        <w:spacing w:after="80" w:before="80"/>
        <w:ind w:left="720"/>
      </w:pPr>
      <w:r>
        <w:rPr>
          <w:rFonts w:ascii="Arial" w:cs="Arial" w:eastAsia="Arial" w:hAnsi="Arial"/>
          <w:b/>
          <w:bCs/>
          <w:sz w:val="22"/>
          <w:szCs w:val="22"/>
        </w:rPr>
        <w:t xml:space="preserve">Version 3.8 — Fix 3 (MAR50.15(4)):</w:t>
      </w:r>
      <w:r>
        <w:rPr>
          <w:rFonts w:ascii="Arial" w:cs="Arial" w:eastAsia="Arial" w:hAnsi="Arial"/>
          <w:sz w:val="22"/>
          <w:szCs w:val="22"/>
        </w:rPr>
        <w:t xml:space="preserve"> The supervisory discount factor </w:t>
      </w:r>
      <w:r>
        <w:rPr>
          <w:rFonts w:ascii="Courier New" w:cs="Courier New" w:eastAsia="Courier New" w:hAnsi="Courier New"/>
          <w:color w:val="C7254E"/>
          <w:sz w:val="20"/>
          <w:szCs w:val="20"/>
          <w:shd w:fill="F9F2F4" w:val="clear"/>
        </w:rPr>
        <w:t xml:space="preserve">DFNS</w:t>
      </w:r>
      <w:r>
        <w:rPr>
          <w:rFonts w:ascii="Arial" w:cs="Arial" w:eastAsia="Arial" w:hAnsi="Arial"/>
          <w:sz w:val="22"/>
          <w:szCs w:val="22"/>
        </w:rPr>
        <w:t xml:space="preserve"> now switches</w:t>
      </w:r>
    </w:p>
    <w:p>
      <w:pPr>
        <w:pBdr>
          <w:left w:val="single" w:color="2E75B6" w:sz="8" w:space="4"/>
        </w:pBdr>
        <w:shd w:fill="EBF3FB" w:val="clear"/>
        <w:spacing w:after="80" w:before="80"/>
        <w:ind w:left="720"/>
      </w:pPr>
      <w:r>
        <w:rPr>
          <w:rFonts w:ascii="Arial" w:cs="Arial" w:eastAsia="Arial" w:hAnsi="Arial"/>
          <w:sz w:val="22"/>
          <w:szCs w:val="22"/>
        </w:rPr>
        <w:t xml:space="preserve">based on whether the bank uses IMM to compute EAD for the netting set:</w:t>
      </w:r>
    </w:p>
    <w:p>
      <w:pPr>
        <w:pBdr>
          <w:left w:val="single" w:color="2E75B6" w:sz="8" w:space="4"/>
        </w:pBdr>
        <w:shd w:fill="EBF3FB" w:val="clear"/>
        <w:spacing w:after="80" w:before="80"/>
        <w:ind w:left="720"/>
      </w:pPr>
      <w:r>
        <w:rPr>
          <w:rFonts w:ascii="Arial" w:cs="Arial" w:eastAsia="Arial" w:hAnsi="Arial"/>
          <w:sz w:val="22"/>
          <w:szCs w:val="22"/>
        </w:rPr>
        <w:t xml:space="preserve"/>
      </w:r>
    </w:p>
    <w:p>
      <w:pPr>
        <w:pBdr>
          <w:left w:val="single" w:color="2E75B6" w:sz="8" w:space="4"/>
        </w:pBdr>
        <w:shd w:fill="EBF3FB" w:val="clear"/>
        <w:spacing w:after="80" w:before="80"/>
        <w:ind w:left="720"/>
      </w:pPr>
      <w:r>
        <w:rPr>
          <w:rFonts w:ascii="Arial" w:cs="Arial" w:eastAsia="Arial" w:hAnsi="Arial"/>
          <w:sz w:val="22"/>
          <w:szCs w:val="22"/>
        </w:rPr>
        <w:t xml:space="preserve">| Bank type | </w:t>
      </w:r>
      <w:r>
        <w:rPr>
          <w:rFonts w:ascii="Courier New" w:cs="Courier New" w:eastAsia="Courier New" w:hAnsi="Courier New"/>
          <w:color w:val="C7254E"/>
          <w:sz w:val="20"/>
          <w:szCs w:val="20"/>
          <w:shd w:fill="F9F2F4" w:val="clear"/>
        </w:rPr>
        <w:t xml:space="preserve">DFNS</w:t>
      </w:r>
      <w:r>
        <w:rPr>
          <w:rFonts w:ascii="Arial" w:cs="Arial" w:eastAsia="Arial" w:hAnsi="Arial"/>
          <w:sz w:val="22"/>
          <w:szCs w:val="22"/>
        </w:rPr>
        <w:t xml:space="preserve"> formula | Rationale |</w:t>
      </w:r>
    </w:p>
    <w:p>
      <w:pPr>
        <w:pBdr>
          <w:left w:val="single" w:color="2E75B6" w:sz="8" w:space="4"/>
        </w:pBdr>
        <w:shd w:fill="EBF3FB" w:val="clear"/>
        <w:spacing w:after="80" w:before="80"/>
        <w:ind w:left="720"/>
      </w:pPr>
      <w:r>
        <w:rPr>
          <w:rFonts w:ascii="Arial" w:cs="Arial" w:eastAsia="Arial" w:hAnsi="Arial"/>
          <w:sz w:val="22"/>
          <w:szCs w:val="22"/>
        </w:rPr>
        <w:t xml:space="preserve">|---|---|---|</w:t>
      </w:r>
    </w:p>
    <w:p>
      <w:pPr>
        <w:pBdr>
          <w:left w:val="single" w:color="2E75B6" w:sz="8" w:space="4"/>
        </w:pBdr>
        <w:shd w:fill="EBF3FB" w:val="clear"/>
        <w:spacing w:after="80" w:before="80"/>
        <w:ind w:left="720"/>
      </w:pPr>
      <w:r>
        <w:rPr>
          <w:rFonts w:ascii="Arial" w:cs="Arial" w:eastAsia="Arial" w:hAnsi="Arial"/>
          <w:sz w:val="22"/>
          <w:szCs w:val="22"/>
        </w:rPr>
        <w:t xml:space="preserve">| </w:t>
      </w:r>
      <w:r>
        <w:rPr>
          <w:rFonts w:ascii="Arial" w:cs="Arial" w:eastAsia="Arial" w:hAnsi="Arial"/>
          <w:b/>
          <w:bCs/>
          <w:sz w:val="22"/>
          <w:szCs w:val="22"/>
        </w:rPr>
        <w:t xml:space="preserve">IMM bank</w:t>
      </w:r>
      <w:r>
        <w:rPr>
          <w:rFonts w:ascii="Arial" w:cs="Arial" w:eastAsia="Arial" w:hAnsi="Arial"/>
          <w:sz w:val="22"/>
          <w:szCs w:val="22"/>
        </w:rPr>
        <w:t xml:space="preserve"> (</w:t>
      </w:r>
      <w:r>
        <w:rPr>
          <w:rFonts w:ascii="Courier New" w:cs="Courier New" w:eastAsia="Courier New" w:hAnsi="Courier New"/>
          <w:color w:val="C7254E"/>
          <w:sz w:val="20"/>
          <w:szCs w:val="20"/>
          <w:shd w:fill="F9F2F4" w:val="clear"/>
        </w:rPr>
        <w:t xml:space="preserve">imm_bank=True</w:t>
      </w:r>
      <w:r>
        <w:rPr>
          <w:rFonts w:ascii="Arial" w:cs="Arial" w:eastAsia="Arial" w:hAnsi="Arial"/>
          <w:sz w:val="22"/>
          <w:szCs w:val="22"/>
        </w:rPr>
        <w:t xml:space="preserve">) | </w:t>
      </w:r>
      <w:r>
        <w:rPr>
          <w:rFonts w:ascii="Arial" w:cs="Arial" w:eastAsia="Arial" w:hAnsi="Arial"/>
          <w:b/>
          <w:bCs/>
          <w:sz w:val="22"/>
          <w:szCs w:val="22"/>
        </w:rPr>
        <w:t xml:space="preserve">1.0</w:t>
      </w:r>
      <w:r>
        <w:rPr>
          <w:rFonts w:ascii="Arial" w:cs="Arial" w:eastAsia="Arial" w:hAnsi="Arial"/>
          <w:sz w:val="22"/>
          <w:szCs w:val="22"/>
        </w:rPr>
        <w:t xml:space="preserve"> | IMM effective maturity already incorporates discounting |</w:t>
      </w:r>
    </w:p>
    <w:p>
      <w:pPr>
        <w:pBdr>
          <w:left w:val="single" w:color="2E75B6" w:sz="8" w:space="4"/>
        </w:pBdr>
        <w:shd w:fill="EBF3FB" w:val="clear"/>
        <w:spacing w:after="80" w:before="80"/>
        <w:ind w:left="720"/>
      </w:pPr>
      <w:r>
        <w:rPr>
          <w:rFonts w:ascii="Arial" w:cs="Arial" w:eastAsia="Arial" w:hAnsi="Arial"/>
          <w:sz w:val="22"/>
          <w:szCs w:val="22"/>
        </w:rPr>
        <w:t xml:space="preserve">| Non-IMM bank | </w:t>
      </w:r>
      <w:r>
        <w:rPr>
          <w:rFonts w:ascii="Courier New" w:cs="Courier New" w:eastAsia="Courier New" w:hAnsi="Courier New"/>
          <w:color w:val="C7254E"/>
          <w:sz w:val="20"/>
          <w:szCs w:val="20"/>
          <w:shd w:fill="F9F2F4" w:val="clear"/>
        </w:rPr>
        <w:t xml:space="preserve">(1 − exp(−0.05×M)) / (0.05×M)</w:t>
      </w:r>
      <w:r>
        <w:rPr>
          <w:rFonts w:ascii="Arial" w:cs="Arial" w:eastAsia="Arial" w:hAnsi="Arial"/>
          <w:sz w:val="22"/>
          <w:szCs w:val="22"/>
        </w:rPr>
        <w:t xml:space="preserve"> | Basel-fixed r=5% (MAR50 footnote 3 — </w:t>
      </w:r>
      <w:r>
        <w:rPr>
          <w:rFonts w:ascii="Arial" w:cs="Arial" w:eastAsia="Arial" w:hAnsi="Arial"/>
          <w:b/>
          <w:bCs/>
          <w:sz w:val="22"/>
          <w:szCs w:val="22"/>
        </w:rPr>
        <w:t xml:space="preserve">not</w:t>
      </w:r>
      <w:r>
        <w:rPr>
          <w:rFonts w:ascii="Arial" w:cs="Arial" w:eastAsia="Arial" w:hAnsi="Arial"/>
          <w:sz w:val="22"/>
          <w:szCs w:val="22"/>
        </w:rPr>
        <w:t xml:space="preserve"> live OIS) |</w:t>
      </w:r>
    </w:p>
    <w:p>
      <w:pPr>
        <w:pBdr>
          <w:left w:val="single" w:color="2E75B6" w:sz="8" w:space="4"/>
        </w:pBdr>
        <w:shd w:fill="EBF3FB" w:val="clear"/>
        <w:spacing w:after="80" w:before="80"/>
        <w:ind w:left="720"/>
      </w:pPr>
      <w:r>
        <w:rPr>
          <w:rFonts w:ascii="Arial" w:cs="Arial" w:eastAsia="Arial" w:hAnsi="Arial"/>
          <w:sz w:val="22"/>
          <w:szCs w:val="22"/>
        </w:rPr>
        <w:t xml:space="preserve"/>
      </w:r>
    </w:p>
    <w:p>
      <w:pPr>
        <w:pBdr>
          <w:left w:val="single" w:color="2E75B6" w:sz="8" w:space="4"/>
        </w:pBdr>
        <w:shd w:fill="EBF3FB" w:val="clear"/>
        <w:spacing w:after="80" w:before="80"/>
        <w:ind w:left="720"/>
      </w:pPr>
      <w:r>
        <w:rPr>
          <w:rFonts w:ascii="Courier New" w:cs="Courier New" w:eastAsia="Courier New" w:hAnsi="Courier New"/>
          <w:color w:val="C7254E"/>
          <w:sz w:val="20"/>
          <w:szCs w:val="20"/>
          <w:shd w:fill="F9F2F4" w:val="clear"/>
        </w:rPr>
        <w:t xml:space="preserve">compute_ba_cva(inputs, ..., imm_bank=True)</w:t>
      </w:r>
      <w:r>
        <w:rPr>
          <w:rFonts w:ascii="Arial" w:cs="Arial" w:eastAsia="Arial" w:hAnsi="Arial"/>
          <w:sz w:val="22"/>
          <w:szCs w:val="22"/>
        </w:rPr>
        <w:t xml:space="preserve"> — default is </w:t>
      </w:r>
      <w:r>
        <w:rPr>
          <w:rFonts w:ascii="Courier New" w:cs="Courier New" w:eastAsia="Courier New" w:hAnsi="Courier New"/>
          <w:color w:val="C7254E"/>
          <w:sz w:val="20"/>
          <w:szCs w:val="20"/>
          <w:shd w:fill="F9F2F4" w:val="clear"/>
        </w:rPr>
        <w:t xml:space="preserve">True</w:t>
      </w:r>
      <w:r>
        <w:rPr>
          <w:rFonts w:ascii="Arial" w:cs="Arial" w:eastAsia="Arial" w:hAnsi="Arial"/>
          <w:sz w:val="22"/>
          <w:szCs w:val="22"/>
        </w:rPr>
        <w:t xml:space="preserve"> in PROMETHEUS (IMM bank).</w:t>
      </w:r>
    </w:p>
    <w:p>
      <w:pPr>
        <w:pBdr>
          <w:left w:val="single" w:color="2E75B6" w:sz="8" w:space="4"/>
        </w:pBdr>
        <w:shd w:fill="EBF3FB" w:val="clear"/>
        <w:spacing w:after="80" w:before="80"/>
        <w:ind w:left="720"/>
      </w:pPr>
      <w:r>
        <w:rPr>
          <w:rFonts w:ascii="Arial" w:cs="Arial" w:eastAsia="Arial" w:hAnsi="Arial"/>
          <w:sz w:val="22"/>
          <w:szCs w:val="22"/>
        </w:rPr>
        <w:t xml:space="preserve">Quantitative impact: for a 5-year netting set, the non-IMM DF ≈ 0.779, meaning SCVA was</w:t>
      </w:r>
    </w:p>
    <w:p>
      <w:pPr>
        <w:pBdr>
          <w:left w:val="single" w:color="2E75B6" w:sz="8" w:space="4"/>
        </w:pBdr>
        <w:shd w:fill="EBF3FB" w:val="clear"/>
        <w:spacing w:after="80" w:before="80"/>
        <w:ind w:left="720"/>
      </w:pPr>
      <w:r>
        <w:rPr>
          <w:rFonts w:ascii="Arial" w:cs="Arial" w:eastAsia="Arial" w:hAnsi="Arial"/>
          <w:sz w:val="22"/>
          <w:szCs w:val="22"/>
        </w:rPr>
        <w:t xml:space="preserve">overstated by </w:t>
      </w:r>
      <w:r>
        <w:rPr>
          <w:rFonts w:ascii="Arial" w:cs="Arial" w:eastAsia="Arial" w:hAnsi="Arial"/>
          <w:b/>
          <w:bCs/>
          <w:sz w:val="22"/>
          <w:szCs w:val="22"/>
        </w:rPr>
        <w:t xml:space="preserve">+28%</w:t>
      </w:r>
      <w:r>
        <w:rPr>
          <w:rFonts w:ascii="Arial" w:cs="Arial" w:eastAsia="Arial" w:hAnsi="Arial"/>
          <w:sz w:val="22"/>
          <w:szCs w:val="22"/>
        </w:rPr>
        <w:t xml:space="preserve"> before this fix for all 5-year exposures.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SC_c = RW_c × M_c_eff × EAD_c
where:
  RW_c     = Supervisory spread for counterparty's rating (see table below)
  EAD_c    = EAD from SA-CCR or IMM (with WWR add-on if applicable)
  M_c_eff  = (1 − exp(−r × M_c)) / (r × M_c)   [effective maturity discount]
  r        = OIS/SOFR rate
  M_c      = Effective maturity of the netting set (years)</w:t>
      </w:r>
    </w:p>
    <w:p>
      <w:pPr>
        <w:spacing w:after="60" w:before="60"/>
      </w:pPr>
      <w:r>
        <w:t xml:space="preserve"/>
      </w:r>
    </w:p>
    <w:p>
      <w:pPr>
        <w:spacing w:after="80" w:before="80"/>
      </w:pPr>
      <w:r>
        <w:rPr>
          <w:rFonts w:ascii="Arial" w:cs="Arial" w:eastAsia="Arial" w:hAnsi="Arial"/>
          <w:b/>
          <w:bCs/>
          <w:sz w:val="22"/>
          <w:szCs w:val="22"/>
        </w:rPr>
        <w:t xml:space="preserve">Supervisory spread by rating (MAR50 Table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Style w:val="Heading3"/>
        <w:spacing w:after="100" w:before="200"/>
      </w:pPr>
      <w:r>
        <w:rPr>
          <w:rFonts w:ascii="Arial" w:cs="Arial" w:eastAsia="Arial" w:hAnsi="Arial"/>
          <w:sz w:val="22"/>
          <w:szCs w:val="22"/>
        </w:rPr>
        <w:t xml:space="preserve">Reduced BA-CVA (MAR50.14) — No Hedge Recognition</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K_reduced = sqrt(ρ² × (Σ SC_c)² + (1 − ρ²) × Σ SC_c²)
          where ρ = 0.50 (supervisory)
Capital   = DS × K_reduced × 12.5   [DS = 0.65 per MAR50.14]</w:t>
      </w:r>
    </w:p>
    <w:p>
      <w:pPr>
        <w:spacing w:after="60" w:before="60"/>
      </w:pPr>
      <w:r>
        <w:t xml:space="preserve"/>
      </w:r>
    </w:p>
    <w:p>
      <w:pPr>
        <w:spacing w:after="80" w:before="80"/>
      </w:pPr>
      <w:r>
        <w:rPr>
          <w:rFonts w:ascii="Arial" w:cs="Arial" w:eastAsia="Arial" w:hAnsi="Arial"/>
          <w:b/>
          <w:bCs/>
          <w:sz w:val="22"/>
          <w:szCs w:val="22"/>
        </w:rPr>
        <w:t xml:space="preserve">FIX-01:</w:t>
      </w:r>
      <w:r>
        <w:rPr>
          <w:rFonts w:ascii="Arial" w:cs="Arial" w:eastAsia="Arial" w:hAnsi="Arial"/>
          <w:sz w:val="22"/>
          <w:szCs w:val="22"/>
        </w:rPr>
        <w:t xml:space="preserve"> The original code was missing the </w:t>
      </w:r>
      <w:r>
        <w:rPr>
          <w:rFonts w:ascii="Arial" w:cs="Arial" w:eastAsia="Arial" w:hAnsi="Arial"/>
          <w:b/>
          <w:bCs/>
          <w:sz w:val="22"/>
          <w:szCs w:val="22"/>
        </w:rPr>
        <w:t xml:space="preserve">DS = 0.65 discount scalar</w:t>
      </w:r>
      <w:r>
        <w:rPr>
          <w:rFonts w:ascii="Arial" w:cs="Arial" w:eastAsia="Arial" w:hAnsi="Arial"/>
          <w:sz w:val="22"/>
          <w:szCs w:val="22"/>
        </w:rPr>
        <w:t xml:space="preserve">. This overstated BA-CVA capital by ~54% (1/0.65 = 1.54×). DS was introduced in the 2019 FRTB reforms as a calibration offset.</w:t>
      </w:r>
    </w:p>
    <w:p>
      <w:pPr>
        <w:spacing w:after="60" w:before="60"/>
      </w:pPr>
      <w:r>
        <w:t xml:space="preserve"/>
      </w:r>
    </w:p>
    <w:p>
      <w:pPr>
        <w:pStyle w:val="Heading3"/>
        <w:spacing w:after="100" w:before="200"/>
      </w:pPr>
      <w:r>
        <w:rPr>
          <w:rFonts w:ascii="Arial" w:cs="Arial" w:eastAsia="Arial" w:hAnsi="Arial"/>
          <w:sz w:val="22"/>
          <w:szCs w:val="22"/>
        </w:rPr>
        <w:t xml:space="preserve">Full BA-CVA (MAR50.20–21) — With Hedges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SNH_c  = ρ_hc × RW_h × DF_h × Notional_h    [single-name hedge, MAR50.23]
IH     = 0.7 × Σ RW_index × DF_index × N_index  [index hedge, MAR50.24]
Systematic  = Σ SC_c − Σ SNH_c − IH
Idiosyncratic = Σ (SC_c − SNH_c)²
K_full  = sqrt(ρ² × Systematic² + (1−ρ²) × Idiosyncratic) + Σ sqrt(HMA_c)
HMA_c   = (1 − ρ_hc²) × (RW_h × DF_h × N_h)²   [hedge misalignment, MAR50.25]
Capital = DS × max(K_full, β × K_reduced) × 12.5   [β = 0.25 floor, MAR50.20]</w:t>
      </w:r>
    </w:p>
    <w:p>
      <w:pPr>
        <w:spacing w:after="60" w:before="60"/>
      </w:pPr>
      <w:r>
        <w:t xml:space="preserve"/>
      </w:r>
    </w:p>
    <w:p>
      <w:pPr>
        <w:spacing w:after="80" w:before="80"/>
      </w:pPr>
      <w:r>
        <w:rPr>
          <w:rFonts w:ascii="Arial" w:cs="Arial" w:eastAsia="Arial" w:hAnsi="Arial"/>
          <w:b/>
          <w:bCs/>
          <w:sz w:val="22"/>
          <w:szCs w:val="22"/>
        </w:rPr>
        <w:t xml:space="preserve">FIX-02:</w:t>
      </w:r>
      <w:r>
        <w:rPr>
          <w:rFonts w:ascii="Arial" w:cs="Arial" w:eastAsia="Arial" w:hAnsi="Arial"/>
          <w:sz w:val="22"/>
          <w:szCs w:val="22"/>
        </w:rPr>
        <w:t xml:space="preserve"> The original hedge reduction formula </w:t>
      </w:r>
      <w:r>
        <w:rPr>
          <w:rFonts w:ascii="Courier New" w:cs="Courier New" w:eastAsia="Courier New" w:hAnsi="Courier New"/>
          <w:color w:val="C7254E"/>
          <w:sz w:val="20"/>
          <w:szCs w:val="20"/>
          <w:shd w:fill="F9F2F4" w:val="clear"/>
        </w:rPr>
        <w:t xml:space="preserve">(0.50 × notional × spread)</w:t>
      </w:r>
      <w:r>
        <w:rPr>
          <w:rFonts w:ascii="Arial" w:cs="Arial" w:eastAsia="Arial" w:hAnsi="Arial"/>
          <w:sz w:val="22"/>
          <w:szCs w:val="22"/>
        </w:rPr>
        <w:t xml:space="preserve"> had no MAR50 basis. The correct SNH/IH/HMA structure with supervisory hedge correlations (ρ_hc) is now implemented.</w:t>
      </w:r>
    </w:p>
    <w:p>
      <w:pPr>
        <w:spacing w:after="60" w:before="60"/>
      </w:pPr>
      <w:r>
        <w:t xml:space="preserve"/>
      </w:r>
    </w:p>
    <w:p>
      <w:pPr>
        <w:spacing w:after="80" w:before="80"/>
      </w:pPr>
      <w:r>
        <w:rPr>
          <w:rFonts w:ascii="Arial" w:cs="Arial" w:eastAsia="Arial" w:hAnsi="Arial"/>
          <w:b/>
          <w:bCs/>
          <w:sz w:val="22"/>
          <w:szCs w:val="22"/>
        </w:rPr>
        <w:t xml:space="preserve">Supervisory hedge correlations (MAR50 Table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6. SA-CVA — Standardised Approach (MAR50.40–77)</w:t>
      </w:r>
    </w:p>
    <w:p>
      <w:pPr>
        <w:spacing w:after="60" w:before="60"/>
      </w:pPr>
      <w:r>
        <w:t xml:space="preserve"/>
      </w:r>
    </w:p>
    <w:p>
      <w:pPr>
        <w:spacing w:after="80" w:before="80"/>
      </w:pPr>
      <w:r>
        <w:rPr>
          <w:rFonts w:ascii="Arial" w:cs="Arial" w:eastAsia="Arial" w:hAnsi="Arial"/>
          <w:sz w:val="22"/>
          <w:szCs w:val="22"/>
        </w:rPr>
        <w:t xml:space="preserve">SA-CVA requires supervisory approval and live CDS spread data per counterparty.</w:t>
      </w:r>
    </w:p>
    <w:p>
      <w:pPr>
        <w:spacing w:after="60" w:before="60"/>
      </w:pPr>
      <w:r>
        <w:t xml:space="preserve"/>
      </w:r>
    </w:p>
    <w:p>
      <w:pPr>
        <w:pStyle w:val="Heading3"/>
        <w:spacing w:after="100" w:before="200"/>
      </w:pPr>
      <w:r>
        <w:rPr>
          <w:rFonts w:ascii="Arial" w:cs="Arial" w:eastAsia="Arial" w:hAnsi="Arial"/>
          <w:sz w:val="22"/>
          <w:szCs w:val="22"/>
        </w:rPr>
        <w:t xml:space="preserve">Six Delta Risk Classes (MAR50.43)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Style w:val="Heading3"/>
        <w:spacing w:after="100" w:before="200"/>
      </w:pPr>
      <w:r>
        <w:rPr>
          <w:rFonts w:ascii="Arial" w:cs="Arial" w:eastAsia="Arial" w:hAnsi="Arial"/>
          <w:sz w:val="22"/>
          <w:szCs w:val="22"/>
        </w:rPr>
        <w:t xml:space="preserve">SA-CVA Delta Charge (Counterparty Credit Spread — implemented)</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delta_sens    = EAD_eff × M_eff × LGD
RW_spread     = Risk weight from MAR50.65 Table 7 (by sector bucket + IG/HY)
delta_charge  = RW_spread × delta_sens
Net weighted sensitivity (with hedge, MAR50.52–53):
  ws_hedge    = (1 − R) × ρ_hc × RW_spread × N_hedge × M_eff_hedge × LGD
  ws_net      = max(delta_charge − ws_hedge, 0)
  R = 0.01 (hedging disallowance parameter per MAR50.53)
rwa_delta     = ws_net × 12.5</w:t>
      </w:r>
    </w:p>
    <w:p>
      <w:pPr>
        <w:spacing w:after="60" w:before="60"/>
      </w:pPr>
      <w:r>
        <w:t xml:space="preserve"/>
      </w:r>
    </w:p>
    <w:p>
      <w:pPr>
        <w:spacing w:after="80" w:before="80"/>
      </w:pPr>
      <w:r>
        <w:rPr>
          <w:rFonts w:ascii="Arial" w:cs="Arial" w:eastAsia="Arial" w:hAnsi="Arial"/>
          <w:b/>
          <w:bCs/>
          <w:sz w:val="22"/>
          <w:szCs w:val="22"/>
        </w:rPr>
        <w:t xml:space="preserve">FIX-05:</w:t>
      </w:r>
      <w:r>
        <w:rPr>
          <w:rFonts w:ascii="Arial" w:cs="Arial" w:eastAsia="Arial" w:hAnsi="Arial"/>
          <w:sz w:val="22"/>
          <w:szCs w:val="22"/>
        </w:rPr>
        <w:t xml:space="preserve"> Original code selected RW by </w:t>
      </w:r>
      <w:r>
        <w:rPr>
          <w:rFonts w:ascii="Courier New" w:cs="Courier New" w:eastAsia="Courier New" w:hAnsi="Courier New"/>
          <w:color w:val="C7254E"/>
          <w:sz w:val="20"/>
          <w:szCs w:val="20"/>
          <w:shd w:fill="F9F2F4" w:val="clear"/>
        </w:rPr>
        <w:t xml:space="preserve">pd_1yr &lt; 0.02</w:t>
      </w:r>
      <w:r>
        <w:rPr>
          <w:rFonts w:ascii="Arial" w:cs="Arial" w:eastAsia="Arial" w:hAnsi="Arial"/>
          <w:sz w:val="22"/>
          <w:szCs w:val="22"/>
        </w:rPr>
        <w:t xml:space="preserve"> (IG/HY split by PD threshold) — no MAR50 basis. The correct approach uses the </w:t>
      </w:r>
      <w:r>
        <w:rPr>
          <w:rFonts w:ascii="Arial" w:cs="Arial" w:eastAsia="Arial" w:hAnsi="Arial"/>
          <w:b/>
          <w:bCs/>
          <w:sz w:val="22"/>
          <w:szCs w:val="22"/>
        </w:rPr>
        <w:t xml:space="preserve">8-bucket sector structure</w:t>
      </w:r>
      <w:r>
        <w:rPr>
          <w:rFonts w:ascii="Arial" w:cs="Arial" w:eastAsia="Arial" w:hAnsi="Arial"/>
          <w:sz w:val="22"/>
          <w:szCs w:val="22"/>
        </w:rPr>
        <w:t xml:space="preserve"> (Table 5 → Table 7):</w:t>
      </w:r>
    </w:p>
    <w:p>
      <w:pPr>
        <w:spacing w:after="60" w:before="60"/>
      </w:pPr>
      <w:r>
        <w:t xml:space="preserve"/>
      </w:r>
    </w:p>
    <w:p>
      <w:pPr>
        <w:spacing w:after="80" w:before="80"/>
      </w:pPr>
      <w:r>
        <w:rPr>
          <w:rFonts w:ascii="Arial" w:cs="Arial" w:eastAsia="Arial" w:hAnsi="Arial"/>
          <w:b/>
          <w:bCs/>
          <w:sz w:val="22"/>
          <w:szCs w:val="22"/>
        </w:rPr>
        <w:t xml:space="preserve">SA-CVA Risk Weights (MAR50.65 Table 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Style w:val="Heading3"/>
        <w:spacing w:after="100" w:before="200"/>
      </w:pPr>
      <w:r>
        <w:rPr>
          <w:rFonts w:ascii="Arial" w:cs="Arial" w:eastAsia="Arial" w:hAnsi="Arial"/>
          <w:sz w:val="22"/>
          <w:szCs w:val="22"/>
        </w:rPr>
        <w:t xml:space="preserve">Five Vega Risk Classes (MAR50.45, MAR50.48)</w:t>
      </w:r>
    </w:p>
    <w:p>
      <w:pPr>
        <w:spacing w:after="60" w:before="60"/>
      </w:pPr>
      <w:r>
        <w:t xml:space="preserve"/>
      </w:r>
    </w:p>
    <w:p>
      <w:pPr>
        <w:spacing w:after="80" w:before="80"/>
      </w:pPr>
      <w:r>
        <w:rPr>
          <w:rFonts w:ascii="Arial" w:cs="Arial" w:eastAsia="Arial" w:hAnsi="Arial"/>
          <w:b/>
          <w:bCs/>
          <w:sz w:val="22"/>
          <w:szCs w:val="22"/>
        </w:rPr>
        <w:t xml:space="preserve">FIX-06:</w:t>
      </w:r>
      <w:r>
        <w:rPr>
          <w:rFonts w:ascii="Arial" w:cs="Arial" w:eastAsia="Arial" w:hAnsi="Arial"/>
          <w:sz w:val="22"/>
          <w:szCs w:val="22"/>
        </w:rPr>
        <w:t xml:space="preserve"> MAR50.48 states vega must </w:t>
      </w:r>
      <w:r>
        <w:rPr>
          <w:rFonts w:ascii="Arial" w:cs="Arial" w:eastAsia="Arial" w:hAnsi="Arial"/>
          <w:b/>
          <w:bCs/>
          <w:sz w:val="22"/>
          <w:szCs w:val="22"/>
        </w:rPr>
        <w:t xml:space="preserve">always</w:t>
      </w:r>
      <w:r>
        <w:rPr>
          <w:rFonts w:ascii="Arial" w:cs="Arial" w:eastAsia="Arial" w:hAnsi="Arial"/>
          <w:sz w:val="22"/>
          <w:szCs w:val="22"/>
        </w:rPr>
        <w:t xml:space="preserve"> be computed — it is not optional even for non-option portfolios. Vega arises from the volatility parameters (σ) in the exposure simulation model (Hull-White σ_r for IRS, Black-Scholes σ_eq for equity derivatives).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sz w:val="22"/>
          <w:szCs w:val="22"/>
        </w:rPr>
        <w:t xml:space="preserve">Note: </w:t>
      </w:r>
      <w:r>
        <w:rPr>
          <w:rFonts w:ascii="Arial" w:cs="Arial" w:eastAsia="Arial" w:hAnsi="Arial"/>
          <w:b/>
          <w:bCs/>
          <w:sz w:val="22"/>
          <w:szCs w:val="22"/>
        </w:rPr>
        <w:t xml:space="preserve">No counterparty credit spread vega</w:t>
      </w:r>
      <w:r>
        <w:rPr>
          <w:rFonts w:ascii="Arial" w:cs="Arial" w:eastAsia="Arial" w:hAnsi="Arial"/>
          <w:sz w:val="22"/>
          <w:szCs w:val="22"/>
        </w:rPr>
        <w:t xml:space="preserve"> per MAR50.45 (CCSR is not a vega risk class).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7. CVA Engine — Method Routing and Fallback Logic</w:t>
      </w:r>
    </w:p>
    <w:p>
      <w:pPr>
        <w:spacing w:after="60" w:before="60"/>
      </w:pPr>
      <w:r>
        <w:t xml:space="preserve"/>
      </w:r>
    </w:p>
    <w:p>
      <w:pPr>
        <w:pStyle w:val="Heading3"/>
        <w:spacing w:after="100" w:before="200"/>
      </w:pPr>
      <w:r>
        <w:rPr>
          <w:rFonts w:ascii="Arial" w:cs="Arial" w:eastAsia="Arial" w:hAnsi="Arial"/>
          <w:sz w:val="22"/>
          <w:szCs w:val="22"/>
        </w:rPr>
        <w:t xml:space="preserve">Routing Decision Tree</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compute_portfolio_cva(inputs, total_ccr_rwa, total_notional_eur=...)
Step 1: Materiality check (MAR50.9)
        if total_notional_eur ≤ 100bn EUR:
            return CCR_PROXY (cva_rwa = total_ccr_rwa)
Step 2: Enrich missing spreads (_enrich_missing_spreads)
        for each counterparty without credit_spread_bps:
            Tier 1: sector/credit_quality/region peer lookup
            Tier 2: live IG/HY market index spread
Step 3: Eligibility check per counterparty
        SA-CVA eligible if:
            sa_cva_approved = True
            credit_spread_bps is not None
            spread_source = 'LIVE'  (proxy spreads → BA-CVA)
Step 4: Route to SA-CVA or BA-CVA
Step 5: Record fallback trace codes for all BA-CVA counterparties</w:t>
      </w:r>
    </w:p>
    <w:p>
      <w:pPr>
        <w:spacing w:after="60" w:before="60"/>
      </w:pPr>
      <w:r>
        <w:t xml:space="preserve"/>
      </w:r>
    </w:p>
    <w:p>
      <w:pPr>
        <w:pStyle w:val="Heading3"/>
        <w:spacing w:after="100" w:before="200"/>
      </w:pPr>
      <w:r>
        <w:rPr>
          <w:rFonts w:ascii="Arial" w:cs="Arial" w:eastAsia="Arial" w:hAnsi="Arial"/>
          <w:sz w:val="22"/>
          <w:szCs w:val="22"/>
        </w:rPr>
        <w:t xml:space="preserve">Fallback Trace Codes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8. Proxy Spread Cascade (MAR50.32(3))</w:t>
      </w:r>
    </w:p>
    <w:p>
      <w:pPr>
        <w:spacing w:after="60" w:before="60"/>
      </w:pPr>
      <w:r>
        <w:t xml:space="preserve"/>
      </w:r>
    </w:p>
    <w:p>
      <w:pPr>
        <w:spacing w:after="80" w:before="80"/>
      </w:pPr>
      <w:r>
        <w:rPr>
          <w:rFonts w:ascii="Arial" w:cs="Arial" w:eastAsia="Arial" w:hAnsi="Arial"/>
          <w:sz w:val="22"/>
          <w:szCs w:val="22"/>
        </w:rPr>
        <w:t xml:space="preserve">For illiquid counterparties without traded CDS, banks must estimate credit spreads: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Tier 1: Sector / credit_quality / region peer lookup
        → estimate_proxy_spread(sector, credit_quality, region)
        → Must be calibrated to liquid CDS peers monthly
Tier 2: Live market index spread
        → IG counterparty → CDX IG (FRED BAMLC0A0CM)
        → HY/NR counterparty → CDX HY (FRED BAMLH0A0HYM2)</w:t>
      </w:r>
    </w:p>
    <w:p>
      <w:pPr>
        <w:spacing w:after="60" w:before="60"/>
      </w:pPr>
      <w:r>
        <w:t xml:space="preserve"/>
      </w:r>
    </w:p>
    <w:p>
      <w:pPr>
        <w:spacing w:after="80" w:before="80"/>
      </w:pPr>
      <w:r>
        <w:rPr>
          <w:rFonts w:ascii="Arial" w:cs="Arial" w:eastAsia="Arial" w:hAnsi="Arial"/>
          <w:b/>
          <w:bCs/>
          <w:sz w:val="22"/>
          <w:szCs w:val="22"/>
        </w:rPr>
        <w:t xml:space="preserve">MAR50.40 compliance:</w:t>
      </w:r>
      <w:r>
        <w:rPr>
          <w:rFonts w:ascii="Arial" w:cs="Arial" w:eastAsia="Arial" w:hAnsi="Arial"/>
          <w:sz w:val="22"/>
          <w:szCs w:val="22"/>
        </w:rPr>
        <w:t xml:space="preserve"> Proxy spreads (spread_source ≠ 'LIVE') are </w:t>
      </w:r>
      <w:r>
        <w:rPr>
          <w:rFonts w:ascii="Arial" w:cs="Arial" w:eastAsia="Arial" w:hAnsi="Arial"/>
          <w:b/>
          <w:bCs/>
          <w:sz w:val="22"/>
          <w:szCs w:val="22"/>
        </w:rPr>
        <w:t xml:space="preserve">not eligible</w:t>
      </w:r>
      <w:r>
        <w:rPr>
          <w:rFonts w:ascii="Arial" w:cs="Arial" w:eastAsia="Arial" w:hAnsi="Arial"/>
          <w:sz w:val="22"/>
          <w:szCs w:val="22"/>
        </w:rPr>
        <w:t xml:space="preserve"> for SA-CVA. They route to BA-CVA. SA-CVA requires observable market credit spreads.</w:t>
      </w:r>
    </w:p>
    <w:p>
      <w:pPr>
        <w:spacing w:after="60" w:before="60"/>
      </w:pPr>
      <w:r>
        <w:t xml:space="preserve"/>
      </w:r>
    </w:p>
    <w:p>
      <w:pPr>
        <w:spacing w:after="80" w:before="80"/>
      </w:pPr>
      <w:r>
        <w:rPr>
          <w:rFonts w:ascii="Arial" w:cs="Arial" w:eastAsia="Arial" w:hAnsi="Arial"/>
          <w:b/>
          <w:bCs/>
          <w:sz w:val="22"/>
          <w:szCs w:val="22"/>
        </w:rPr>
        <w:t xml:space="preserve">Audit trail:</w:t>
      </w:r>
      <w:r>
        <w:rPr>
          <w:rFonts w:ascii="Arial" w:cs="Arial" w:eastAsia="Arial" w:hAnsi="Arial"/>
          <w:sz w:val="22"/>
          <w:szCs w:val="22"/>
        </w:rPr>
        <w:t xml:space="preserve"> Every CVAResult carries </w:t>
      </w:r>
      <w:r>
        <w:rPr>
          <w:rFonts w:ascii="Courier New" w:cs="Courier New" w:eastAsia="Courier New" w:hAnsi="Courier New"/>
          <w:color w:val="C7254E"/>
          <w:sz w:val="20"/>
          <w:szCs w:val="20"/>
          <w:shd w:fill="F9F2F4" w:val="clear"/>
        </w:rPr>
        <w:t xml:space="preserve">spread_source</w:t>
      </w:r>
      <w:r>
        <w:rPr>
          <w:rFonts w:ascii="Arial" w:cs="Arial" w:eastAsia="Arial" w:hAnsi="Arial"/>
          <w:sz w:val="22"/>
          <w:szCs w:val="22"/>
        </w:rPr>
        <w:t xml:space="preserve"> field:</w:t>
      </w:r>
    </w:p>
    <w:p>
      <w:pPr>
        <w:pStyle w:val="ListParagraph"/>
        <w:numPr>
          <w:ilvl w:val="0"/>
          <w:numId w:val="3"/>
        </w:numPr>
        <w:spacing w:after="40" w:before="40"/>
      </w:pPr>
      <w:r>
        <w:rPr>
          <w:rFonts w:ascii="Courier New" w:cs="Courier New" w:eastAsia="Courier New" w:hAnsi="Courier New"/>
          <w:color w:val="C7254E"/>
          <w:sz w:val="20"/>
          <w:szCs w:val="20"/>
          <w:shd w:fill="F9F2F4" w:val="clear"/>
        </w:rPr>
        <w:t xml:space="preserve">LIVE</w:t>
      </w:r>
      <w:r>
        <w:rPr>
          <w:rFonts w:ascii="Arial" w:cs="Arial" w:eastAsia="Arial" w:hAnsi="Arial"/>
          <w:sz w:val="22"/>
          <w:szCs w:val="22"/>
        </w:rPr>
        <w:t xml:space="preserve"> — direct CDS market data</w:t>
      </w:r>
    </w:p>
    <w:p>
      <w:pPr>
        <w:pStyle w:val="ListParagraph"/>
        <w:numPr>
          <w:ilvl w:val="0"/>
          <w:numId w:val="3"/>
        </w:numPr>
        <w:spacing w:after="40" w:before="40"/>
      </w:pPr>
      <w:r>
        <w:rPr>
          <w:rFonts w:ascii="Courier New" w:cs="Courier New" w:eastAsia="Courier New" w:hAnsi="Courier New"/>
          <w:color w:val="C7254E"/>
          <w:sz w:val="20"/>
          <w:szCs w:val="20"/>
          <w:shd w:fill="F9F2F4" w:val="clear"/>
        </w:rPr>
        <w:t xml:space="preserve">PROXY_SECTOR</w:t>
      </w:r>
      <w:r>
        <w:rPr>
          <w:rFonts w:ascii="Arial" w:cs="Arial" w:eastAsia="Arial" w:hAnsi="Arial"/>
          <w:sz w:val="22"/>
          <w:szCs w:val="22"/>
        </w:rPr>
        <w:t xml:space="preserve"> — from peer lookup table</w:t>
      </w:r>
    </w:p>
    <w:p>
      <w:pPr>
        <w:pStyle w:val="ListParagraph"/>
        <w:numPr>
          <w:ilvl w:val="0"/>
          <w:numId w:val="3"/>
        </w:numPr>
        <w:spacing w:after="40" w:before="40"/>
      </w:pPr>
      <w:r>
        <w:rPr>
          <w:rFonts w:ascii="Courier New" w:cs="Courier New" w:eastAsia="Courier New" w:hAnsi="Courier New"/>
          <w:color w:val="C7254E"/>
          <w:sz w:val="20"/>
          <w:szCs w:val="20"/>
          <w:shd w:fill="F9F2F4" w:val="clear"/>
        </w:rPr>
        <w:t xml:space="preserve">PROXY_INDEX_IG</w:t>
      </w:r>
      <w:r>
        <w:rPr>
          <w:rFonts w:ascii="Arial" w:cs="Arial" w:eastAsia="Arial" w:hAnsi="Arial"/>
          <w:sz w:val="22"/>
          <w:szCs w:val="22"/>
        </w:rPr>
        <w:t xml:space="preserve"> — from CDX IG index</w:t>
      </w:r>
    </w:p>
    <w:p>
      <w:pPr>
        <w:pStyle w:val="ListParagraph"/>
        <w:numPr>
          <w:ilvl w:val="0"/>
          <w:numId w:val="3"/>
        </w:numPr>
        <w:spacing w:after="40" w:before="40"/>
      </w:pPr>
      <w:r>
        <w:rPr>
          <w:rFonts w:ascii="Courier New" w:cs="Courier New" w:eastAsia="Courier New" w:hAnsi="Courier New"/>
          <w:color w:val="C7254E"/>
          <w:sz w:val="20"/>
          <w:szCs w:val="20"/>
          <w:shd w:fill="F9F2F4" w:val="clear"/>
        </w:rPr>
        <w:t xml:space="preserve">PROXY_INDEX_HY</w:t>
      </w:r>
      <w:r>
        <w:rPr>
          <w:rFonts w:ascii="Arial" w:cs="Arial" w:eastAsia="Arial" w:hAnsi="Arial"/>
          <w:sz w:val="22"/>
          <w:szCs w:val="22"/>
        </w:rPr>
        <w:t xml:space="preserve"> — from CDX HY index</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9. Wrong-Way Risk (MAR50.32)</w:t>
      </w:r>
    </w:p>
    <w:p>
      <w:pPr>
        <w:spacing w:after="60" w:before="60"/>
      </w:pPr>
      <w:r>
        <w:t xml:space="preserve"/>
      </w:r>
    </w:p>
    <w:p>
      <w:pPr>
        <w:spacing w:after="80" w:before="80"/>
      </w:pPr>
      <w:r>
        <w:rPr>
          <w:rFonts w:ascii="Arial" w:cs="Arial" w:eastAsia="Arial" w:hAnsi="Arial"/>
          <w:sz w:val="22"/>
          <w:szCs w:val="22"/>
        </w:rPr>
        <w:t xml:space="preserve">Wrong-Way Risk (WWR) occurs when the counterparty is most likely to default </w:t>
      </w:r>
      <w:r>
        <w:rPr>
          <w:rFonts w:ascii="Arial" w:cs="Arial" w:eastAsia="Arial" w:hAnsi="Arial"/>
          <w:b/>
          <w:bCs/>
          <w:sz w:val="22"/>
          <w:szCs w:val="22"/>
        </w:rPr>
        <w:t xml:space="preserve">exactly when the exposure is largest</w:t>
      </w:r>
      <w:r>
        <w:rPr>
          <w:rFonts w:ascii="Arial" w:cs="Arial" w:eastAsia="Arial" w:hAnsi="Arial"/>
          <w:sz w:val="22"/>
          <w:szCs w:val="22"/>
        </w:rPr>
        <w:t xml:space="preserve"> — a positive correlation between PD and EE.</w:t>
      </w:r>
    </w:p>
    <w:p>
      <w:pPr>
        <w:spacing w:after="60" w:before="60"/>
      </w:pPr>
      <w:r>
        <w:t xml:space="preserve"/>
      </w:r>
    </w:p>
    <w:p>
      <w:pPr>
        <w:spacing w:after="80" w:before="80"/>
      </w:pPr>
      <w:r>
        <w:rPr>
          <w:rFonts w:ascii="Arial" w:cs="Arial" w:eastAsia="Arial" w:hAnsi="Arial"/>
          <w:b/>
          <w:bCs/>
          <w:sz w:val="22"/>
          <w:szCs w:val="22"/>
        </w:rPr>
        <w:t xml:space="preserve">Classic example:</w:t>
      </w:r>
      <w:r>
        <w:rPr>
          <w:rFonts w:ascii="Arial" w:cs="Arial" w:eastAsia="Arial" w:hAnsi="Arial"/>
          <w:sz w:val="22"/>
          <w:szCs w:val="22"/>
        </w:rPr>
        <w:t xml:space="preserve"> Bank buys CDS protection from a bank counterparty. If credit spreads widen (indicating stress), the CDS gains value (EE increases) AND the counterparty's PD increases. The bank is exposed to losing its hedge precisely when it needs it most.</w:t>
      </w:r>
    </w:p>
    <w:p>
      <w:pPr>
        <w:spacing w:after="60" w:before="60"/>
      </w:pPr>
      <w:r>
        <w:t xml:space="preserve"/>
      </w:r>
    </w:p>
    <w:p>
      <w:pPr>
        <w:pStyle w:val="Heading3"/>
        <w:spacing w:after="100" w:before="200"/>
      </w:pPr>
      <w:r>
        <w:rPr>
          <w:rFonts w:ascii="Arial" w:cs="Arial" w:eastAsia="Arial" w:hAnsi="Arial"/>
          <w:sz w:val="22"/>
          <w:szCs w:val="22"/>
        </w:rPr>
        <w:t xml:space="preserve">WWR in PROMETHEUS</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 CVAInput fields
is_wrong_way: bool  = False    # Flags WWR counterparty
wwr_add_on:   float = 0.0      # Conservative EAD uplift (% of EAD)
# Applied in both BA-CVA and SA-CVA
ead_eff = ead * (1.0 + wwr_add_on) if is_wrong_way else ead</w:t>
      </w:r>
    </w:p>
    <w:p>
      <w:pPr>
        <w:spacing w:after="60" w:before="60"/>
      </w:pPr>
      <w:r>
        <w:t xml:space="preserve"/>
      </w:r>
    </w:p>
    <w:p>
      <w:pPr>
        <w:spacing w:after="80" w:before="80"/>
      </w:pPr>
      <w:r>
        <w:rPr>
          <w:rFonts w:ascii="Arial" w:cs="Arial" w:eastAsia="Arial" w:hAnsi="Arial"/>
          <w:sz w:val="22"/>
          <w:szCs w:val="22"/>
        </w:rPr>
        <w:t xml:space="preserve">Basel allows discretion in WWR modelling (MAR50.32). The Prometheus implementation uses a conservative flat add-on. Production should implement correlation-based modelling between exposure paths and default intensity.</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10. Live Market Data Integration</w:t>
      </w:r>
    </w:p>
    <w:p>
      <w:pPr>
        <w:spacing w:after="60" w:before="60"/>
      </w:pPr>
      <w:r>
        <w:t xml:space="preserve"/>
      </w:r>
    </w:p>
    <w:p>
      <w:pPr>
        <w:pStyle w:val="Heading3"/>
        <w:spacing w:after="100" w:before="200"/>
      </w:pPr>
      <w:r>
        <w:rPr>
          <w:rFonts w:ascii="Arial" w:cs="Arial" w:eastAsia="Arial" w:hAnsi="Arial"/>
          <w:sz w:val="22"/>
          <w:szCs w:val="22"/>
        </w:rPr>
        <w:t xml:space="preserve">CVAMarketDataFeed</w:t>
      </w:r>
    </w:p>
    <w:p>
      <w:pPr>
        <w:spacing w:after="60" w:before="60"/>
      </w:pPr>
      <w:r>
        <w:t xml:space="preserve"/>
      </w:r>
    </w:p>
    <w:p>
      <w:pPr>
        <w:spacing w:after="80" w:before="80"/>
      </w:pPr>
      <w:r>
        <w:rPr>
          <w:rFonts w:ascii="Arial" w:cs="Arial" w:eastAsia="Arial" w:hAnsi="Arial"/>
          <w:sz w:val="22"/>
          <w:szCs w:val="22"/>
        </w:rPr>
        <w:t xml:space="preserve">Fetches live market data from FRED (no API key required):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r>
              <w:rPr>
                <w:b w:val="false"/>
                <w:bCs w:val="false"/>
                <w:color w:val="000000"/>
              </w:rPr>
            </w:r>
          </w:p>
        </w:tc>
      </w:tr>
    </w:tbl>
    <w:p>
      <w:pPr>
        <w:spacing w:after="80" w:before="80"/>
      </w:pPr>
      <w:r>
        <w:t xml:space="preserve"/>
      </w:r>
    </w:p>
    <w:p>
      <w:pPr>
        <w:spacing w:after="60" w:before="60"/>
      </w:pPr>
      <w:r>
        <w:t xml:space="preserve"/>
      </w:r>
    </w:p>
    <w:p>
      <w:pPr>
        <w:pStyle w:val="Heading3"/>
        <w:spacing w:after="100" w:before="200"/>
      </w:pPr>
      <w:r>
        <w:rPr>
          <w:rFonts w:ascii="Arial" w:cs="Arial" w:eastAsia="Arial" w:hAnsi="Arial"/>
          <w:sz w:val="22"/>
          <w:szCs w:val="22"/>
        </w:rPr>
        <w:t xml:space="preserve">Supervisory vs Stress ρ</w:t>
      </w:r>
    </w:p>
    <w:p>
      <w:pPr>
        <w:spacing w:after="60" w:before="60"/>
      </w:pPr>
      <w:r>
        <w:t xml:space="preserve"/>
      </w:r>
    </w:p>
    <w:p>
      <w:pPr>
        <w:spacing w:after="80" w:before="80"/>
      </w:pPr>
      <w:r>
        <w:rPr>
          <w:rFonts w:ascii="Arial" w:cs="Arial" w:eastAsia="Arial" w:hAnsi="Arial"/>
          <w:b/>
          <w:bCs/>
          <w:sz w:val="22"/>
          <w:szCs w:val="22"/>
        </w:rPr>
        <w:t xml:space="preserve">FIX-03:</w:t>
      </w:r>
      <w:r>
        <w:rPr>
          <w:rFonts w:ascii="Arial" w:cs="Arial" w:eastAsia="Arial" w:hAnsi="Arial"/>
          <w:sz w:val="22"/>
          <w:szCs w:val="22"/>
        </w:rPr>
        <w:t xml:space="preserve"> The original code scaled ρ from 0.50 to 0.80 based on VIX. Basel MAR50.14(2) is explicit: </w:t>
      </w:r>
      <w:r>
        <w:rPr>
          <w:rFonts w:ascii="Arial" w:cs="Arial" w:eastAsia="Arial" w:hAnsi="Arial"/>
          <w:b/>
          <w:bCs/>
          <w:sz w:val="22"/>
          <w:szCs w:val="22"/>
        </w:rPr>
        <w:t xml:space="preserve">ρ = 0.50 is a fixed supervisory parameter</w:t>
      </w:r>
      <w:r>
        <w:rPr>
          <w:rFonts w:ascii="Arial" w:cs="Arial" w:eastAsia="Arial" w:hAnsi="Arial"/>
          <w:sz w:val="22"/>
          <w:szCs w:val="22"/>
        </w:rPr>
        <w:t xml:space="preserve">. It cannot be dynamically adjusted.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11. Key Regulatory Fixes Applied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r>
              <w:rPr>
                <w:b/>
                <w:bCs/>
                <w:color w:val="000000"/>
              </w:rPr>
            </w:r>
            <w:r>
              <w:rPr>
                <w:b/>
                <w:bCs/>
                <w:color w:val="000000"/>
              </w:rPr>
            </w:r>
            <w:r>
              <w:rPr>
                <w:b/>
                <w:bCs/>
                <w:color w:val="000000"/>
              </w:rPr>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12. Data Structures Reference</w:t>
      </w:r>
    </w:p>
    <w:p>
      <w:pPr>
        <w:spacing w:after="60" w:before="60"/>
      </w:pPr>
      <w:r>
        <w:t xml:space="preserve"/>
      </w:r>
    </w:p>
    <w:p>
      <w:pPr>
        <w:pStyle w:val="Heading3"/>
        <w:spacing w:after="100" w:before="200"/>
      </w:pPr>
      <w:r>
        <w:rPr>
          <w:rFonts w:ascii="Arial" w:cs="Arial" w:eastAsia="Arial" w:hAnsi="Arial"/>
          <w:sz w:val="22"/>
          <w:szCs w:val="22"/>
        </w:rPr>
        <w:t xml:space="preserve">CVAInput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r>
              <w:rPr>
                <w:b w:val="false"/>
                <w:bCs w:val="false"/>
                <w:color w:val="000000"/>
              </w:rPr>
            </w: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Style w:val="Heading3"/>
        <w:spacing w:after="100" w:before="200"/>
      </w:pPr>
      <w:r>
        <w:rPr>
          <w:rFonts w:ascii="Arial" w:cs="Arial" w:eastAsia="Arial" w:hAnsi="Arial"/>
          <w:sz w:val="22"/>
          <w:szCs w:val="22"/>
        </w:rPr>
        <w:t xml:space="preserve">CVAResult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13. Glossary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46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4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46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A — Numeric Walk-Through: BA-CVA Reduced (No Hedges)</w:t>
      </w:r>
    </w:p>
    <w:p>
      <w:pPr>
        <w:spacing w:after="60" w:before="60"/>
      </w:pPr>
      <w:r>
        <w:t xml:space="preserve"/>
      </w:r>
    </w:p>
    <w:p>
      <w:pPr>
        <w:pStyle w:val="Heading3"/>
        <w:spacing w:after="100" w:before="200"/>
      </w:pPr>
      <w:r>
        <w:rPr>
          <w:rFonts w:ascii="Arial" w:cs="Arial" w:eastAsia="Arial" w:hAnsi="Arial"/>
          <w:sz w:val="22"/>
          <w:szCs w:val="22"/>
        </w:rPr>
        <w:t xml:space="preserve">Portfolio Setup</w:t>
      </w:r>
    </w:p>
    <w:p>
      <w:pPr>
        <w:spacing w:after="60" w:before="60"/>
      </w:pPr>
      <w:r>
        <w:t xml:space="preserve"/>
      </w:r>
    </w:p>
    <w:p>
      <w:pPr>
        <w:spacing w:after="80" w:before="80"/>
      </w:pPr>
      <w:r>
        <w:rPr>
          <w:rFonts w:ascii="Arial" w:cs="Arial" w:eastAsia="Arial" w:hAnsi="Arial"/>
          <w:sz w:val="22"/>
          <w:szCs w:val="22"/>
        </w:rPr>
        <w:t xml:space="preserve">A bank has three OTC derivative counterparties (all above EUR 100bn threshold):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1872"/>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Market Conditions:</w:t>
      </w:r>
      <w:r>
        <w:rPr>
          <w:rFonts w:ascii="Arial" w:cs="Arial" w:eastAsia="Arial" w:hAnsi="Arial"/>
          <w:sz w:val="22"/>
          <w:szCs w:val="22"/>
        </w:rPr>
        <w:t xml:space="preserve"> SOFR = 4.3%, ρ = 0.50 (supervisory), DS = 0.65</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1: Supervisory Spreads from Rating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2: Effective Maturity Discount M_eff</w:t>
      </w:r>
    </w:p>
    <w:p>
      <w:pPr>
        <w:spacing w:after="60" w:before="60"/>
      </w:pPr>
      <w:r>
        <w:t xml:space="preserve"/>
      </w:r>
    </w:p>
    <w:p>
      <w:pPr>
        <w:spacing w:after="80" w:before="80"/>
      </w:pPr>
      <w:r>
        <w:rPr>
          <w:rFonts w:ascii="Arial" w:cs="Arial" w:eastAsia="Arial" w:hAnsi="Arial"/>
          <w:sz w:val="22"/>
          <w:szCs w:val="22"/>
        </w:rPr>
        <w:t xml:space="preserve">Formula: </w:t>
      </w:r>
      <w:r>
        <w:rPr>
          <w:rFonts w:ascii="Courier New" w:cs="Courier New" w:eastAsia="Courier New" w:hAnsi="Courier New"/>
          <w:color w:val="C7254E"/>
          <w:sz w:val="20"/>
          <w:szCs w:val="20"/>
          <w:shd w:fill="F9F2F4" w:val="clear"/>
        </w:rPr>
        <w:t xml:space="preserve">M_eff = (1 − exp(−r × M)) / (r × M)</w:t>
      </w:r>
      <w:r>
        <w:rPr>
          <w:rFonts w:ascii="Arial" w:cs="Arial" w:eastAsia="Arial" w:hAnsi="Arial"/>
          <w:sz w:val="22"/>
          <w:szCs w:val="22"/>
        </w:rPr>
        <w:t xml:space="preserve"> where r = 4.3% = 0.043</w:t>
      </w:r>
    </w:p>
    <w:p>
      <w:pPr>
        <w:spacing w:after="60" w:before="60"/>
      </w:pPr>
      <w:r>
        <w:t xml:space="preserve"/>
      </w:r>
    </w:p>
    <w:p>
      <w:pPr>
        <w:spacing w:after="80" w:before="80"/>
      </w:pPr>
      <w:r>
        <w:rPr>
          <w:rFonts w:ascii="Arial" w:cs="Arial" w:eastAsia="Arial" w:hAnsi="Arial"/>
          <w:b/>
          <w:bCs/>
          <w:sz w:val="22"/>
          <w:szCs w:val="22"/>
        </w:rPr>
        <w:t xml:space="preserve">Bank A (M = 3.0 years):</w:t>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M_eff_A = (1 − exp(−0.043 × 3.0)) / (0.043 × 3.0)
        = (1 − exp(−0.129)) / 0.129
        = (1 − 0.8790) / 0.129
        = 0.1210 / 0.129
        = 0.9380</w:t>
      </w:r>
    </w:p>
    <w:p>
      <w:pPr>
        <w:spacing w:after="60" w:before="60"/>
      </w:pPr>
      <w:r>
        <w:t xml:space="preserve"/>
      </w:r>
    </w:p>
    <w:p>
      <w:pPr>
        <w:spacing w:after="80" w:before="80"/>
      </w:pPr>
      <w:r>
        <w:rPr>
          <w:rFonts w:ascii="Arial" w:cs="Arial" w:eastAsia="Arial" w:hAnsi="Arial"/>
          <w:b/>
          <w:bCs/>
          <w:sz w:val="22"/>
          <w:szCs w:val="22"/>
        </w:rPr>
        <w:t xml:space="preserve">Corp B (M = 5.0 years):</w:t>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M_eff_B = (1 − exp(−0.043 × 5.0)) / (0.043 × 5.0)
        = (1 − exp(−0.215)) / 0.215
        = (1 − 0.8066) / 0.215
        = 0.1934 / 0.215
        = 0.8995</w:t>
      </w:r>
    </w:p>
    <w:p>
      <w:pPr>
        <w:spacing w:after="60" w:before="60"/>
      </w:pPr>
      <w:r>
        <w:t xml:space="preserve"/>
      </w:r>
    </w:p>
    <w:p>
      <w:pPr>
        <w:spacing w:after="80" w:before="80"/>
      </w:pPr>
      <w:r>
        <w:rPr>
          <w:rFonts w:ascii="Arial" w:cs="Arial" w:eastAsia="Arial" w:hAnsi="Arial"/>
          <w:b/>
          <w:bCs/>
          <w:sz w:val="22"/>
          <w:szCs w:val="22"/>
        </w:rPr>
        <w:t xml:space="preserve">Corp C (M = 2.0 years):</w:t>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M_eff_C = (1 − exp(−0.043 × 2.0)) / (0.043 × 2.0)
        = (1 − exp(−0.086)) / 0.086
        = (1 − 0.9176) / 0.086
        = 0.0824 / 0.086
        = 0.9581</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3: Stand-Alone CVA Capital SC_c</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SC_A = RW_A × M_eff_A × EAD_A
     = 0.0042 × 0.9380 × 50,000,000
     = $197,000 (approx.)
SC_B = 0.0054 × 0.8995 × 30,000,000
     = $145,700 (approx.)
SC_C = 0.0106 × 0.9581 × 20,000,000
     = $203,100 (approx.)</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4: K_reduced Aggregation</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Σ SC_c   = 197,000 + 145,700 + 203,100 = $545,800
Σ SC_c²  = 197,000² + 145,700² + 203,100²
         = 38,809,000,000 + 21,228,490,000 + 41,249,610,000
         = 101,287,100,000
K_reduced = sqrt(ρ² × (Σ SC)² + (1−ρ²) × Σ SC²)
          = sqrt(0.50² × 545,800² + (1−0.25) × 101,287,100,000)
          = sqrt(0.25 × 297,898,240,000 + 0.75 × 101,287,100,000)
          = sqrt(74,474,560,000 + 75,965,325,000)
          = sqrt(150,439,885,000)
          = $387,860</w:t>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Step 5: Final Capital and RWA</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Capital  = DS × K_reduced × 12.5
         = 0.65 × 387,860 × 12.5
         = $3,151,113
RWA_CVA  = DS × K_reduced × 12.5 = $3,151,113
  (note: CVA capital = CVA RWA since the 12.5 factor IS already the RWA conversion)</w:t>
      </w:r>
    </w:p>
    <w:p>
      <w:pPr>
        <w:spacing w:after="60" w:before="60"/>
      </w:pPr>
      <w:r>
        <w:t xml:space="preserve"/>
      </w:r>
    </w:p>
    <w:p>
      <w:pPr>
        <w:spacing w:after="80" w:before="80"/>
      </w:pPr>
      <w:r>
        <w:rPr>
          <w:rFonts w:ascii="Arial" w:cs="Arial" w:eastAsia="Arial" w:hAnsi="Arial"/>
          <w:b/>
          <w:bCs/>
          <w:sz w:val="22"/>
          <w:szCs w:val="22"/>
        </w:rPr>
        <w:t xml:space="preserve">Attribution: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spacing w:after="0" w:before="0"/>
            </w:pPr>
            <w:r>
              <w:rPr>
                <w:b/>
                <w:bCs/>
                <w:color w:val="000000"/>
              </w:rPr>
            </w:r>
          </w:p>
        </w:tc>
      </w:tr>
    </w:tbl>
    <w:p>
      <w:pPr>
        <w:spacing w:after="80" w:before="80"/>
      </w:pPr>
      <w:r>
        <w:t xml:space="preserve"/>
      </w:r>
    </w:p>
    <w:p>
      <w:pPr>
        <w:spacing w:after="60" w:before="60"/>
      </w:pPr>
      <w:r>
        <w:t xml:space="preserve"/>
      </w:r>
    </w:p>
    <w:p>
      <w:pPr>
        <w:pBdr>
          <w:bottom w:val="single" w:color="2E75B6" w:sz="6" w:space="1"/>
        </w:pBdr>
        <w:spacing w:after="120" w:before="120"/>
      </w:pPr>
    </w:p>
    <w:p>
      <w:pPr>
        <w:spacing w:after="60" w:before="60"/>
      </w:pPr>
      <w:r>
        <w:t xml:space="preserve"/>
      </w:r>
    </w:p>
    <w:p>
      <w:pPr>
        <w:pStyle w:val="Heading3"/>
        <w:spacing w:after="100" w:before="200"/>
      </w:pPr>
      <w:r>
        <w:rPr>
          <w:rFonts w:ascii="Arial" w:cs="Arial" w:eastAsia="Arial" w:hAnsi="Arial"/>
          <w:sz w:val="22"/>
          <w:szCs w:val="22"/>
        </w:rPr>
        <w:t xml:space="preserve">What the Numbers Mean</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Corp C (BB-rated Energy) drives 37% of CVA capital despite only 20% of EAD — because its spread (1.06%) is 2.5× higher than Bank A's (0.42%).</w:t>
      </w:r>
    </w:p>
    <w:p>
      <w:pPr>
        <w:pStyle w:val="ListParagraph"/>
        <w:numPr>
          <w:ilvl w:val="0"/>
          <w:numId w:val="3"/>
        </w:numPr>
        <w:spacing w:after="40" w:before="40"/>
      </w:pPr>
      <w:r>
        <w:rPr>
          <w:rFonts w:ascii="Arial" w:cs="Arial" w:eastAsia="Arial" w:hAnsi="Arial"/>
          <w:sz w:val="22"/>
          <w:szCs w:val="22"/>
        </w:rPr>
        <w:t xml:space="preserve">Without DS=0.65, capital would be $4,847,866 — </w:t>
      </w:r>
      <w:r>
        <w:rPr>
          <w:rFonts w:ascii="Arial" w:cs="Arial" w:eastAsia="Arial" w:hAnsi="Arial"/>
          <w:b/>
          <w:bCs/>
          <w:sz w:val="22"/>
          <w:szCs w:val="22"/>
        </w:rPr>
        <w:t xml:space="preserve">54% higher</w:t>
      </w:r>
      <w:r>
        <w:rPr>
          <w:rFonts w:ascii="Arial" w:cs="Arial" w:eastAsia="Arial" w:hAnsi="Arial"/>
          <w:sz w:val="22"/>
          <w:szCs w:val="22"/>
        </w:rPr>
        <w:t xml:space="preserve">. This is why FIX-01 was critical.</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B — Numeric Walk-Through: BA-CVA Full (With CDS Hedge)</w:t>
      </w:r>
    </w:p>
    <w:p>
      <w:pPr>
        <w:spacing w:after="60" w:before="60"/>
      </w:pPr>
      <w:r>
        <w:t xml:space="preserve"/>
      </w:r>
    </w:p>
    <w:p>
      <w:pPr>
        <w:pStyle w:val="Heading3"/>
        <w:spacing w:after="100" w:before="200"/>
      </w:pPr>
      <w:r>
        <w:rPr>
          <w:rFonts w:ascii="Arial" w:cs="Arial" w:eastAsia="Arial" w:hAnsi="Arial"/>
          <w:sz w:val="22"/>
          <w:szCs w:val="22"/>
        </w:rPr>
        <w:t xml:space="preserve">Extending the Appendix A Portfolio</w:t>
      </w:r>
    </w:p>
    <w:p>
      <w:pPr>
        <w:spacing w:after="60" w:before="60"/>
      </w:pPr>
      <w:r>
        <w:t xml:space="preserve"/>
      </w:r>
    </w:p>
    <w:p>
      <w:pPr>
        <w:spacing w:after="80" w:before="80"/>
      </w:pPr>
      <w:r>
        <w:rPr>
          <w:rFonts w:ascii="Arial" w:cs="Arial" w:eastAsia="Arial" w:hAnsi="Arial"/>
          <w:sz w:val="22"/>
          <w:szCs w:val="22"/>
        </w:rPr>
        <w:t xml:space="preserve">The bank buys a 3-year CDS on Corp C (BB-rated Energy) with:</w:t>
      </w:r>
    </w:p>
    <w:p>
      <w:pPr>
        <w:pStyle w:val="ListParagraph"/>
        <w:numPr>
          <w:ilvl w:val="0"/>
          <w:numId w:val="3"/>
        </w:numPr>
        <w:spacing w:after="40" w:before="40"/>
      </w:pPr>
      <w:r>
        <w:rPr>
          <w:rFonts w:ascii="Arial" w:cs="Arial" w:eastAsia="Arial" w:hAnsi="Arial"/>
          <w:sz w:val="22"/>
          <w:szCs w:val="22"/>
        </w:rPr>
        <w:t xml:space="preserve">Notional: $20,000,000</w:t>
      </w:r>
    </w:p>
    <w:p>
      <w:pPr>
        <w:pStyle w:val="ListParagraph"/>
        <w:numPr>
          <w:ilvl w:val="0"/>
          <w:numId w:val="3"/>
        </w:numPr>
        <w:spacing w:after="40" w:before="40"/>
      </w:pPr>
      <w:r>
        <w:rPr>
          <w:rFonts w:ascii="Arial" w:cs="Arial" w:eastAsia="Arial" w:hAnsi="Arial"/>
          <w:sz w:val="22"/>
          <w:szCs w:val="22"/>
        </w:rPr>
        <w:t xml:space="preserve">Hedge type: DIRECT (references Corp C exactly)</w:t>
      </w:r>
    </w:p>
    <w:p>
      <w:pPr>
        <w:pStyle w:val="ListParagraph"/>
        <w:numPr>
          <w:ilvl w:val="0"/>
          <w:numId w:val="3"/>
        </w:numPr>
        <w:spacing w:after="40" w:before="40"/>
      </w:pPr>
      <w:r>
        <w:rPr>
          <w:rFonts w:ascii="Arial" w:cs="Arial" w:eastAsia="Arial" w:hAnsi="Arial"/>
          <w:sz w:val="22"/>
          <w:szCs w:val="22"/>
        </w:rPr>
        <w:t xml:space="preserve">CDS spread: 110 bps</w:t>
      </w:r>
    </w:p>
    <w:p>
      <w:pPr>
        <w:pStyle w:val="ListParagraph"/>
        <w:numPr>
          <w:ilvl w:val="0"/>
          <w:numId w:val="3"/>
        </w:numPr>
        <w:spacing w:after="40" w:before="40"/>
      </w:pPr>
      <w:r>
        <w:rPr>
          <w:rFonts w:ascii="Arial" w:cs="Arial" w:eastAsia="Arial" w:hAnsi="Arial"/>
          <w:sz w:val="22"/>
          <w:szCs w:val="22"/>
        </w:rPr>
        <w:t xml:space="preserve">Maturity: 3.0 years (maturity mismatch vs 2.0-year exposure)</w:t>
      </w:r>
    </w:p>
    <w:p>
      <w:pPr>
        <w:spacing w:after="60" w:before="60"/>
      </w:pPr>
      <w:r>
        <w:t xml:space="preserve"/>
      </w:r>
    </w:p>
    <w:p>
      <w:pPr>
        <w:pStyle w:val="Heading3"/>
        <w:spacing w:after="100" w:before="200"/>
      </w:pPr>
      <w:r>
        <w:rPr>
          <w:rFonts w:ascii="Arial" w:cs="Arial" w:eastAsia="Arial" w:hAnsi="Arial"/>
          <w:sz w:val="22"/>
          <w:szCs w:val="22"/>
        </w:rPr>
        <w:t xml:space="preserve">SNH_C Calculation (MAR50.23)</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ρ_hc      = 1.00 (DIRECT hedge)
RW_h      = 0.0106 (BB rating, same as Corp C)
M_h_eff   = (1 − exp(−0.043 × 3.0)) / (0.043 × 3.0) = 0.9380
SNH_C = ρ_hc × RW_h × M_h_eff × N_hedge
      = 1.00 × 0.0106 × 0.9380 × 20,000,000
      = $198,748</w:t>
      </w:r>
    </w:p>
    <w:p>
      <w:pPr>
        <w:spacing w:after="60" w:before="60"/>
      </w:pPr>
      <w:r>
        <w:t xml:space="preserve"/>
      </w:r>
    </w:p>
    <w:p>
      <w:pPr>
        <w:pStyle w:val="Heading3"/>
        <w:spacing w:after="100" w:before="200"/>
      </w:pPr>
      <w:r>
        <w:rPr>
          <w:rFonts w:ascii="Arial" w:cs="Arial" w:eastAsia="Arial" w:hAnsi="Arial"/>
          <w:sz w:val="22"/>
          <w:szCs w:val="22"/>
        </w:rPr>
        <w:t xml:space="preserve">HMA_C (Hedge Misalignment Adjustment, MAR50.25)</w:t>
      </w:r>
    </w:p>
    <w:p>
      <w:pPr>
        <w:spacing w:after="60" w:before="60"/>
      </w:pPr>
      <w:r>
        <w:t xml:space="preserve"/>
      </w:r>
    </w:p>
    <w:p>
      <w:pPr>
        <w:spacing w:after="80" w:before="80"/>
      </w:pPr>
      <w:r>
        <w:rPr>
          <w:rFonts w:ascii="Arial" w:cs="Arial" w:eastAsia="Arial" w:hAnsi="Arial"/>
          <w:sz w:val="22"/>
          <w:szCs w:val="22"/>
        </w:rPr>
        <w:t xml:space="preserve">Since hedge is DIRECT (ρ_hc = 1.00):</w:t>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HMA_C = (1 − ρ_hc²) × (RW_h × M_h_eff × N_h)²
      = (1 − 1.0²) × ...
      = 0   (perfect correlation → no misalignment)</w:t>
      </w:r>
    </w:p>
    <w:p>
      <w:pPr>
        <w:spacing w:after="60" w:before="60"/>
      </w:pPr>
      <w:r>
        <w:t xml:space="preserve"/>
      </w:r>
    </w:p>
    <w:p>
      <w:pPr>
        <w:pStyle w:val="Heading3"/>
        <w:spacing w:after="100" w:before="200"/>
      </w:pPr>
      <w:r>
        <w:rPr>
          <w:rFonts w:ascii="Arial" w:cs="Arial" w:eastAsia="Arial" w:hAnsi="Arial"/>
          <w:sz w:val="22"/>
          <w:szCs w:val="22"/>
        </w:rPr>
        <w:t xml:space="preserve">K_full (MAR50.21)</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Systematic  = Σ SC_c − Σ SNH_c − IH
            = 545,800 − 198,748 − 0
            = $347,052
Idiosyncratic = Σ (SC_c − SNH_c)²
              = (197,000 − 0)² + (145,700 − 0)² + (203,100 − 198,748)²
              = 38,809,000,000 + 21,228,490,000 + 18,932,336
              = 60,056,422,336
K_full = sqrt(0.25 × 347,052² + 0.75 × 60,056,422,336) + 0
       = sqrt(0.25 × 120,445,078,704 + 45,042,316,752)
       = sqrt(30,111,269,676 + 45,042,316,752)
       = sqrt(75,153,586,428)
       = $274,142</w:t>
      </w:r>
    </w:p>
    <w:p>
      <w:pPr>
        <w:spacing w:after="60" w:before="60"/>
      </w:pPr>
      <w:r>
        <w:t xml:space="preserve"/>
      </w:r>
    </w:p>
    <w:p>
      <w:pPr>
        <w:pStyle w:val="Heading3"/>
        <w:spacing w:after="100" w:before="200"/>
      </w:pPr>
      <w:r>
        <w:rPr>
          <w:rFonts w:ascii="Arial" w:cs="Arial" w:eastAsia="Arial" w:hAnsi="Arial"/>
          <w:sz w:val="22"/>
          <w:szCs w:val="22"/>
        </w:rPr>
        <w:t xml:space="preserve">Beta Floor Check (MAR50.20)</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β × K_reduced = 0.25 × 387,860 = $96,965
K_full        = $274,142
K_hedged = max(K_full, β × K_reduced) = max(274,142, 96,965) = $274,142
Capital  = DS × K_hedged × 12.5 = 0.65 × 274,142 × 12.5 = $2,227,528</w:t>
      </w:r>
    </w:p>
    <w:p>
      <w:pPr>
        <w:spacing w:after="60" w:before="60"/>
      </w:pPr>
      <w:r>
        <w:t xml:space="preserve"/>
      </w:r>
    </w:p>
    <w:p>
      <w:pPr>
        <w:spacing w:after="80" w:before="80"/>
      </w:pPr>
      <w:r>
        <w:rPr>
          <w:rFonts w:ascii="Arial" w:cs="Arial" w:eastAsia="Arial" w:hAnsi="Arial"/>
          <w:b/>
          <w:bCs/>
          <w:sz w:val="22"/>
          <w:szCs w:val="22"/>
        </w:rPr>
        <w:t xml:space="preserve">Capital saving from hedge:</w:t>
      </w:r>
      <w:r>
        <w:rPr>
          <w:rFonts w:ascii="Arial" w:cs="Arial" w:eastAsia="Arial" w:hAnsi="Arial"/>
          <w:sz w:val="22"/>
          <w:szCs w:val="22"/>
        </w:rPr>
        <w:t xml:space="preserve"> $3,151,113 − $2,227,528 = </w:t>
      </w:r>
      <w:r>
        <w:rPr>
          <w:rFonts w:ascii="Arial" w:cs="Arial" w:eastAsia="Arial" w:hAnsi="Arial"/>
          <w:b/>
          <w:bCs/>
          <w:sz w:val="22"/>
          <w:szCs w:val="22"/>
        </w:rPr>
        <w:t xml:space="preserve">$923,585 (29% reduction)</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C — Numeric Walk-Through: SA-CVA</w:t>
      </w:r>
    </w:p>
    <w:p>
      <w:pPr>
        <w:spacing w:after="60" w:before="60"/>
      </w:pPr>
      <w:r>
        <w:t xml:space="preserve"/>
      </w:r>
    </w:p>
    <w:p>
      <w:pPr>
        <w:pStyle w:val="Heading3"/>
        <w:spacing w:after="100" w:before="200"/>
      </w:pPr>
      <w:r>
        <w:rPr>
          <w:rFonts w:ascii="Arial" w:cs="Arial" w:eastAsia="Arial" w:hAnsi="Arial"/>
          <w:sz w:val="22"/>
          <w:szCs w:val="22"/>
        </w:rPr>
        <w:t xml:space="preserve">Setup</w:t>
      </w:r>
    </w:p>
    <w:p>
      <w:pPr>
        <w:spacing w:after="60" w:before="60"/>
      </w:pPr>
      <w:r>
        <w:t xml:space="preserve"/>
      </w:r>
    </w:p>
    <w:p>
      <w:pPr>
        <w:spacing w:after="80" w:before="80"/>
      </w:pPr>
      <w:r>
        <w:rPr>
          <w:rFonts w:ascii="Arial" w:cs="Arial" w:eastAsia="Arial" w:hAnsi="Arial"/>
          <w:sz w:val="22"/>
          <w:szCs w:val="22"/>
        </w:rPr>
        <w:t xml:space="preserve">Bank A (Financials, IG, live CDS spread = 85 bps), no hedge, 3Y maturity, EAD = $50M, SOFR = 4.3%.</w:t>
      </w:r>
    </w:p>
    <w:p>
      <w:pPr>
        <w:spacing w:after="60" w:before="60"/>
      </w:pPr>
      <w:r>
        <w:t xml:space="preserve"/>
      </w:r>
    </w:p>
    <w:p>
      <w:pPr>
        <w:spacing w:after="80" w:before="80"/>
      </w:pPr>
      <w:r>
        <w:rPr>
          <w:rFonts w:ascii="Arial" w:cs="Arial" w:eastAsia="Arial" w:hAnsi="Arial"/>
          <w:b/>
          <w:bCs/>
          <w:sz w:val="22"/>
          <w:szCs w:val="22"/>
        </w:rPr>
        <w:t xml:space="preserve">SA-CVA eligible:</w:t>
      </w:r>
      <w:r>
        <w:rPr>
          <w:rFonts w:ascii="Arial" w:cs="Arial" w:eastAsia="Arial" w:hAnsi="Arial"/>
          <w:sz w:val="22"/>
          <w:szCs w:val="22"/>
        </w:rPr>
        <w:t xml:space="preserve"> SA-CVA approved, spread_source = 'LIVE'.</w:t>
      </w:r>
    </w:p>
    <w:p>
      <w:pPr>
        <w:spacing w:after="60" w:before="60"/>
      </w:pPr>
      <w:r>
        <w:t xml:space="preserve"/>
      </w:r>
    </w:p>
    <w:p>
      <w:pPr>
        <w:pStyle w:val="Heading3"/>
        <w:spacing w:after="100" w:before="200"/>
      </w:pPr>
      <w:r>
        <w:rPr>
          <w:rFonts w:ascii="Arial" w:cs="Arial" w:eastAsia="Arial" w:hAnsi="Arial"/>
          <w:sz w:val="22"/>
          <w:szCs w:val="22"/>
        </w:rPr>
        <w:t xml:space="preserve">Bucket and Risk Weight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Sector = "Financials" → Bucket 2
Credit Quality = "IG"
RW_spread (MAR50.65 Table 7, Bucket 2 IG) = 1.0% = 0.010</w:t>
      </w:r>
    </w:p>
    <w:p>
      <w:pPr>
        <w:spacing w:after="60" w:before="60"/>
      </w:pPr>
      <w:r>
        <w:t xml:space="preserve"/>
      </w:r>
    </w:p>
    <w:p>
      <w:pPr>
        <w:pStyle w:val="Heading3"/>
        <w:spacing w:after="100" w:before="200"/>
      </w:pPr>
      <w:r>
        <w:rPr>
          <w:rFonts w:ascii="Arial" w:cs="Arial" w:eastAsia="Arial" w:hAnsi="Arial"/>
          <w:sz w:val="22"/>
          <w:szCs w:val="22"/>
        </w:rPr>
        <w:t xml:space="preserve">Delta Sensitivity</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spread   = 85 bps / 10000 = 0.0085
M_eff    = (1 − exp(−0.043 × 3)) / (0.043 × 3) = 0.9380
LGD      = 1 − recovery_Financials = 1 − 0.40 = 0.60
delta_sens = EAD × M_eff × LGD
           = 50,000,000 × 0.9380 × 0.60
           = $28,140,000
delta_charge = RW_spread × delta_sens
             = 0.010 × 28,140,000
             = $281,400
rwa_delta = delta_charge × 12.5 = $3,517,500</w:t>
      </w:r>
    </w:p>
    <w:p>
      <w:pPr>
        <w:spacing w:after="60" w:before="60"/>
      </w:pPr>
      <w:r>
        <w:t xml:space="preserve"/>
      </w:r>
    </w:p>
    <w:p>
      <w:pPr>
        <w:pStyle w:val="Heading3"/>
        <w:spacing w:after="100" w:before="200"/>
      </w:pPr>
      <w:r>
        <w:rPr>
          <w:rFonts w:ascii="Arial" w:cs="Arial" w:eastAsia="Arial" w:hAnsi="Arial"/>
          <w:sz w:val="22"/>
          <w:szCs w:val="22"/>
        </w:rPr>
        <w:t xml:space="preserve">Comparison: BA-CVA vs SA-CVA for Bank 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31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sz w:val="22"/>
          <w:szCs w:val="22"/>
        </w:rPr>
        <w:t xml:space="preserve">SA-CVA is </w:t>
      </w:r>
      <w:r>
        <w:rPr>
          <w:rFonts w:ascii="Arial" w:cs="Arial" w:eastAsia="Arial" w:hAnsi="Arial"/>
          <w:b/>
          <w:bCs/>
          <w:sz w:val="22"/>
          <w:szCs w:val="22"/>
        </w:rPr>
        <w:t xml:space="preserve">higher</w:t>
      </w:r>
      <w:r>
        <w:rPr>
          <w:rFonts w:ascii="Arial" w:cs="Arial" w:eastAsia="Arial" w:hAnsi="Arial"/>
          <w:sz w:val="22"/>
          <w:szCs w:val="22"/>
        </w:rPr>
        <w:t xml:space="preserve"> here because the 1.0% RW_spread (Financials IG) × LGD effect is larger than the BA-CVA supervisory spread (0.42%). SA-CVA benefits most from hedge recognition and when actual spreads are narrow relative to supervisory proxies.</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D — Wrong-Way Risk: CDS on Financials</w:t>
      </w:r>
    </w:p>
    <w:p>
      <w:pPr>
        <w:spacing w:after="60" w:before="60"/>
      </w:pPr>
      <w:r>
        <w:t xml:space="preserve"/>
      </w:r>
    </w:p>
    <w:p>
      <w:pPr>
        <w:pStyle w:val="Heading3"/>
        <w:spacing w:after="100" w:before="200"/>
      </w:pPr>
      <w:r>
        <w:rPr>
          <w:rFonts w:ascii="Arial" w:cs="Arial" w:eastAsia="Arial" w:hAnsi="Arial"/>
          <w:sz w:val="22"/>
          <w:szCs w:val="22"/>
        </w:rPr>
        <w:t xml:space="preserve">Setup</w:t>
      </w:r>
    </w:p>
    <w:p>
      <w:pPr>
        <w:spacing w:after="60" w:before="60"/>
      </w:pPr>
      <w:r>
        <w:t xml:space="preserve"/>
      </w:r>
    </w:p>
    <w:p>
      <w:pPr>
        <w:spacing w:after="80" w:before="80"/>
      </w:pPr>
      <w:r>
        <w:rPr>
          <w:rFonts w:ascii="Arial" w:cs="Arial" w:eastAsia="Arial" w:hAnsi="Arial"/>
          <w:sz w:val="22"/>
          <w:szCs w:val="22"/>
        </w:rPr>
        <w:t xml:space="preserve">Bank buys $30M CDS protection from a financial counterparty on an index.</w:t>
      </w:r>
    </w:p>
    <w:p>
      <w:pPr>
        <w:pStyle w:val="ListParagraph"/>
        <w:numPr>
          <w:ilvl w:val="0"/>
          <w:numId w:val="3"/>
        </w:numPr>
        <w:spacing w:after="40" w:before="40"/>
      </w:pPr>
      <w:r>
        <w:rPr>
          <w:rFonts w:ascii="Courier New" w:cs="Courier New" w:eastAsia="Courier New" w:hAnsi="Courier New"/>
          <w:color w:val="C7254E"/>
          <w:sz w:val="20"/>
          <w:szCs w:val="20"/>
          <w:shd w:fill="F9F2F4" w:val="clear"/>
        </w:rPr>
        <w:t xml:space="preserve">is_wrong_way = True</w:t>
      </w:r>
      <w:r>
        <w:rPr>
          <w:rFonts w:ascii="Arial" w:cs="Arial" w:eastAsia="Arial" w:hAnsi="Arial"/>
          <w:sz w:val="22"/>
          <w:szCs w:val="22"/>
        </w:rPr>
        <w:t xml:space="preserve"> (protection seller faces same stress as CDS market)</w:t>
      </w:r>
    </w:p>
    <w:p>
      <w:pPr>
        <w:pStyle w:val="ListParagraph"/>
        <w:numPr>
          <w:ilvl w:val="0"/>
          <w:numId w:val="3"/>
        </w:numPr>
        <w:spacing w:after="40" w:before="40"/>
      </w:pPr>
      <w:r>
        <w:rPr>
          <w:rFonts w:ascii="Courier New" w:cs="Courier New" w:eastAsia="Courier New" w:hAnsi="Courier New"/>
          <w:color w:val="C7254E"/>
          <w:sz w:val="20"/>
          <w:szCs w:val="20"/>
          <w:shd w:fill="F9F2F4" w:val="clear"/>
        </w:rPr>
        <w:t xml:space="preserve">wwr_add_on = 0.25</w:t>
      </w:r>
      <w:r>
        <w:rPr>
          <w:rFonts w:ascii="Arial" w:cs="Arial" w:eastAsia="Arial" w:hAnsi="Arial"/>
          <w:sz w:val="22"/>
          <w:szCs w:val="22"/>
        </w:rPr>
        <w:t xml:space="preserve"> (25% EAD uplift as conservative proxy)</w:t>
      </w:r>
    </w:p>
    <w:p>
      <w:pPr>
        <w:spacing w:after="60" w:before="60"/>
      </w:pPr>
      <w:r>
        <w:t xml:space="preserve"/>
      </w:r>
    </w:p>
    <w:p>
      <w:pPr>
        <w:pStyle w:val="Heading3"/>
        <w:spacing w:after="100" w:before="200"/>
      </w:pPr>
      <w:r>
        <w:rPr>
          <w:rFonts w:ascii="Arial" w:cs="Arial" w:eastAsia="Arial" w:hAnsi="Arial"/>
          <w:sz w:val="22"/>
          <w:szCs w:val="22"/>
        </w:rPr>
        <w:t xml:space="preserve">WWR Impact</w:t>
      </w:r>
    </w:p>
    <w:p>
      <w:pPr>
        <w:spacing w:after="60" w:before="60"/>
      </w:pPr>
      <w:r>
        <w:t xml:space="preserve"/>
      </w:r>
    </w:p>
    <w:p>
      <w:pPr>
        <w:pBdr>
          <w:left w:val="single" w:color="2E75B6" w:sz="6" w:space="4"/>
        </w:pBdr>
        <w:shd w:fill="F2F2F2" w:val="clear"/>
        <w:spacing w:after="80" w:before="80" w:line="240"/>
        <w:ind w:left="360"/>
      </w:pPr>
      <w:r>
        <w:rPr>
          <w:rFonts w:ascii="Courier New" w:cs="Courier New" w:eastAsia="Courier New" w:hAnsi="Courier New"/>
          <w:color w:val="1A1A1A"/>
          <w:sz w:val="18"/>
          <w:szCs w:val="18"/>
        </w:rPr>
        <w:t xml:space="preserve">EAD_base = $30,000,000
EAD_eff  = EAD_base × (1 + wwr_add_on) = 30M × 1.25 = $37,500,000
SC_c (with WWR) = RW × M_eff × EAD_eff
               = 0.0042 × 0.9380 × 37,500,000
               = $147,807   (vs $118,245 without WWR, +25%)</w:t>
      </w:r>
    </w:p>
    <w:p>
      <w:pPr>
        <w:spacing w:after="60" w:before="60"/>
      </w:pPr>
      <w:r>
        <w:t xml:space="preserve"/>
      </w:r>
    </w:p>
    <w:p>
      <w:pPr>
        <w:spacing w:after="80" w:before="80"/>
      </w:pPr>
      <w:r>
        <w:rPr>
          <w:rFonts w:ascii="Arial" w:cs="Arial" w:eastAsia="Arial" w:hAnsi="Arial"/>
          <w:b/>
          <w:bCs/>
          <w:sz w:val="22"/>
          <w:szCs w:val="22"/>
        </w:rPr>
        <w:t xml:space="preserve">CRO Note:</w:t>
      </w:r>
      <w:r>
        <w:rPr>
          <w:rFonts w:ascii="Arial" w:cs="Arial" w:eastAsia="Arial" w:hAnsi="Arial"/>
          <w:sz w:val="22"/>
          <w:szCs w:val="22"/>
        </w:rPr>
        <w:t xml:space="preserve"> WWR is often underestimated in stress. A 25% add-on is conservative but reasonable for financial sector counterparties selling credit protection during market stress events. Production should model correlation between counterparty default intensity and trade mark-to-market.</w:t>
      </w:r>
    </w:p>
    <w:p>
      <w:pPr>
        <w:spacing w:after="60" w:before="60"/>
      </w:pPr>
      <w:r>
        <w:t xml:space="preserve"/>
      </w:r>
    </w:p>
    <w:p>
      <w:pPr>
        <w:pBdr>
          <w:bottom w:val="single" w:color="2E75B6" w:sz="6" w:space="1"/>
        </w:pBdr>
        <w:spacing w:after="120" w:before="120"/>
      </w:pPr>
    </w:p>
    <w:p>
      <w:pPr>
        <w:spacing w:after="60" w:before="60"/>
      </w:pPr>
      <w:r>
        <w:t xml:space="preserve"/>
      </w:r>
    </w:p>
    <w:p>
      <w:pPr>
        <w:pStyle w:val="Heading2"/>
        <w:spacing w:after="120" w:before="280"/>
      </w:pPr>
      <w:r>
        <w:rPr>
          <w:rFonts w:ascii="Arial" w:cs="Arial" w:eastAsia="Arial" w:hAnsi="Arial"/>
          <w:sz w:val="22"/>
          <w:szCs w:val="22"/>
        </w:rPr>
        <w:t xml:space="preserve">Appendix E — Cross-Method Portfolio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spacing w:after="0" w:before="0"/>
            </w:pPr>
            <w:r>
              <w:rPr>
                <w:b/>
                <w:bCs/>
                <w:color w:val="FFFFFF"/>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spacing w:after="0" w:before="0"/>
            </w:pPr>
            <w:r>
              <w:rPr>
                <w:b w:val="false"/>
                <w:bCs w:val="false"/>
                <w:color w:val="000000"/>
              </w:rPr>
            </w:r>
          </w:p>
        </w:tc>
      </w:tr>
      <w:tr>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c>
          <w:tcPr>
            <w:tcW w:type="dxa" w:w="23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pPr>
              <w:spacing w:after="0" w:before="0"/>
            </w:pPr>
            <w:r>
              <w:rPr>
                <w:b w:val="false"/>
                <w:bCs w:val="false"/>
                <w:color w:val="000000"/>
              </w:rPr>
            </w:r>
          </w:p>
        </w:tc>
      </w:tr>
    </w:tbl>
    <w:p>
      <w:pPr>
        <w:spacing w:after="80" w:before="80"/>
      </w:pPr>
      <w:r>
        <w:t xml:space="preserve"/>
      </w:r>
    </w:p>
    <w:p>
      <w:pPr>
        <w:spacing w:after="60" w:before="60"/>
      </w:pPr>
      <w:r>
        <w:t xml:space="preserve"/>
      </w:r>
    </w:p>
    <w:p>
      <w:pPr>
        <w:spacing w:after="80" w:before="80"/>
      </w:pPr>
      <w:r>
        <w:rPr>
          <w:rFonts w:ascii="Arial" w:cs="Arial" w:eastAsia="Arial" w:hAnsi="Arial"/>
          <w:b/>
          <w:bCs/>
          <w:sz w:val="22"/>
          <w:szCs w:val="22"/>
        </w:rPr>
        <w:t xml:space="preserve">Key insight for the CRO:</w:t>
      </w:r>
      <w:r>
        <w:rPr>
          <w:rFonts w:ascii="Arial" w:cs="Arial" w:eastAsia="Arial" w:hAnsi="Arial"/>
          <w:sz w:val="22"/>
          <w:szCs w:val="22"/>
        </w:rPr>
        <w:t xml:space="preserve"> BA-CVA with well-structured direct hedges can be more capital-efficient than SA-CVA for portfolios where counterparty spreads are high relative to supervisory proxies. SA-CVA earns its advantage primarily when the bank has tight, well-hedged credit positions in IG sectors (where the Table 7 RW is low).</w:t>
      </w:r>
    </w:p>
    <w:p>
      <w:pPr>
        <w:spacing w:after="60" w:before="60"/>
      </w:pPr>
      <w:r>
        <w:t xml:space="preserve"/>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666666"/>
        <w:sz w:val="18"/>
        <w:szCs w:val="18"/>
      </w:rPr>
      <w:t xml:space="preserve">CONFIDENTIAL — Internal Use Only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8"/>
        <w:szCs w:val="18"/>
      </w:rPr>
      <w:t xml:space="preserve">PROMETHEUS Risk Platform  |  </w:t>
    </w:r>
    <w:r>
      <w:rPr>
        <w:rFonts w:ascii="Arial" w:cs="Arial" w:eastAsia="Arial" w:hAnsi="Arial"/>
        <w:b/>
        <w:bCs/>
        <w:color w:val="1F4E79"/>
        <w:sz w:val="18"/>
        <w:szCs w:val="18"/>
      </w:rPr>
      <w:t xml:space="preserve">CVA Risk Capital — Technical Guide</w:t>
    </w:r>
    <w:r>
      <w:rPr>
        <w:rFonts w:ascii="Arial" w:cs="Arial" w:eastAsia="Arial" w:hAnsi="Arial"/>
        <w:color w:val="666666"/>
        <w:sz w:val="18"/>
        <w:szCs w:val="18"/>
      </w:rPr>
      <w:t xml:space="preserve">  |  Version 3.8 — Apr-27-2026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2E75B6" w:sz="6" w:space="2"/>
      </w:pBd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2026-04-27T08:15:03.172Z</dcterms:created>
  <dcterms:modified xsi:type="dcterms:W3CDTF">2026-04-27T08:15:03.172Z</dcterms:modified>
</cp:coreProperties>
</file>

<file path=docProps/custom.xml><?xml version="1.0" encoding="utf-8"?>
<Properties xmlns="http://schemas.openxmlformats.org/officeDocument/2006/custom-properties" xmlns:vt="http://schemas.openxmlformats.org/officeDocument/2006/docPropsVTypes"/>
</file>