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FRTB Technical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Fundamental Review of the Trading Book (MAR10 / MAR21–23 / MAR31–33)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PROMETHEUS Risk Platform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Updated:</w:t>
      </w:r>
      <w:r>
        <w:rPr>
          <w:rFonts w:ascii="Arial" w:cs="Arial" w:eastAsia="Arial" w:hAnsi="Arial"/>
          <w:sz w:val="22"/>
          <w:szCs w:val="22"/>
        </w:rPr>
        <w:t xml:space="preserve"> Version 3.8 — Apr-27-2026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Changes (v3.8):</w:t>
      </w:r>
      <w:r>
        <w:rPr>
          <w:rFonts w:ascii="Arial" w:cs="Arial" w:eastAsia="Arial" w:hAnsi="Arial"/>
          <w:sz w:val="22"/>
          <w:szCs w:val="22"/>
        </w:rPr>
        <w:t xml:space="preserve"> Fix 5a — corrected liquidity horizon table (MAR33.12); Fix 5b — IMACapitalRegister 60-day rolling IMCC (MAR33.5)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Overview &amp; Regulatory Basis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FRTB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Sensitivities-Based Method (SBM)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Internal Models Approach (IMA)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Risk Capital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Bug Fixes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Glossary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A</w:t>
      </w:r>
      <w:r>
        <w:rPr>
          <w:rFonts w:ascii="Arial" w:cs="Arial" w:eastAsia="Arial" w:hAnsi="Arial"/>
          <w:sz w:val="22"/>
          <w:szCs w:val="22"/>
        </w:rPr>
        <w:t xml:space="preserve"> — Delta Charge: IR Bond Position (GIRR)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B</w:t>
      </w:r>
      <w:r>
        <w:rPr>
          <w:rFonts w:ascii="Arial" w:cs="Arial" w:eastAsia="Arial" w:hAnsi="Arial"/>
          <w:sz w:val="22"/>
          <w:szCs w:val="22"/>
        </w:rPr>
        <w:t xml:space="preserve"> — Equity Option: Delta + Vega + Curvature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C</w:t>
      </w:r>
      <w:r>
        <w:rPr>
          <w:rFonts w:ascii="Arial" w:cs="Arial" w:eastAsia="Arial" w:hAnsi="Arial"/>
          <w:sz w:val="22"/>
          <w:szCs w:val="22"/>
        </w:rPr>
        <w:t xml:space="preserve"> — IMA Expected Shortfall Numeric Example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D</w:t>
      </w:r>
      <w:r>
        <w:rPr>
          <w:rFonts w:ascii="Arial" w:cs="Arial" w:eastAsia="Arial" w:hAnsi="Arial"/>
          <w:sz w:val="22"/>
          <w:szCs w:val="22"/>
        </w:rPr>
        <w:t xml:space="preserve"> — NMRF Charge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E</w:t>
      </w:r>
      <w:r>
        <w:rPr>
          <w:rFonts w:ascii="Arial" w:cs="Arial" w:eastAsia="Arial" w:hAnsi="Arial"/>
          <w:sz w:val="22"/>
          <w:szCs w:val="22"/>
        </w:rPr>
        <w:t xml:space="preserve"> — Backtesting Traffic Light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1. Overview &amp; Regulatory Basis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FRTB replaces the 1996 Basel II VaR approach for market risk. It establishes a clearer trading/banking book boundary, a more risk-sensitive standardised method (SBM), and a rigorous internal model framework (IMA).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2. FRTB Architecture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Trading Book Positions
    │
    ├── SBM (always computed)
    │    ├── Delta charge  (RW × WS → bucket → cross-bucket)
    │    ├── Vega charge   (same structure)
    │    └── Curvature charge (CVR± stress scenarios)
    │
    ├── IMA (if approved)
    │    ├── Expected Shortfall (ES 97.5%, stressed period)
    │    ├── NMRF stress scenarios (SSRM per factor)
    │    └── Backtesting (250-day window)
    │
    └── Capital = max(SBM, IMA) × 12.5 → Market Risk RWA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3. Sensitivities-Based Method (SBM)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3.1 Delta Charge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Weighted Sensitivity: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WS_ik = RW_k × s_ik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Bucket aggregation (three-scenario framework, MAR21.6 — FIX-01):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K_b = sqrt(max(Σ WS_k² + Σ_{k≠l} ρ_kl × WS_k × WS_l, 0))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correlation scenarios — highest K_b is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FIX-01:</w:t>
      </w:r>
      <w:r>
        <w:rPr>
          <w:rFonts w:ascii="Arial" w:cs="Arial" w:eastAsia="Arial" w:hAnsi="Arial"/>
          <w:sz w:val="22"/>
          <w:szCs w:val="22"/>
        </w:rPr>
        <w:t xml:space="preserve"> Original used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abs()</w:t>
      </w:r>
      <w:r>
        <w:rPr>
          <w:rFonts w:ascii="Arial" w:cs="Arial" w:eastAsia="Arial" w:hAnsi="Arial"/>
          <w:sz w:val="22"/>
          <w:szCs w:val="22"/>
        </w:rPr>
        <w:t xml:space="preserve"> on ρ_high and wrong ρ_low formula (0.5625×ρ). Corrected to Basel MAR21.6 formulas.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Cross-bucket: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Delta_charge = sqrt(Σ K_b² + Σ_{b≠c} γ_bc × K_b × K_c)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GIRR Risk Weights (10 tenors, MAR21.44 — FIX-04):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FIX-04: Table trimmed from 13 to correct 10 entries.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3.2 Vega Charge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structure as delta; sensitivities are option vega (∂V/∂σ) per vol tenor bucket.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3.3 Curvature Charge (FIX-02)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CVR⁺_k = −[V(x_k + RW_k × x_k) − V(x_k) − RW_k × x_k × delta_k]
CVR⁻_k = −[V(x_k − RW_k × x_k) − V(x_k) + RW_k × x_k × delta_k]
Ξ_b = max(Σ CVR_k² + Σ_{k≠l} ρ_kl² × CVR_k × CVR_l, 0)
K_curv_b = max(Ξ⁺_b, Ξ⁻_b)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FIX-02:</w:t>
      </w:r>
      <w:r>
        <w:rPr>
          <w:rFonts w:ascii="Arial" w:cs="Arial" w:eastAsia="Arial" w:hAnsi="Arial"/>
          <w:sz w:val="22"/>
          <w:szCs w:val="22"/>
        </w:rPr>
        <w:t xml:space="preserve"> Original applied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sqrt(Ξ_b)</w:t>
      </w:r>
      <w:r>
        <w:rPr>
          <w:rFonts w:ascii="Arial" w:cs="Arial" w:eastAsia="Arial" w:hAnsi="Arial"/>
          <w:sz w:val="22"/>
          <w:szCs w:val="22"/>
        </w:rPr>
        <w:t xml:space="preserve">. Ξ_b is already in capital dollar units — applying sqrt was dimensionally wrong and understated curvature capital.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FIX-03:</w:t>
      </w:r>
      <w:r>
        <w:rPr>
          <w:rFonts w:ascii="Arial" w:cs="Arial" w:eastAsia="Arial" w:hAnsi="Arial"/>
          <w:sz w:val="22"/>
          <w:szCs w:val="22"/>
        </w:rPr>
        <w:t xml:space="preserve"> Removed non-existent "MAR21.100 SBM floor." The three-scenario framework itself limits diversification; no additional floor exists in Basel.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4. Internal Models Approach (IMA)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4.1 Expected Shortfall (MAR33.8 — FIX-05)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ES(97.5%) = E[Loss | Loss &gt; VaR(97.5%)]
tail_count = math.ceil(0.025 × n_scenarios)   ← FIX-05 (was int(), now ceil())
ES = mean of the tail_count worst P&amp;L observations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250 scenarios: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ceil(0.025 × 250) = ceil(6.25) = 7</w:t>
      </w:r>
      <w:r>
        <w:rPr>
          <w:rFonts w:ascii="Arial" w:cs="Arial" w:eastAsia="Arial" w:hAnsi="Arial"/>
          <w:sz w:val="22"/>
          <w:szCs w:val="22"/>
        </w:rPr>
        <w:t xml:space="preserve"> worst days averaged.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Liquidity Horizons (Fix 5a — MAR33.12 Table 1, Version 3.8):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CSR_NS</w:t>
      </w:r>
      <w:r>
        <w:rPr>
          <w:rFonts w:ascii="Arial" w:cs="Arial" w:eastAsia="Arial" w:hAnsi="Arial"/>
          <w:sz w:val="22"/>
          <w:szCs w:val="22"/>
        </w:rPr>
        <w:t xml:space="preserve"> corrected: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 → 120 days</w:t>
      </w:r>
      <w:r>
        <w:rPr>
          <w:rFonts w:ascii="Arial" w:cs="Arial" w:eastAsia="Arial" w:hAnsi="Arial"/>
          <w:sz w:val="22"/>
          <w:szCs w:val="22"/>
        </w:rPr>
        <w:t xml:space="preserve"> (non-IG credit is the j=5 bucket per MAR33.12).  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CSR_SEC</w:t>
      </w:r>
      <w:r>
        <w:rPr>
          <w:rFonts w:ascii="Arial" w:cs="Arial" w:eastAsia="Arial" w:hAnsi="Arial"/>
          <w:sz w:val="22"/>
          <w:szCs w:val="22"/>
        </w:rPr>
        <w:t xml:space="preserve"> corrected: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 → 120 days</w:t>
      </w:r>
      <w:r>
        <w:rPr>
          <w:rFonts w:ascii="Arial" w:cs="Arial" w:eastAsia="Arial" w:hAnsi="Arial"/>
          <w:sz w:val="22"/>
          <w:szCs w:val="22"/>
        </w:rPr>
        <w:t xml:space="preserve"> (non-IG securitisation is j=5, not j=4).  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CSR_NS_IG</w:t>
      </w:r>
      <w:r>
        <w:rPr>
          <w:rFonts w:ascii="Arial" w:cs="Arial" w:eastAsia="Arial" w:hAnsi="Arial"/>
          <w:sz w:val="22"/>
          <w:szCs w:val="22"/>
        </w:rPr>
        <w:t xml:space="preserve"> added at 60 days for investment-grade credit spread non-securitisation.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Unknown risk classes default conservatively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120 days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4.2 Non-Modellable Risk Factors (NMRF — MAR31.14, FIX-07)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Risk factors with &lt; 24 price observations/year are NMRF. Capital = SSRM (Stressed Scenario Risk Measure) per factor, bank-estimated.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FIX-07:</w:t>
      </w:r>
      <w:r>
        <w:rPr>
          <w:rFonts w:ascii="Arial" w:cs="Arial" w:eastAsia="Arial" w:hAnsi="Arial"/>
          <w:sz w:val="22"/>
          <w:szCs w:val="22"/>
        </w:rPr>
        <w:t xml:space="preserve"> Default of 0.0015 (15bp flat proxy) removed. No MAR31 basis. Callers must supply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factor_ssrm</w:t>
      </w:r>
      <w:r>
        <w:rPr>
          <w:rFonts w:ascii="Arial" w:cs="Arial" w:eastAsia="Arial" w:hAnsi="Arial"/>
          <w:sz w:val="22"/>
          <w:szCs w:val="22"/>
        </w:rPr>
        <w:t xml:space="preserve"> explicitly.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4.3 Backtesting Traffic Light (MAR32/MAR99)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250-day window; compare actual P&amp;L to VaR(99%,1-day):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5. Market Risk Capital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5.1 IMA Capital Formula — 60-Day Rolling IMCC (Fix 5b, Version 3.8 / MAR33.5)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MAR33.5 requires IMA capital to be the **maximum of today's ES and the 60-business-day average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multiplied by the scaling factor mc**: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IMCC_t = max(ES_today, mc_t × ES_60d_avg)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mc_t = 1.5 + backtesting_addon</w:t>
      </w:r>
      <w:r>
        <w:rPr>
          <w:rFonts w:ascii="Arial" w:cs="Arial" w:eastAsia="Arial" w:hAnsi="Arial"/>
          <w:sz w:val="22"/>
          <w:szCs w:val="22"/>
        </w:rPr>
        <w:t xml:space="preserve"> (floor 1.5; amber-zone add-on per MAR32.9 table).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`IMACapitalRegister`</w:t>
      </w:r>
      <w:r>
        <w:rPr>
          <w:rFonts w:ascii="Arial" w:cs="Arial" w:eastAsia="Arial" w:hAnsi="Arial"/>
          <w:sz w:val="22"/>
          <w:szCs w:val="22"/>
        </w:rPr>
        <w:t xml:space="preserve"> (new class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backend/engines/frtb.py</w:t>
      </w:r>
      <w:r>
        <w:rPr>
          <w:rFonts w:ascii="Arial" w:cs="Arial" w:eastAsia="Arial" w:hAnsi="Arial"/>
          <w:sz w:val="22"/>
          <w:szCs w:val="22"/>
        </w:rPr>
        <w:t xml:space="preserve">, Version 3.8):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Maintains a 60-business-day rolling deque of daily ES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regulatory_imcc(es_today)</w:t>
      </w:r>
      <w:r>
        <w:rPr>
          <w:rFonts w:ascii="Arial" w:cs="Arial" w:eastAsia="Arial" w:hAnsi="Arial"/>
          <w:sz w:val="22"/>
          <w:szCs w:val="22"/>
        </w:rPr>
        <w:t xml:space="preserve"> returns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max(ES_today, mc × avg_60d)</w:t>
      </w:r>
      <w:r>
        <w:rPr>
          <w:rFonts w:ascii="Arial" w:cs="Arial" w:eastAsia="Arial" w:hAnsi="Arial"/>
          <w:sz w:val="22"/>
          <w:szCs w:val="22"/>
        </w:rPr>
        <w:t xml:space="preserve"> and the binding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to_dict()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from_dict()</w:t>
      </w:r>
      <w:r>
        <w:rPr>
          <w:rFonts w:ascii="Arial" w:cs="Arial" w:eastAsia="Arial" w:hAnsi="Arial"/>
          <w:sz w:val="22"/>
          <w:szCs w:val="22"/>
        </w:rPr>
        <w:t xml:space="preserve"> for PostgreSQL persistence across daily runs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set_exceptions(n)</w:t>
      </w:r>
      <w:r>
        <w:rPr>
          <w:rFonts w:ascii="Arial" w:cs="Arial" w:eastAsia="Arial" w:hAnsi="Arial"/>
          <w:sz w:val="22"/>
          <w:szCs w:val="22"/>
        </w:rPr>
        <w:t xml:space="preserve"> wires the amber-zone add-on from the backtesting module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FRTBEngine</w:t>
      </w:r>
      <w:r>
        <w:rPr>
          <w:rFonts w:ascii="Arial" w:cs="Arial" w:eastAsia="Arial" w:hAnsi="Arial"/>
          <w:sz w:val="22"/>
          <w:szCs w:val="22"/>
        </w:rPr>
        <w:t xml:space="preserve"> now carries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self.ima_register = IMACapitalRegister()</w:t>
      </w:r>
      <w:r>
        <w:rPr>
          <w:rFonts w:ascii="Arial" w:cs="Arial" w:eastAsia="Arial" w:hAnsi="Arial"/>
          <w:sz w:val="22"/>
          <w:szCs w:val="22"/>
        </w:rPr>
        <w:t xml:space="preserve"> initialised at startup.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5.2 Overall Market Risk Capital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IMA_capital = (IMCC + NMRF_charge) × 12.5        ← IMCC replaces k × ES (Fix 5b)
SBM_capital = SBM_total × 12.5
Market Risk RWA = max(IMA_capital, SBM_capital)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6. Key Bug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A — Delta Charge: IR Bond (GIRR)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Setup:</w:t>
      </w:r>
      <w:r>
        <w:rPr>
          <w:rFonts w:ascii="Arial" w:cs="Arial" w:eastAsia="Arial" w:hAnsi="Arial"/>
          <w:sz w:val="22"/>
          <w:szCs w:val="22"/>
        </w:rPr>
        <w:t xml:space="preserve"> Long $10M 5-year USD Treasury. Duration ≈ 4.5Y. Sensitivity to 5Y point: +$450,000.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WS_5Y = RW_5Y × s_5Y = 0.011 × 450,000 = $4,950
K_b (single bucket) = $4,950
Delta_GIRR = $4,950
RWA = 4,950 × 12.5 = $61,875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B — Equity Option: Delta + Vega + Curvature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Setup:</w:t>
      </w:r>
      <w:r>
        <w:rPr>
          <w:rFonts w:ascii="Arial" w:cs="Arial" w:eastAsia="Arial" w:hAnsi="Arial"/>
          <w:sz w:val="22"/>
          <w:szCs w:val="22"/>
        </w:rPr>
        <w:t xml:space="preserve"> Long AAPL call options. Bucket 5 (Large Cap Developed), RW = 30%.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WS_delta = 0.30 × 500,000 = $150,000
WS_vega  = 0.30 × 150,000 = $45,000
Curvature: Long options → positive gamma → CVR typically ≤ 0 → K_curv = 0
Total SBM = 150,000 + 45,000 + 0 = $195,000
RWA = 195,000 × 12.5 = $2,437,500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C — IMA Expected Shortfall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Setup:</w:t>
      </w:r>
      <w:r>
        <w:rPr>
          <w:rFonts w:ascii="Arial" w:cs="Arial" w:eastAsia="Arial" w:hAnsi="Arial"/>
          <w:sz w:val="22"/>
          <w:szCs w:val="22"/>
        </w:rPr>
        <w:t xml:space="preserve"> 250 scenarios. Seven worst losses (USD):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tail_count = ceil(0.025 × 250) = 7   (FIX-05; was int() → 6)
ES = (5,200,000 + 4,800,000 + 4,200,000 + 3,800,000 + 3,500,000 + 3,100,000 + 2,900,000) / 7
   = 27,500,000 / 7
   = $3,928,571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D — NMRF Charge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Setup:</w:t>
      </w:r>
      <w:r>
        <w:rPr>
          <w:rFonts w:ascii="Arial" w:cs="Arial" w:eastAsia="Arial" w:hAnsi="Arial"/>
          <w:sz w:val="22"/>
          <w:szCs w:val="22"/>
        </w:rPr>
        <w:t xml:space="preserve"> Private credit position; issuer has no CDS; only 12 dealer quotes/year → NMRF.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SSRM = Bank-estimated stressed loss from March 2020 scenario = $850,000
NMRF_capital = $850,000
NMRF_RWA     = $10,625,000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Old flat proxy (FIX-07 removed): 0.0015 × $20M = $30,000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understated by 97%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 E — Backtesting Traffic Light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 exceptions in 250 days → Yellow zone, k = 1.88.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IMA_capital = 1.88 × ES × 12.5
At 10 exceptions → Red zone → revert to SBM (regulatory floor)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P&amp;L Attribution (MAR33): Hypothetical P&amp;L must be sufficiently correlated with Risk-Theoretical P&amp;L. Failure → IMA ineligible → SBM applies.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Use Only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PROMETHEUS Risk Platform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FRTB Technical Guide</w:t>
    </w:r>
    <w:r>
      <w:rPr>
        <w:rFonts w:ascii="Arial" w:cs="Arial" w:eastAsia="Arial" w:hAnsi="Arial"/>
        <w:color w:val="666666"/>
        <w:sz w:val="18"/>
        <w:szCs w:val="18"/>
      </w:rPr>
      <w:t xml:space="preserve">  |  Version 3.8 — Apr-27-2026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2"/>
      </w:pBd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2026-04-27T08:15:02.988Z</dcterms:created>
  <dcterms:modified xsi:type="dcterms:W3CDTF">2026-04-27T08:15:02.988Z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