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PROMETHEUS RISK PLATFORM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Functional Specification Document (FSD)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Reference:</w:t>
      </w:r>
      <w:r>
        <w:rPr>
          <w:rFonts w:ascii="Arial" w:cs="Arial" w:eastAsia="Arial" w:hAnsi="Arial"/>
          <w:sz w:val="22"/>
          <w:szCs w:val="22"/>
        </w:rPr>
        <w:t xml:space="preserve"> PROMETHEUS-FSD-v1.0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Version:</w:t>
      </w:r>
      <w:r>
        <w:rPr>
          <w:rFonts w:ascii="Arial" w:cs="Arial" w:eastAsia="Arial" w:hAnsi="Arial"/>
          <w:sz w:val="22"/>
          <w:szCs w:val="22"/>
        </w:rPr>
        <w:t xml:space="preserve"> 1.0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</w:t>
      </w:r>
      <w:r>
        <w:rPr>
          <w:rFonts w:ascii="Arial" w:cs="Arial" w:eastAsia="Arial" w:hAnsi="Arial"/>
          <w:sz w:val="22"/>
          <w:szCs w:val="22"/>
        </w:rPr>
        <w:t xml:space="preserve"> April 5, 2026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Classification:</w:t>
      </w:r>
      <w:r>
        <w:rPr>
          <w:rFonts w:ascii="Arial" w:cs="Arial" w:eastAsia="Arial" w:hAnsi="Arial"/>
          <w:sz w:val="22"/>
          <w:szCs w:val="22"/>
        </w:rPr>
        <w:t xml:space="preserve"> Internal Use — Confidential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Final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</w:t>
      </w:r>
      <w:r>
        <w:rPr>
          <w:rFonts w:ascii="Arial" w:cs="Arial" w:eastAsia="Arial" w:hAnsi="Arial"/>
          <w:sz w:val="22"/>
          <w:szCs w:val="22"/>
        </w:rPr>
        <w:t xml:space="preserve"> Risk Technology — Lead Developer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Reviewed By:</w:t>
      </w:r>
      <w:r>
        <w:rPr>
          <w:rFonts w:ascii="Arial" w:cs="Arial" w:eastAsia="Arial" w:hAnsi="Arial"/>
          <w:sz w:val="22"/>
          <w:szCs w:val="22"/>
        </w:rPr>
        <w:t xml:space="preserve"> Head of Market Risk | Head of Credit Risk | Regulatory Affairs  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DOCUMENT CONTROL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Distribution List: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Chief Risk Officer · Head of Market Risk · Head of Credit Risk · Head of Treasury · Regulatory Affairs · IT Infrastructure · External Auditors (upon request)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Cycle:</w:t>
      </w:r>
      <w:r>
        <w:rPr>
          <w:rFonts w:ascii="Arial" w:cs="Arial" w:eastAsia="Arial" w:hAnsi="Arial"/>
          <w:sz w:val="22"/>
          <w:szCs w:val="22"/>
        </w:rPr>
        <w:t xml:space="preserve"> Quarterly or upon material regulatory update (BCBS standards revision, supervisory guidance)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TABLE OF CONTENTS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[Table of Contents](#table-of-contents)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[Project Description](#2-project-description)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[Project Objective](#3-project-objective)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[Components Impacted](#4-components-impacted)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[Upstream Dependencies](#5-upstream-dependencies)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[Downstream Dependencies](#6-downstream-dependencies)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[Business Requirements](#7-business-requirements)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[Functional Requirements](#8-functional-requirements)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[FR-001: SA-CCR Calculation Engine (CRE52)](#fr-001-sa-ccr-calculation-engine--standardised-approach-for-counterparty-credit-risk)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[FR-002: IMM Monte Carlo Engine (CRE53)](#fr-002-imm-monte-carlo-engine--internal-models-method)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[FR-003: A-IRB Credit Risk Engine (CRE30–36)](#fr-003-a-irb-credit-risk-engine--advanced-internal-ratings-based-approach)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[FR-004: FRTB Market Risk Engine (MAR21–33)](#fr-004-frtb-market-risk-engine--fundamental-review-of-the-trading-book)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[FR-005: CVA Risk Engine (MAR50)](#fr-005-cva-risk-engine--credit-valuation-adjustment)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[FR-006: CCP Exposure Engine (CRE54)](#fr-006-ccp-exposure-engine--central-counterparty-capital)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[FR-007: Daily Risk Orchestrator (RBC20)](#fr-007-daily-risk-orchestrator--five-part-rwa-formula)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[FR-008: Market Data Integration](#fr-008-market-data-integration)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[FR-009: Backtesting Framework (MAR99)](#fr-009-backtesting-framework--traffic-light-system)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[FR-010: Interactive Dashboard](#fr-010-interactive-dashboard)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[FR-011: Audit Trail &amp; Compliance Reporting](#fr-011-audit-trail--compliance-reporting)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[Business and Functional Workflow](#9-business-and-functional-workflow)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[System Architecture](#10-system-architecture)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[Technical Design](#11-technical-design)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[Appendix](#12-appendix)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2. PROJECT DESCRIPTION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2.1 Overview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PROMETHEUS</w:t>
      </w:r>
      <w:r>
        <w:rPr>
          <w:rFonts w:ascii="Arial" w:cs="Arial" w:eastAsia="Arial" w:hAnsi="Arial"/>
          <w:sz w:val="22"/>
          <w:szCs w:val="22"/>
        </w:rPr>
        <w:t xml:space="preserve"> is an institutional-grade, production-ready regulatory capital management platform designed for banks and financial institutions operating under the Basel III/IV framework mandated by the Basel Committee on Banking Supervision (BCBS). The platform provides a fully integrated, end-to-end solution for calculating, validating, reporting, and auditing Risk-Weighted Assets (RWA) across all six regulatory capital components — Credit Risk, Counterparty Credit Risk, Market Risk, CVA Risk, CCP Exposure, and Operational Risk.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implemented entirely in Python 3.11 and is optimised to run on commodity hardware (Apple MacBook Air M1, 8 GB RAM), demonstrating that regulatory-grade computations need not require multi-million-dollar vendor solutions. It is architected to scale to cloud deployment (Azure / AWS) as institutional demand grows.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2.2 Platform Name and Significance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name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PROMETHEUS</w:t>
      </w:r>
      <w:r>
        <w:rPr>
          <w:rFonts w:ascii="Arial" w:cs="Arial" w:eastAsia="Arial" w:hAnsi="Arial"/>
          <w:sz w:val="22"/>
          <w:szCs w:val="22"/>
        </w:rPr>
        <w:t xml:space="preserve"> is a deliberate reference to the Titan of Greek mythology who brought fire — the instrument of knowledge and power — to humanity. In the context of this platform, PROMETHEUS brings the full illuminating power of Basel III/IV regulatory mathematics to risk teams, replacing opaque vendor black boxes and manual spreadsheets with an open, auditable, and fully documented calculation engine.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2.3 Regulatory Basis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PROMETHEUS is built directly from BCBS source standards with no ambiguity or proxy interpretation. Every formula, parameter, floor, and correlation coefficient implemented in the platform can be traced to a specific paragraph of a Basel standard.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2.4 Current State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Sprint A is complete as of January 2025. The platform has achieved: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100% regulatory engine coverage</w:t>
      </w:r>
      <w:r>
        <w:rPr>
          <w:rFonts w:ascii="Arial" w:cs="Arial" w:eastAsia="Arial" w:hAnsi="Arial"/>
          <w:sz w:val="22"/>
          <w:szCs w:val="22"/>
        </w:rPr>
        <w:t xml:space="preserve"> across all six capital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48/48 validation tests passing</w:t>
      </w:r>
      <w:r>
        <w:rPr>
          <w:rFonts w:ascii="Arial" w:cs="Arial" w:eastAsia="Arial" w:hAnsi="Arial"/>
          <w:sz w:val="22"/>
          <w:szCs w:val="22"/>
        </w:rPr>
        <w:t xml:space="preserve"> at 100% pass 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type errors</w:t>
      </w:r>
      <w:r>
        <w:rPr>
          <w:rFonts w:ascii="Arial" w:cs="Arial" w:eastAsia="Arial" w:hAnsi="Arial"/>
          <w:sz w:val="22"/>
          <w:szCs w:val="22"/>
        </w:rPr>
        <w:t xml:space="preserve"> under Pylance strict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~2-minute daily risk run</w:t>
      </w:r>
      <w:r>
        <w:rPr>
          <w:rFonts w:ascii="Arial" w:cs="Arial" w:eastAsia="Arial" w:hAnsi="Arial"/>
          <w:sz w:val="22"/>
          <w:szCs w:val="22"/>
        </w:rPr>
        <w:t xml:space="preserve"> on M1 MacBook Air (vs. &lt;5-minute target)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8-page interactive dashboard</w:t>
      </w:r>
      <w:r>
        <w:rPr>
          <w:rFonts w:ascii="Arial" w:cs="Arial" w:eastAsia="Arial" w:hAnsi="Arial"/>
          <w:sz w:val="22"/>
          <w:szCs w:val="22"/>
        </w:rPr>
        <w:t xml:space="preserve"> with institutional-grade visualisation and export capabilities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audit trail</w:t>
      </w:r>
      <w:r>
        <w:rPr>
          <w:rFonts w:ascii="Arial" w:cs="Arial" w:eastAsia="Arial" w:hAnsi="Arial"/>
          <w:sz w:val="22"/>
          <w:szCs w:val="22"/>
        </w:rPr>
        <w:t xml:space="preserve"> with regulatory-traceable calculation logs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3. PROJECT OBJECTIVE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3.1 Strategic Objectives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3.2 Business Objectives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Compliance</w:t>
      </w:r>
      <w:r>
        <w:rPr>
          <w:rFonts w:ascii="Arial" w:cs="Arial" w:eastAsia="Arial" w:hAnsi="Arial"/>
          <w:sz w:val="22"/>
          <w:szCs w:val="22"/>
        </w:rPr>
        <w:t xml:space="preserve"> — Eliminate the risk of non-compliance with BCBS standards, avoiding regulatory fines and sanctions by ensuring every RWA calculation is traceable to a specific Basel paragraph.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Capital Optimisation</w:t>
      </w:r>
      <w:r>
        <w:rPr>
          <w:rFonts w:ascii="Arial" w:cs="Arial" w:eastAsia="Arial" w:hAnsi="Arial"/>
          <w:sz w:val="22"/>
          <w:szCs w:val="22"/>
        </w:rPr>
        <w:t xml:space="preserve"> — Replace conservative Standardised Approach (SA) capital estimates with precise Advanced Internal Ratings-Based (A-IRB) and Internal Models Method (IMM) calculations, reducing over-capitalisation and freeing capital for productive deployment.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Risk Reduction</w:t>
      </w:r>
      <w:r>
        <w:rPr>
          <w:rFonts w:ascii="Arial" w:cs="Arial" w:eastAsia="Arial" w:hAnsi="Arial"/>
          <w:sz w:val="22"/>
          <w:szCs w:val="22"/>
        </w:rPr>
        <w:t xml:space="preserve"> — Eliminate manual spreadsheet-based risk calculations prone to human error. Provide an automated, tested, and versioned calculation pipeline.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Transparency and Governance</w:t>
      </w:r>
      <w:r>
        <w:rPr>
          <w:rFonts w:ascii="Arial" w:cs="Arial" w:eastAsia="Arial" w:hAnsi="Arial"/>
          <w:sz w:val="22"/>
          <w:szCs w:val="22"/>
        </w:rPr>
        <w:t xml:space="preserve"> — Provide complete audit trails for all calculations, method selection decisions (e.g., IMM vs. SA-CCR fallback), and regulatory floor applications, satisfying both internal governance and external regulatory examination requirements.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Efficiency</w:t>
      </w:r>
      <w:r>
        <w:rPr>
          <w:rFonts w:ascii="Arial" w:cs="Arial" w:eastAsia="Arial" w:hAnsi="Arial"/>
          <w:sz w:val="22"/>
          <w:szCs w:val="22"/>
        </w:rPr>
        <w:t xml:space="preserve"> — Deliver enterprise-grade regulatory calculations at a fraction of the cost of commercial vendor solutions ($21K total vs. $100K–$500K/year for enterprise alternatives).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3.3 Functional Objectives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the complete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five-part RWA formula</w:t>
      </w:r>
      <w:r>
        <w:rPr>
          <w:rFonts w:ascii="Arial" w:cs="Arial" w:eastAsia="Arial" w:hAnsi="Arial"/>
          <w:sz w:val="22"/>
          <w:szCs w:val="22"/>
        </w:rPr>
        <w:t xml:space="preserve"> (RBC20.9): Credit + CCR + Market + CVA + CCP + OpRisk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output floor</w:t>
      </w:r>
      <w:r>
        <w:rPr>
          <w:rFonts w:ascii="Arial" w:cs="Arial" w:eastAsia="Arial" w:hAnsi="Arial"/>
          <w:sz w:val="22"/>
          <w:szCs w:val="22"/>
        </w:rPr>
        <w:t xml:space="preserve"> (RBC20.11): Final RWA = max(Total RWA, 72.5% × SA-based RWA)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Version 3.8 (Fix 4):</w:t>
      </w:r>
      <w:r>
        <w:rPr>
          <w:rFonts w:ascii="Arial" w:cs="Arial" w:eastAsia="Arial" w:hAnsi="Arial"/>
          <w:sz w:val="22"/>
          <w:szCs w:val="22"/>
        </w:rPr>
        <w:t xml:space="preserve"> Floor base uses SA-CCR for CCR and FRTB SBM for market risk — not IMM/IMA.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CVA RWA explicitly excluded from floor base per CAP10 FAQ1.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rwa_floor_base_sa</w:t>
      </w:r>
      <w:r>
        <w:rPr>
          <w:rFonts w:ascii="Arial" w:cs="Arial" w:eastAsia="Arial" w:hAnsi="Arial"/>
          <w:sz w:val="22"/>
          <w:szCs w:val="22"/>
        </w:rPr>
        <w:t xml:space="preserve"> exposed 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capital_summary</w:t>
      </w:r>
      <w:r>
        <w:rPr>
          <w:rFonts w:ascii="Arial" w:cs="Arial" w:eastAsia="Arial" w:hAnsi="Arial"/>
          <w:sz w:val="22"/>
          <w:szCs w:val="22"/>
        </w:rPr>
        <w:t xml:space="preserve"> dict for audit trail.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fallback logic</w:t>
      </w:r>
      <w:r>
        <w:rPr>
          <w:rFonts w:ascii="Arial" w:cs="Arial" w:eastAsia="Arial" w:hAnsi="Arial"/>
          <w:sz w:val="22"/>
          <w:szCs w:val="22"/>
        </w:rPr>
        <w:t xml:space="preserve"> with full trace codes when IMM trades revert to SA-CCR or SA-CVA reverts to BA-CVA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real-time market condition adjustments</w:t>
      </w:r>
      <w:r>
        <w:rPr>
          <w:rFonts w:ascii="Arial" w:cs="Arial" w:eastAsia="Arial" w:hAnsi="Arial"/>
          <w:sz w:val="22"/>
          <w:szCs w:val="22"/>
        </w:rPr>
        <w:t xml:space="preserve"> to risk weights and correlations via pluggable market data feeds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Streamlit-based interactive dashboard</w:t>
      </w:r>
      <w:r>
        <w:rPr>
          <w:rFonts w:ascii="Arial" w:cs="Arial" w:eastAsia="Arial" w:hAnsi="Arial"/>
          <w:sz w:val="22"/>
          <w:szCs w:val="22"/>
        </w:rPr>
        <w:t xml:space="preserve"> for risk officers, with downloadable regulatory reports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4. COMPONENTS IMPACTED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4.1 Platform Components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4.2 Infrastructure Components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4.3 Database Schemas Impacted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5. UPSTREAM DEPENDENCIES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Upstream dependencies are inputs and services that PROMETHEUS consumes in order to execute its calculations. A failure or data quality issue in any upstream dependency may degrade calculation accuracy.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5.1 Market Data Feeds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5.1.1 Market Data Cascade Logic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implements a three-tier fallback cascade to ensure availability: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Tier 1 (Primary):    Bloomberg Terminal  →  Live CDS spreads, vol surfaces
Tier 2 (Fallback):   Refinitiv / Internal Feed  →  Previous-day or interpolated data
Tier 3 (Last Resort): Static Test Data   →  Hardcoded representative values from config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cache with configurable TTL (default: 300 seconds) is maintained in memory to reduce API call frequency. The cache is implemented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MarketDataProvider._cache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CDSSpreadService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5.2 Trade and Portfolio Data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 the current Sprint A development environment, trade and portfolio data are synthetically generated by `backend/data_generators/portfolio_generator.py` and `backend/data_generators/cva_generator.py`.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5.3 Regulatory Parameter Updates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5.4 Calibration Inputs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6. DOWNSTREAM DEPENDENCIES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Downstream dependencies are systems, processes, and stakeholders that consume the outputs produced by PROMETHEUS.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6.1 Regulatory Reporting Systems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6.2 Capital Planning and Finance Systems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6.3 Risk Management Systems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6.4 Technology Consumers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7. BUSINESS REQUIREMENTS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7.1 BR-001 — Regulatory Capital Coverage (CRITICAL)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MUST calculate Risk-Weighted Assets for all regulatory components mandated by Basel III/IV. No component may be omitted, approximated beyond regulatory tolerances, or silently defaulted without an audit trace.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Credit Risk — A-IRB (CRE30–36)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Counterparty Credit Risk — SA-CCR (CRE52) and IMM (CRE53) with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Risk — FRTB SBM + IMA (MAR20–33)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CVA Risk — BA-CVA / SA-CVA (MAR50)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CCP Exposure — Qualified CCP + DFC (CRE54)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Operational Risk — OPE25 BIA stub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Floor — 72.5% SA-based floor (RBC20.11)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six engines implemented and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floor formula verified against RBC20.11 and CAP10 FAQ1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test pass rate across all regulatory formulas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7.2 BR-002 — Portfolio Management (HIGH)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MUST support comprehensive, multi-asset-class portfolio modelling for both derivative and banking book exposures.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Derivative portfolios with minimum 5 trades per netting set across IR, FX, Credit, Equity, and Commodity asset classes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Banking book portfolios with Corporate, SME, Residential Mortgage, and Revolving Credit exposure types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identifiers following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DRV-YYYY-NNN</w:t>
      </w:r>
      <w:r>
        <w:rPr>
          <w:rFonts w:ascii="Arial" w:cs="Arial" w:eastAsia="Arial" w:hAnsi="Arial"/>
          <w:sz w:val="22"/>
          <w:szCs w:val="22"/>
        </w:rPr>
        <w:t xml:space="preserve"> (derivatives) and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BBK-YYYY-NNN</w:t>
      </w:r>
      <w:r>
        <w:rPr>
          <w:rFonts w:ascii="Arial" w:cs="Arial" w:eastAsia="Arial" w:hAnsi="Arial"/>
          <w:sz w:val="22"/>
          <w:szCs w:val="22"/>
        </w:rPr>
        <w:t xml:space="preserve"> (banking book) conventions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CSA parameters (IM, VM, Threshold, MTA, MPOR) modelled per netting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Day-on-day portfolio tracking for regulatory consistency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7.3 BR-003 — Backtesting and Model Validation (CRITICAL)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MUST implement regulatory backtesting under the MAR99 traffic-light framework.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250-day rolling backtesting window comparing P&amp;L against model VaR/ES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Traffic-light system: Green (0–4 exceptions), Amber (5–9), Red (≥10)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Spearman rank correlation test (ρ ≥ 0.50) and Kolmogorov-Smirnov test (p-value ≥ 0.05)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Percentage Liquidity Adequacy (PLA) test per MAR32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breach alerting and logging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7.4 BR-004 — Real-Time Market Data Integration (HIGH)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MUST support dynamic market data feeds from industry-standard providers with intelligent fallback logic.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sources: Bloomberg Terminal API, Refinitiv/LSEG Eikon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Secondary source: Internal proprietary feeds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Last-resort: Static configuration-driven defaults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In-memory cache with configurable TTL (default 300 seconds)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parameter adjustment (risk weights, correlations) based on real-time VIX, spreads, and volatility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7.5 BR-005 — Interactive Dashboard (MEDIUM)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MUST provide a web-based, interactive visualisation and reporting dashboard accessible to risk officers without programming expertise.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 functional pages: Overview, Derivative Risk, Banking Book, Backtesting, Capital Planning, Reports, Settings, Documentation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Institutional-grade visual design with export to xlsx/csv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data refresh capability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layout for desktop and tablet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7.6 BR-006 — Audit Trail and Compliance Reporting (CRITICAL)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MUST maintain immutable, complete audit logs for all calculations, method selections, fallback applications, and user actions.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INFO-level logs for all calculations with timestamps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WARNING/ERROR logs for all exceptions (floor applications, fallbacks, backtesting breaches)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trace codes embedded in trade objects (format: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FALLBACK|trade_id|reason_code|description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Regulatory export templates compatible with Basel Pillar 3 disclosure formats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schema with four immutable tables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7.7 BR-007 — Performance and Scalability (HIGH)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MUST complete a full daily risk run within acceptable time limits on target hardware.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daily run: &lt; 5 minutes on M1 MacBook Air 8 GB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Monte Carlo simulation: 2,000 scenarios × 52 weekly time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refresh: &lt; 3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generation: &lt; 10 seconds for 50 portfolios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100+ derivative portfolios and 200+ banking book portfolios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8. FUNCTIONAL REQUIREMENTS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FR-001: SA-CCR Calculation Engine — Standardised Approach for Counterparty Credit Risk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 Standard:</w:t>
      </w:r>
      <w:r>
        <w:rPr>
          <w:rFonts w:ascii="Arial" w:cs="Arial" w:eastAsia="Arial" w:hAnsi="Arial"/>
          <w:sz w:val="22"/>
          <w:szCs w:val="22"/>
        </w:rPr>
        <w:t xml:space="preserve"> CRE52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CRITICAL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Credit Risk Team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backend/engines/sa_ccr.py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SA-CCR is the default regulatory approach for calculating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Exposure at Default (EAD)</w:t>
      </w:r>
      <w:r>
        <w:rPr>
          <w:rFonts w:ascii="Arial" w:cs="Arial" w:eastAsia="Arial" w:hAnsi="Arial"/>
          <w:sz w:val="22"/>
          <w:szCs w:val="22"/>
        </w:rPr>
        <w:t xml:space="preserve"> on derivative portfolios. It is required for all counterparty credit risk exposures and serves as the mandatory floor for the Internal Models Method (IMM). The use case is: given a set of trades in a netting set with associated CSA collateral terms, calculate the regulatory EAD that feeds into the CCR RWA component of the five-part RWA formula.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SA-CCR is also used for: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Counterparties not eligible for IMM treatment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 floor enforcement (EAD_IMM ≥ 50% × EAD_SA-CCR per CRE53.5)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CVA calculation inputs (EAD into the BA-CVA formula)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CCP exposure calculation (cleared derivatives under CRE54)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8.1.2 Basel Context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SA-CCR was introduced under CRE52 (effective January 2023) as the replacement for both the Current Exposure Method (CEM) and the Standardised Method (SM). Key design principles from the BCBS: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Risk-sensitivity:</w:t>
      </w:r>
      <w:r>
        <w:rPr>
          <w:rFonts w:ascii="Arial" w:cs="Arial" w:eastAsia="Arial" w:hAnsi="Arial"/>
          <w:sz w:val="22"/>
          <w:szCs w:val="22"/>
        </w:rPr>
        <w:t xml:space="preserve"> SA-CCR is more sensitive to netting, collateral, and hedging than CEM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Simplicity vs. accuracy:</w:t>
      </w:r>
      <w:r>
        <w:rPr>
          <w:rFonts w:ascii="Arial" w:cs="Arial" w:eastAsia="Arial" w:hAnsi="Arial"/>
          <w:sz w:val="22"/>
          <w:szCs w:val="22"/>
        </w:rPr>
        <w:t xml:space="preserve"> More complex than CEM but simpler than full IMM simulation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Mandatory floor:</w:t>
      </w:r>
      <w:r>
        <w:rPr>
          <w:rFonts w:ascii="Arial" w:cs="Arial" w:eastAsia="Arial" w:hAnsi="Arial"/>
          <w:sz w:val="22"/>
          <w:szCs w:val="22"/>
        </w:rPr>
        <w:t xml:space="preserve"> Prevents IMM from producing EAD below 50% of SA-CCR, ensuring a regulatory minimum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Supervisory parameters:</w:t>
      </w:r>
      <w:r>
        <w:rPr>
          <w:rFonts w:ascii="Arial" w:cs="Arial" w:eastAsia="Arial" w:hAnsi="Arial"/>
          <w:sz w:val="22"/>
          <w:szCs w:val="22"/>
        </w:rPr>
        <w:t xml:space="preserve"> Risk weights (supervisory factors, SF) are prescribed centrally by BCBS to prevent model risk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alpha multiplier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1.4</w:t>
      </w:r>
      <w:r>
        <w:rPr>
          <w:rFonts w:ascii="Arial" w:cs="Arial" w:eastAsia="Arial" w:hAnsi="Arial"/>
          <w:sz w:val="22"/>
          <w:szCs w:val="22"/>
        </w:rPr>
        <w:t xml:space="preserve"> (CRE52.7) reflects the BCBS's recognition that EE-based measures understate true economic exposure due to portfolio complexity, correlation risk, and wrong-way risk.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8.1.3 Functional Objective of Calculations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SA-CCR engine computes EAD through three sequential components: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Replacement Cost (RC):</w:t>
      </w:r>
      <w:r>
        <w:rPr>
          <w:rFonts w:ascii="Arial" w:cs="Arial" w:eastAsia="Arial" w:hAnsi="Arial"/>
          <w:sz w:val="22"/>
          <w:szCs w:val="22"/>
        </w:rPr>
        <w:t xml:space="preserve"> CRE52.12–22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Measures the immediate loss if the counterparty were to default today, accounting for current MTM value of the portfolio and collateral already posted.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$$\text{RC} = \max\left(V - C,\ TH + MTA - NICA,\ 0\right)$$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Potential Future Exposure (PFE) Multiplier:</w:t>
      </w:r>
      <w:r>
        <w:rPr>
          <w:rFonts w:ascii="Arial" w:cs="Arial" w:eastAsia="Arial" w:hAnsi="Arial"/>
          <w:sz w:val="22"/>
          <w:szCs w:val="22"/>
        </w:rPr>
        <w:t xml:space="preserve"> CRE52.23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Captures the likelihood that the exposure could grow beyond RC before a default is resolved. It modulates the Add-On based on the current over- or under-collateralisation of the portfolio.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$$\text{mult} = \min\left(1,\ \text{Floor} + (1 - \text{Floor}) \cdot e^{\frac{V}{2(1 - \text{Floor}) \cdot \text{AddOn}_\text{agg}}}\right)$$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Aggregate Add-On:</w:t>
      </w:r>
      <w:r>
        <w:rPr>
          <w:rFonts w:ascii="Arial" w:cs="Arial" w:eastAsia="Arial" w:hAnsi="Arial"/>
          <w:sz w:val="22"/>
          <w:szCs w:val="22"/>
        </w:rPr>
        <w:t xml:space="preserve"> CRE52.24–75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Add-On captures potential future exposure over the MPOR, aggregated across five asset classes. For each asset class: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$$\text{AddOn}_\text{AC} = \sum_{\text{hedging set}}\text{EffNotional}_k \times SF_k$$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EAD:</w:t>
      </w:r>
      <w:r>
        <w:rPr>
          <w:rFonts w:ascii="Arial" w:cs="Arial" w:eastAsia="Arial" w:hAnsi="Arial"/>
          <w:sz w:val="22"/>
          <w:szCs w:val="22"/>
        </w:rPr>
        <w:t xml:space="preserve"> CRE52.7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$$\text{EAD} = \alpha \cdot (\text{RC} + \text{mult} \cdot \text{AddOn}_\text{agg}), \quad \alpha = 1.4$$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8.1.4 Parameter Significance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8.1.5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EAD calculation matches BCBS CRE52 worked examples within 0.01% tolerance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five asset classes (IR, FX, EQ, Credit, CMDTY) produce non-negative Add-Ons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 eligibility check returns correct trace code for ineligible trades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Regulatory floor (EAD_IMM ≥ 50% × EAD_SA-CCR) is enforced with logged fallback trace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12/12 SA-CCR unit tests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tests/test_engines.py</w:t>
      </w:r>
      <w:r>
        <w:rPr>
          <w:rFonts w:ascii="Arial" w:cs="Arial" w:eastAsia="Arial" w:hAnsi="Arial"/>
          <w:sz w:val="22"/>
          <w:szCs w:val="22"/>
        </w:rPr>
        <w:t xml:space="preserve"> pass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FR-002: IMM Monte Carlo Engine — Internal Models Method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 Standard:</w:t>
      </w:r>
      <w:r>
        <w:rPr>
          <w:rFonts w:ascii="Arial" w:cs="Arial" w:eastAsia="Arial" w:hAnsi="Arial"/>
          <w:sz w:val="22"/>
          <w:szCs w:val="22"/>
        </w:rPr>
        <w:t xml:space="preserve"> CRE53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HIGH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Quantitative Risk Team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backend/engines/imm.py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8.2.1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IMM engine provides a more risk-sensitive alternative to SA-CCR for eligible derivative trades. Using Monte Carlo simulation, it models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Effective Expected Positive Exposure (EEPE)</w:t>
      </w:r>
      <w:r>
        <w:rPr>
          <w:rFonts w:ascii="Arial" w:cs="Arial" w:eastAsia="Arial" w:hAnsi="Arial"/>
          <w:sz w:val="22"/>
          <w:szCs w:val="22"/>
        </w:rPr>
        <w:t xml:space="preserve"> under both normal and stressed market conditions. Banks with supervisory approval may use IMM to calculate EAD, typically achieving 20–40% reduction in CCR RWA compared to SA-CCR, subject to the regulatory floor.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IMM is also the source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exposure profiles</w:t>
      </w:r>
      <w:r>
        <w:rPr>
          <w:rFonts w:ascii="Arial" w:cs="Arial" w:eastAsia="Arial" w:hAnsi="Arial"/>
          <w:sz w:val="22"/>
          <w:szCs w:val="22"/>
        </w:rPr>
        <w:t xml:space="preserve"> (EE, EEPE, PFE) for CVA desk risk management and for dynamic collateral modelling under CSA terms.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8.2.2 Basel Context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CRE53 permits approved banks to use an internal model for counterparty credit exposure rather than the standardised SA-CCR. The core BCBS requirements are: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2,000+ simulation scenarios</w:t>
      </w:r>
      <w:r>
        <w:rPr>
          <w:rFonts w:ascii="Arial" w:cs="Arial" w:eastAsia="Arial" w:hAnsi="Arial"/>
          <w:sz w:val="22"/>
          <w:szCs w:val="22"/>
        </w:rPr>
        <w:t xml:space="preserve"> for statistical robustness (PROMETHEUS uses 2,000 for M1 hardware compatibility)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Stressed EEPE</w:t>
      </w:r>
      <w:r>
        <w:rPr>
          <w:rFonts w:ascii="Arial" w:cs="Arial" w:eastAsia="Arial" w:hAnsi="Arial"/>
          <w:sz w:val="22"/>
          <w:szCs w:val="22"/>
        </w:rPr>
        <w:t xml:space="preserve"> calibrated to a 1-year stress period (2007–2009 financial crisis) to prevent pro-cyclicality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floor:</w:t>
      </w:r>
      <w:r>
        <w:rPr>
          <w:rFonts w:ascii="Arial" w:cs="Arial" w:eastAsia="Arial" w:hAnsi="Arial"/>
          <w:sz w:val="22"/>
          <w:szCs w:val="22"/>
        </w:rPr>
        <w:t xml:space="preserve"> EAD_IMM ≥ 50% × EAD_SA-CCR (CRE53.5) — prevents IMM from being used to game capital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CSA path-level modelling:</w:t>
      </w:r>
      <w:r>
        <w:rPr>
          <w:rFonts w:ascii="Arial" w:cs="Arial" w:eastAsia="Arial" w:hAnsi="Arial"/>
          <w:sz w:val="22"/>
          <w:szCs w:val="22"/>
        </w:rPr>
        <w:t xml:space="preserve"> Collateral must be modelled at the path level, not post-hoc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 multiplier of 1.4</w:t>
      </w:r>
      <w:r>
        <w:rPr>
          <w:rFonts w:ascii="Arial" w:cs="Arial" w:eastAsia="Arial" w:hAnsi="Arial"/>
          <w:sz w:val="22"/>
          <w:szCs w:val="22"/>
        </w:rPr>
        <w:t xml:space="preserve"> applies equally to IMM EAD (CRE53.6)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8.2.3 Functional Objective of Calculations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Risk Factor Path Generation (GBM / Hull-White):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equity and FX (Geometric Brownian Motion):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$$S(t+\Delta t) = S(t) \cdot \exp\left[\left(\mu - \frac{\sigma^2}{2}\right)\Delta t + \sigma\sqrt{\Delta t}\,Z\right]$$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interest rates (Hull-White 1-Factor):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$$dr(t) = \kappa\,[\theta - r(t)]\,dt + \sigma_r\,dW(t)$$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Antithetic variance reduction doubles effective scenario count: for each random vector Z, −Z is also simulated.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Portfolio Revaluation: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$$\text{NPV}[t, \text{scenario}] = \sum_k \text{TradeValue}_k(t, \text{scenario})$$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CSA-Adjusted Exposure: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$$\text{Exposure}[t, s] = \max\left(\text{NPV}[t,s] - \text{Collateral}[t,s],\ 0\right)$$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Expected Exposure and EEPE: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$$\text{EE}(t) = \frac{1}{N}\sum_{s=1}^{N} \text{Exposure}[t, s]$$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$$\text{EEE}(t) = \max_{u \leq t} \text{EE}(u) \quad \text{(non-decreasing constraint)}$$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$$\text{EEPE} = \frac{1}{T_1}\int_0^{T_1} \text{EEE}(t)\,dt \approx \frac{1}{T}\sum_{t=1}^{T}\text{EEE}(t)$$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EAD: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$$\text{EAD}_\text{IMM} = \alpha \cdot \text{EEPE}, \quad \alpha = 1.4$$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Stressed EEPE: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Paths are generated using volatility parameters calibrated to the 2007–2009 window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stressed_vol ≈ 40%</w:t>
      </w:r>
      <w:r>
        <w:rPr>
          <w:rFonts w:ascii="Arial" w:cs="Arial" w:eastAsia="Arial" w:hAnsi="Arial"/>
          <w:sz w:val="22"/>
          <w:szCs w:val="22"/>
        </w:rPr>
        <w:t xml:space="preserve"> vs.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vol ≈ 20%</w:t>
      </w:r>
      <w:r>
        <w:rPr>
          <w:rFonts w:ascii="Arial" w:cs="Arial" w:eastAsia="Arial" w:hAnsi="Arial"/>
          <w:sz w:val="22"/>
          <w:szCs w:val="22"/>
        </w:rPr>
        <w:t xml:space="preserve"> normal), producing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EAD_stressed = α × EEPE_stressed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8.2.4 Parameter Significance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8.2.5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EEPE convergence: variance of EEPE &lt; 1% between 2,000 and 10,000 scenario runs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Stressed EAD consistently exceeds normal EAD (confirms crisis calibration is binding)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CSA-adjusted EAD &lt; uncollateralised EAD (confirms collateral benefit is captured)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 floor check: EAD_IMM_CSA &lt; 50% × EAD_SA-CCR triggers FALLBACK trace code logged with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REGULATORY_FLOOR|CRE53.5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8/8 IMM unit tests pass including GBM, Hull-White, CSA path-level modelling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FR-003: A-IRB Credit Risk Engine — Advanced Internal Ratings-Based Approach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 Standard:</w:t>
      </w:r>
      <w:r>
        <w:rPr>
          <w:rFonts w:ascii="Arial" w:cs="Arial" w:eastAsia="Arial" w:hAnsi="Arial"/>
          <w:sz w:val="22"/>
          <w:szCs w:val="22"/>
        </w:rPr>
        <w:t xml:space="preserve"> CRE30–36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CRITICAL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Credit Risk Team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backend/engines/a_irb.py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8.3.1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A-IRB engine calculates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Credit RWA</w:t>
      </w:r>
      <w:r>
        <w:rPr>
          <w:rFonts w:ascii="Arial" w:cs="Arial" w:eastAsia="Arial" w:hAnsi="Arial"/>
          <w:sz w:val="22"/>
          <w:szCs w:val="22"/>
        </w:rPr>
        <w:t xml:space="preserve"> for the banking book — loans, revolving facilities, mortgages, and other non-traded credit exposures. By using the bank's own internal estimates of PD, LGD, and EAD (subject to regulatory floors), A-IRB produces significantly more risk-sensitive capital requirements than the Credit Standardised Approach (CSA), typically reducing credit RWA by 25–40% for well-rated portfolios.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engine also supports: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Double-default treatment</w:t>
      </w:r>
      <w:r>
        <w:rPr>
          <w:rFonts w:ascii="Arial" w:cs="Arial" w:eastAsia="Arial" w:hAnsi="Arial"/>
          <w:sz w:val="22"/>
          <w:szCs w:val="22"/>
        </w:rPr>
        <w:t xml:space="preserve"> for CDS-protected exposures (CRE22), reducing capital for guaranteed credit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shortfall calculation</w:t>
      </w:r>
      <w:r>
        <w:rPr>
          <w:rFonts w:ascii="Arial" w:cs="Arial" w:eastAsia="Arial" w:hAnsi="Arial"/>
          <w:sz w:val="22"/>
          <w:szCs w:val="22"/>
        </w:rPr>
        <w:t xml:space="preserve"> (CRE35): if EL &gt; provisions, the shortfall deducts from CET1 capital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SME adjustment</w:t>
      </w:r>
      <w:r>
        <w:rPr>
          <w:rFonts w:ascii="Arial" w:cs="Arial" w:eastAsia="Arial" w:hAnsi="Arial"/>
          <w:sz w:val="22"/>
          <w:szCs w:val="22"/>
        </w:rPr>
        <w:t xml:space="preserve">: lower correlation for SME obligors (CRE31.9), reducing SME capital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Sector-based correlation adjustments</w:t>
      </w:r>
      <w:r>
        <w:rPr>
          <w:rFonts w:ascii="Arial" w:cs="Arial" w:eastAsia="Arial" w:hAnsi="Arial"/>
          <w:sz w:val="22"/>
          <w:szCs w:val="22"/>
        </w:rPr>
        <w:t xml:space="preserve"> for Financials, Real Estate, Retail, and other sectors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8.3.2 Basel Context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A-IRB approach under CRE31 is built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Asymptotic Single Risk Factor (ASRF)</w:t>
      </w:r>
      <w:r>
        <w:rPr>
          <w:rFonts w:ascii="Arial" w:cs="Arial" w:eastAsia="Arial" w:hAnsi="Arial"/>
          <w:sz w:val="22"/>
          <w:szCs w:val="22"/>
        </w:rPr>
        <w:t xml:space="preserve"> model. The key assumptions are: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systematic risk derives from a single global factor (the state of the economy)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Idiosyncratic risk diversifies away in large portfolios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Correlations between borrowers are driven by their common exposure to the economic factor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model yields a closed-form capital formula, but at the cost of requiring banks to estimate PD and LGD with statistical rigour subject 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 floor:</w:t>
      </w:r>
      <w:r>
        <w:rPr>
          <w:rFonts w:ascii="Arial" w:cs="Arial" w:eastAsia="Arial" w:hAnsi="Arial"/>
          <w:sz w:val="22"/>
          <w:szCs w:val="22"/>
        </w:rPr>
        <w:t xml:space="preserve"> 0.03% (3 basis points) — CRE31.4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LGD floor (unsecured):</w:t>
      </w:r>
      <w:r>
        <w:rPr>
          <w:rFonts w:ascii="Arial" w:cs="Arial" w:eastAsia="Arial" w:hAnsi="Arial"/>
          <w:sz w:val="22"/>
          <w:szCs w:val="22"/>
        </w:rPr>
        <w:t xml:space="preserve"> 25% — CRE32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Maturity floor/cap:</w:t>
      </w:r>
      <w:r>
        <w:rPr>
          <w:rFonts w:ascii="Arial" w:cs="Arial" w:eastAsia="Arial" w:hAnsi="Arial"/>
          <w:sz w:val="22"/>
          <w:szCs w:val="22"/>
        </w:rPr>
        <w:t xml:space="preserve"> 1 year to 5 years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8.3.3 Functional Objective of Calculations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Apply Regulatory Floors: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$$PD_\text{adj} = \max(PD,\ 0.0003)$$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$$LGD_\text{adj} = \max(LGD,\ 0.25) \quad \text{(unsecured)}$$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Asset Correlation (CRE31.3):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$$R = 0.12 \cdot \frac{1 - e^{-50 \cdot PD}}{1 - e^{-50}} + 0.24 \cdot \left[1 - \frac{1 - e^{-50 \cdot PD}}{1 - e^{-50}}\right]$$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SME adjustment (if sales &lt; €50M):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$$R_\text{SME} = R - 0.04 \cdot \left(1 - \frac{S - 5}{45}\right)$$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Maturity Adjustment (CRE31.7):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$$b = (0.11852 - 0.05478 \cdot \ln PD)^2$$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$$M_\text{adj} = \min(\max(M,\ 1.0),\ 5.0)$$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$$\text{MA} = \frac{1 + (M_\text{adj} - 2.5) \cdot b}{1 - 1.5 \cdot b}$$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Capital Requirement (K):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$$K = \left[LGD \cdot \Phi\!\left(\frac{\Phi^{-1}(PD)}{\sqrt{1 - R}} + \sqrt{\frac{R}{1-R}}\,\Phi^{-1}(0.999)\right) - PD \cdot LGD\right] \cdot \text{MA}$$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RWA: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$$\text{RWA} = K \times 12.5 \times \text{EAD}$$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Expected Loss (EL) Shortfall (CRE35):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$$\text{EL} = PD \times LGD \times \text{EAD}$$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$$\text{Shortfall} = \max(\sum \text{EL} - \text{Provisions},\ 0)$$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8.3.4 Parameter Significance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8.3.5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requirement K matches Basel CRE31 formula output within numerical precision (&lt; 0.001%)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SME adjustment correctly reduces RWA for eligible obligors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Double-default K is strictly less than single-name K for the same exposure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shortfall correctly triggers CET1 deduction when shortfall &gt;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 and LGD floor flags are recorded for each exposure in the trade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10/10 A-IRB unit tests covering corporate, SME, secured, unsecured, and double-default pass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FR-004: FRTB Market Risk Engine — Fundamental Review of the Trading Book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 Standard:</w:t>
      </w:r>
      <w:r>
        <w:rPr>
          <w:rFonts w:ascii="Arial" w:cs="Arial" w:eastAsia="Arial" w:hAnsi="Arial"/>
          <w:sz w:val="22"/>
          <w:szCs w:val="22"/>
        </w:rPr>
        <w:t xml:space="preserve"> MAR20–33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CRITICAL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Market Risk Team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backend/engines/frtb.py</w:t>
      </w:r>
      <w:r>
        <w:rPr>
          <w:rFonts w:ascii="Arial" w:cs="Arial" w:eastAsia="Arial" w:hAnsi="Arial"/>
          <w:sz w:val="22"/>
          <w:szCs w:val="22"/>
        </w:rPr>
        <w:t xml:space="preserve"> (1,710 lines)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8.4.1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FRTB engine calculates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Market Risk Capital</w:t>
      </w:r>
      <w:r>
        <w:rPr>
          <w:rFonts w:ascii="Arial" w:cs="Arial" w:eastAsia="Arial" w:hAnsi="Arial"/>
          <w:sz w:val="22"/>
          <w:szCs w:val="22"/>
        </w:rPr>
        <w:t xml:space="preserve"> for the trading book. It implements both the Sensitivities-Based Method (SBM) and the Internal Models Approach (IMA) per MAR21–33, along with the Default Risk Charge (DRC), Residual Risk Add-On (RRAO), and a full backtesting framework under MAR99.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engine applies across all major risk classes: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GIRR:</w:t>
      </w:r>
      <w:r>
        <w:rPr>
          <w:rFonts w:ascii="Arial" w:cs="Arial" w:eastAsia="Arial" w:hAnsi="Arial"/>
          <w:sz w:val="22"/>
          <w:szCs w:val="22"/>
        </w:rPr>
        <w:t xml:space="preserve"> General Interest Rate Risk (tenor-based sensitivity)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CSR_NS:</w:t>
      </w:r>
      <w:r>
        <w:rPr>
          <w:rFonts w:ascii="Arial" w:cs="Arial" w:eastAsia="Arial" w:hAnsi="Arial"/>
          <w:sz w:val="22"/>
          <w:szCs w:val="22"/>
        </w:rPr>
        <w:t xml:space="preserve"> Credit Spread Risk — Non-Securitised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CSR_SEC:</w:t>
      </w:r>
      <w:r>
        <w:rPr>
          <w:rFonts w:ascii="Arial" w:cs="Arial" w:eastAsia="Arial" w:hAnsi="Arial"/>
          <w:sz w:val="22"/>
          <w:szCs w:val="22"/>
        </w:rPr>
        <w:t xml:space="preserve"> Credit Spread Risk — Securitised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EQ:</w:t>
      </w:r>
      <w:r>
        <w:rPr>
          <w:rFonts w:ascii="Arial" w:cs="Arial" w:eastAsia="Arial" w:hAnsi="Arial"/>
          <w:sz w:val="22"/>
          <w:szCs w:val="22"/>
        </w:rPr>
        <w:t xml:space="preserve"> Equity Risk (large-cap and small-cap)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FX:</w:t>
      </w:r>
      <w:r>
        <w:rPr>
          <w:rFonts w:ascii="Arial" w:cs="Arial" w:eastAsia="Arial" w:hAnsi="Arial"/>
          <w:sz w:val="22"/>
          <w:szCs w:val="22"/>
        </w:rPr>
        <w:t xml:space="preserve"> Foreign Exchange 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CMDTY:</w:t>
      </w:r>
      <w:r>
        <w:rPr>
          <w:rFonts w:ascii="Arial" w:cs="Arial" w:eastAsia="Arial" w:hAnsi="Arial"/>
          <w:sz w:val="22"/>
          <w:szCs w:val="22"/>
        </w:rPr>
        <w:t xml:space="preserve"> Commodity Risk (energy, metals, agriculture, other)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engine also features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real-time market condition integration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MarketRegime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DynamicParameterAdjustment</w:t>
      </w:r>
      <w:r>
        <w:rPr>
          <w:rFonts w:ascii="Arial" w:cs="Arial" w:eastAsia="Arial" w:hAnsi="Arial"/>
          <w:sz w:val="22"/>
          <w:szCs w:val="22"/>
        </w:rPr>
        <w:t xml:space="preserve">) that scales risk weights and correlations based on live VIX, HY spreads, and equity volatility — implementing a counter-cyclical buffer directly in the risk weight calculus.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8.4.2 Basel Context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FRTB (Fundamental Review of the Trading Book) was introduced by BCBS in response to the Global Financial Crisis (2007–09), during which the pre-existing market risk framework (based on Value-at-Risk) proved inadequate. Key FRTB design principles: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Shortfall (ES) replaces VaR</w:t>
      </w:r>
      <w:r>
        <w:rPr>
          <w:rFonts w:ascii="Arial" w:cs="Arial" w:eastAsia="Arial" w:hAnsi="Arial"/>
          <w:sz w:val="22"/>
          <w:szCs w:val="22"/>
        </w:rPr>
        <w:t xml:space="preserve"> — ES is a coherent risk measure that captures tail risk beyond VaR; used at 97.5% confidence for 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Sensitivities-based SBM</w:t>
      </w:r>
      <w:r>
        <w:rPr>
          <w:rFonts w:ascii="Arial" w:cs="Arial" w:eastAsia="Arial" w:hAnsi="Arial"/>
          <w:sz w:val="22"/>
          <w:szCs w:val="22"/>
        </w:rPr>
        <w:t xml:space="preserve"> replaces the original SA market risk approach — provides more granular, risk-sensitive capital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Desk-level IMA approval</w:t>
      </w:r>
      <w:r>
        <w:rPr>
          <w:rFonts w:ascii="Arial" w:cs="Arial" w:eastAsia="Arial" w:hAnsi="Arial"/>
          <w:sz w:val="22"/>
          <w:szCs w:val="22"/>
        </w:rPr>
        <w:t xml:space="preserve"> — the regulator approves individual trading desks, not the entire book; desks failing the PLA test revert to SBM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correlation scenarios</w:t>
      </w:r>
      <w:r>
        <w:rPr>
          <w:rFonts w:ascii="Arial" w:cs="Arial" w:eastAsia="Arial" w:hAnsi="Arial"/>
          <w:sz w:val="22"/>
          <w:szCs w:val="22"/>
        </w:rPr>
        <w:t xml:space="preserve"> — SBM is computed under low, medium, and high correlation scenarios and the worst case is taken; prevents correlation arbitrage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Liquidity horizons</w:t>
      </w:r>
      <w:r>
        <w:rPr>
          <w:rFonts w:ascii="Arial" w:cs="Arial" w:eastAsia="Arial" w:hAnsi="Arial"/>
          <w:sz w:val="22"/>
          <w:szCs w:val="22"/>
        </w:rPr>
        <w:t xml:space="preserve"> — different risk factors are assigned different liquidity horizons (10–120 days) reflecting how long it takes to exit positions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8.4.3 Functional Objective of Calculations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#### A. Sensitivities-Based Method (SBM) — MAR21–25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Weighted Sensitivity: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$$WS_k = RW_k \times s_k$$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Intra-bucket aggregation (Delta per risk class and bucket b):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$$K_b = \sqrt{\sum_k WS_k^2 + \sum_{k \neq l} \rho_{kl} \cdot WS_k \cdot WS_l}$$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Inter-bucket aggregation (across buckets within risk class):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$$\Delta = \sqrt{\sum_b K_b^2 + \sum_{b \neq c} \gamma_{bc} \cdot K_b \cdot K_c}$$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Floor (MAR21.100):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$$\text{SBM}_\text{delta} = \max\!\left(\Delta,\; \sum_k |WS_k|\right)$$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correlation scenarios (MAR21.6):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Low:</w:t>
      </w:r>
      <w:r>
        <w:rPr>
          <w:rFonts w:ascii="Arial" w:cs="Arial" w:eastAsia="Arial" w:hAnsi="Arial"/>
          <w:sz w:val="22"/>
          <w:szCs w:val="22"/>
        </w:rPr>
        <w:t xml:space="preserve"> $\rho_\text{low} = \max(2\rho - 1,\; 0.5625\rho,\; 0)$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Medium:</w:t>
      </w:r>
      <w:r>
        <w:rPr>
          <w:rFonts w:ascii="Arial" w:cs="Arial" w:eastAsia="Arial" w:hAnsi="Arial"/>
          <w:sz w:val="22"/>
          <w:szCs w:val="22"/>
        </w:rPr>
        <w:t xml:space="preserve"> $\rho_\text{med} = \rho$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High:</w:t>
      </w:r>
      <w:r>
        <w:rPr>
          <w:rFonts w:ascii="Arial" w:cs="Arial" w:eastAsia="Arial" w:hAnsi="Arial"/>
          <w:sz w:val="22"/>
          <w:szCs w:val="22"/>
        </w:rPr>
        <w:t xml:space="preserve"> $\rho_\text{high} = \min(\rho + 0.25(1 - |\rho|),\; 1)$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capital charge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maximum</w:t>
      </w:r>
      <w:r>
        <w:rPr>
          <w:rFonts w:ascii="Arial" w:cs="Arial" w:eastAsia="Arial" w:hAnsi="Arial"/>
          <w:sz w:val="22"/>
          <w:szCs w:val="22"/>
        </w:rPr>
        <w:t xml:space="preserve"> across all three scenarios.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SBM: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$$\text{SBM}_\text{total} = \text{SBM}_\text{delta} + \text{SBM}_\text{vega} + \text{SBM}_\text{curvature}$$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#### B. Internal Models Approach (IMA) — MAR33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Shortfall: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$$\text{ES}_{97.5\%} = -\text{Percentile}(\text{P\&amp;L},\; 2.5\%)$$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Liquidity Horizon Adjustment (MAR33.4):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$$\text{ES}_{10d} = \text{ES}_{1d} \times \sqrt{10}$$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Stressed ES Calibration: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$$\text{ES}_\text{stressed} = \text{ES from the worst 12-month window in 2007–2009 data}$$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IMA: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$$\text{IMA} = \max(\text{ES}_{10d},\; \text{ES}_\text{stressed})$$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#### C. Default Risk Charge (DRC) — MAR22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$$\text{DRC} = \sum_i \text{LGD}_i \times \text{Notional}_i \times P(\text{JTD}_i)$$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Jump-to-Default probability applies regulatory net long/short positions across rating buckets.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#### D. Residual Risk Add-On (RRAO) — MAR23.5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$$\text{RRAO} = 1.0\% \times N_\text{exotic} + 0.1\% \times N_\text{residual}$$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$N_\text{exotic}$ is total gross notional of instruments with exotic underlyings, and $N_\text{residual}$ is gross notional with gap/correlation/behavioural risk.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#### E. Total Market Risk Capital: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$$\text{Capital}_\text{market} = \text{SBM}_\text{total} + \text{IMA} + \text{DRC} + \text{RRAO}$$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$$\text{RWA}_\text{market} = \text{Capital}_\text{market} \times 12.5$$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8.4.4 Parameter Significance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8.4.5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SBM delta charge is non-negative and passes the regulatory floor (MAR21.100)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Three-scenario correlation framework produces the maximum-charge scenario as the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 ES correctly identifies the worst 2.5th percentile of the 260-day P&amp;L distribution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Stressed ES &gt; current ES (confirms stressed calibration is more severe)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GIRR intra-bucket correlations follow the tenor-gap exponential decay formula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Backtesting traffic-light zone is correctly classified (Green/Amber/Red) based on exception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 test zone (MAR32) is computed and surfaced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FRTBResult.pla_zone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market condition adjustment scales risk weights upward during VIX &gt; 40 (crisis regime)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6/6 SBM/IMA/DRC unit tests pass; zero type errors under Pylance strict mode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FR-005: CVA Risk Engine — Credit Valuation Adjustment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 Standard:</w:t>
      </w:r>
      <w:r>
        <w:rPr>
          <w:rFonts w:ascii="Arial" w:cs="Arial" w:eastAsia="Arial" w:hAnsi="Arial"/>
          <w:sz w:val="22"/>
          <w:szCs w:val="22"/>
        </w:rPr>
        <w:t xml:space="preserve"> MAR50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HIGH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CVA Desk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backend/engines/cva.py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8.5.1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CVA Risk engine calculates regulatory capital against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CVA Volatility Risk</w:t>
      </w:r>
      <w:r>
        <w:rPr>
          <w:rFonts w:ascii="Arial" w:cs="Arial" w:eastAsia="Arial" w:hAnsi="Arial"/>
          <w:sz w:val="22"/>
          <w:szCs w:val="22"/>
        </w:rPr>
        <w:t xml:space="preserve"> — the risk that the mark-to-model CVA of a derivatives portfolio moves adversely due to changes in counterparty credit quality (CDS spreads) or market factors. CVA capital was introduced after the financial crisis, as roughly two-thirds of financial-crisis CCR losses came from CVA P&amp;L volatility rather than actual defaults.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engine supports two approaches: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BA-CVA (Basic Approach):</w:t>
      </w:r>
      <w:r>
        <w:rPr>
          <w:rFonts w:ascii="Arial" w:cs="Arial" w:eastAsia="Arial" w:hAnsi="Arial"/>
          <w:sz w:val="22"/>
          <w:szCs w:val="22"/>
        </w:rPr>
        <w:t xml:space="preserve"> Always available; simpler EAD-based formula; used as fallback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SA-CVA (Standardised Approach):</w:t>
      </w:r>
      <w:r>
        <w:rPr>
          <w:rFonts w:ascii="Arial" w:cs="Arial" w:eastAsia="Arial" w:hAnsi="Arial"/>
          <w:sz w:val="22"/>
          <w:szCs w:val="22"/>
        </w:rPr>
        <w:t xml:space="preserve"> Requires supervisory approval; sensitivity-based; more risk-sensitive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8.5.2 Basel Context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MAR50 requires banks to hold capital against movements in CVA, which is the mark-to-market adjustment to a derivatives portfolio's value reflecting counterparty default risk. CVA is distinct from the CCR capital computed by SA-CCR/IMM: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CCR capital</w:t>
      </w:r>
      <w:r>
        <w:rPr>
          <w:rFonts w:ascii="Arial" w:cs="Arial" w:eastAsia="Arial" w:hAnsi="Arial"/>
          <w:sz w:val="22"/>
          <w:szCs w:val="22"/>
        </w:rPr>
        <w:t xml:space="preserve"> (SA-CCR/IMM) covers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expected and unexpected losses from default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CVA capital</w:t>
      </w:r>
      <w:r>
        <w:rPr>
          <w:rFonts w:ascii="Arial" w:cs="Arial" w:eastAsia="Arial" w:hAnsi="Arial"/>
          <w:sz w:val="22"/>
          <w:szCs w:val="22"/>
        </w:rPr>
        <w:t xml:space="preserve"> (MAR50) covers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MTM losses from changes in the probability of default</w:t>
      </w:r>
      <w:r>
        <w:rPr>
          <w:rFonts w:ascii="Arial" w:cs="Arial" w:eastAsia="Arial" w:hAnsi="Arial"/>
          <w:sz w:val="22"/>
          <w:szCs w:val="22"/>
        </w:rPr>
        <w:t xml:space="preserve"> (spread widening) without an actual default occurring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regulatory treatment: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CVA RWA is excluded from the output floor base</w:t>
      </w:r>
      <w:r>
        <w:rPr>
          <w:rFonts w:ascii="Arial" w:cs="Arial" w:eastAsia="Arial" w:hAnsi="Arial"/>
          <w:sz w:val="22"/>
          <w:szCs w:val="22"/>
        </w:rPr>
        <w:t xml:space="preserve"> (CAP10 FAQ1). This prevents double-counting, as CVA is already sensitive to SA credit spread assumptions.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CVA engine integrates with real-time market conditions via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CVAMarketDataFeed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SOFR/OIS rate from FRED API (series: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SOFR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IG OAS from FRED (series: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BAMLC0A0CM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 OAS from FRED (series: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BAMLH0A0HYM2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VIX from FRED or yfinance (series: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VIXCLS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8.5.3 Functional Objective of Calculations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BA-CVA (MAR50, Basic Approach):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$$\text{CVA}_\text{capital} = 0.75 \times \text{EAD} \times RW$$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$RW$ is the regulatory risk weight for the counterparty's credit quality tier.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SA-CVA (MAR50.3, Standardised Approach — requires approval):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Sensitivity-based calculation analogous to FRTB SBM; sensitivities are derived from CVA's dependence on CDS spreads, interest rates, FX, equity, and commodity risk factors.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fallback logic: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not sa_cva_approved:
    method = "BA-CVA"
    log_trace("FALLBACK|CVA|SA-CVA_NOT_APPROVED|Using BA-CVA per MAR50.12")
else:
    method = "SA-CVA"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Materiality threshold (MAR50.9):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notional of derivatives subject to CVA risk is below the BCBS materiality threshold, the institution may use 100% of CCR RWA as a proxy CVA capital charge.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parameter adjustment: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$$\rho_\text{supervisory} = \min(0.50 + 0.30 \times \text{stress\_index},\; 0.80)$$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stress index is a function of VIX and HY spreads (floored at 0.50 per MAR50.29 in normal conditions; rising to 0.80 in crisis).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8.5.4 Parameter Significance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8.5.5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BA-CVA capital output matches MAR50 formula within &lt; 0.01% tolerance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SA-CVA fallback trace is logged when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sa_cva_approved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supervisory_rho()</w:t>
      </w:r>
      <w:r>
        <w:rPr>
          <w:rFonts w:ascii="Arial" w:cs="Arial" w:eastAsia="Arial" w:hAnsi="Arial"/>
          <w:sz w:val="22"/>
          <w:szCs w:val="22"/>
        </w:rPr>
        <w:t xml:space="preserve"> correctly increases from 0.50 to 0.80 as VIX increases from 15 to 80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CVA RWA is correctly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excluded</w:t>
      </w:r>
      <w:r>
        <w:rPr>
          <w:rFonts w:ascii="Arial" w:cs="Arial" w:eastAsia="Arial" w:hAnsi="Arial"/>
          <w:sz w:val="22"/>
          <w:szCs w:val="22"/>
        </w:rPr>
        <w:t xml:space="preserve"> from the output floor base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main.py::PrometheusRunner.run_daily()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FRED API fetch succeeds; graceful fallback to hard-coded defaults on network failure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6/6 CVA unit tests pass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FR-006: CCP Exposure Engine — Central Counterparty Capital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 Standard:</w:t>
      </w:r>
      <w:r>
        <w:rPr>
          <w:rFonts w:ascii="Arial" w:cs="Arial" w:eastAsia="Arial" w:hAnsi="Arial"/>
          <w:sz w:val="22"/>
          <w:szCs w:val="22"/>
        </w:rPr>
        <w:t xml:space="preserve"> CRE54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MEDIUM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Clearing Operations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backend/engines/ccp.py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8.6.1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CCP engine calculates the regulatory capital a clearing member must hold against its exposures to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Central Counterparty (CCP)</w:t>
      </w:r>
      <w:r>
        <w:rPr>
          <w:rFonts w:ascii="Arial" w:cs="Arial" w:eastAsia="Arial" w:hAnsi="Arial"/>
          <w:sz w:val="22"/>
          <w:szCs w:val="22"/>
        </w:rPr>
        <w:t xml:space="preserve">. As derivatives clearing mandates (EMIR, Dodd-Frank) have shifted a large portion of OTC derivatives to central clearing, CCP exposure has become a material component of CCR capital.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exposure types are captured: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 Exposure:</w:t>
      </w:r>
      <w:r>
        <w:rPr>
          <w:rFonts w:ascii="Arial" w:cs="Arial" w:eastAsia="Arial" w:hAnsi="Arial"/>
          <w:sz w:val="22"/>
          <w:szCs w:val="22"/>
        </w:rPr>
        <w:t xml:space="preserve"> The mark-to-market exposure from cleared trades, including posted initial 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Fund Contribution (DFC):</w:t>
      </w:r>
      <w:r>
        <w:rPr>
          <w:rFonts w:ascii="Arial" w:cs="Arial" w:eastAsia="Arial" w:hAnsi="Arial"/>
          <w:sz w:val="22"/>
          <w:szCs w:val="22"/>
        </w:rPr>
        <w:t xml:space="preserve"> Capital against the bank's prefunded contribution to the CCP's default waterfall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8.6.2 Basel Context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CRE54 provides preferential capital treatment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Qualifying CCPs (QCCPs)</w:t>
      </w:r>
      <w:r>
        <w:rPr>
          <w:rFonts w:ascii="Arial" w:cs="Arial" w:eastAsia="Arial" w:hAnsi="Arial"/>
          <w:sz w:val="22"/>
          <w:szCs w:val="22"/>
        </w:rPr>
        <w:t xml:space="preserve"> — typically major clearing houses (LCH, CME, Eurex, JSCC) that meet CPMI-IOSCO Principles for Financial Market Infrastructures. The rationale: CCPs' multilateral netting, margining, and default management procedures reduce systemic risk, so banks should not be discouraged from central clearing by prohibitively high capital charges.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Non-qualifying CCPs receive a 100% risk weight (same as a corporate counterparty), providing a strong incentive to use qualifying clearing venues.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8.6.3 Functional Objective of Calculations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QCCP Trade Exposure (CRE54.4):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$$\text{RWA}_\text{trade} = \text{EAD}_\text{trade} \times 2\% \times 12.5$$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 Margin posted: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Segregated IM → 0% risk weight (CRE54.15): protected from CCP default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Non-segregated IM → 2% risk weight: commingled; exposed to CCP default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Fund Capital (CRE54.31–39 — simplified):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$$K_\text{DFC} = \min(0.08 \times K_\text{CCP},\; \text{DFC} \times 1.6\%)$$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$$\text{RWA}_\text{DFC} = K_\text{DFC} \times 12.5$$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Unfunded DFC commitments (CRE54.42):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$$\text{RWA}_\text{unfunded} = \text{DFC}_\text{unfunded} \times 12.5 \quad \text{(100\% capital requirement)}$$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Clearing Intermediary (CRE54.5):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$$\text{RWA}_\text{client} = \text{EAD}_\text{client} \times 2\% \times 12.5 \quad \text{(if QCCP)}$$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8.6.4 Parameter Significance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8.6.5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QCCP trade EAD correctly attracts 2% risk weight; non-QCCP attracts 100%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Segregated IM produces 0 RWA; non-segregated IM produces 2% RWA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DFC capital correctly applies 1.6% flat rate when KCCP is not provided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CCP RWA aggregated across all CCPs and fed into the five-part formula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4/4 CCP unit tests pass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FR-007: Daily Risk Orchestrator — Five-Part RWA Formula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 Standard:</w:t>
      </w:r>
      <w:r>
        <w:rPr>
          <w:rFonts w:ascii="Arial" w:cs="Arial" w:eastAsia="Arial" w:hAnsi="Arial"/>
          <w:sz w:val="22"/>
          <w:szCs w:val="22"/>
        </w:rPr>
        <w:t xml:space="preserve"> RBC20.9, RBC20.11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CRITICAL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Risk Operations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backend/main.py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PrometheusRunner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8.7.1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Orchestrator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PrometheusRunner</w:t>
      </w:r>
      <w:r>
        <w:rPr>
          <w:rFonts w:ascii="Arial" w:cs="Arial" w:eastAsia="Arial" w:hAnsi="Arial"/>
          <w:sz w:val="22"/>
          <w:szCs w:val="22"/>
        </w:rPr>
        <w:t xml:space="preserve">) coordinates all six engines into a single, sequential daily risk run. It loads portfolio data, dispatches calculations to each engine, aggregates RWA components, applies the output floor, and persists results with a full audit trail. It is the single entry point for the daily risk calculation cycle.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8.7.2 Basel Context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RBC20.9 specifies that Total RWA is the sum of all risk components: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$$\text{Total RWA} = \text{RWA}_\text{Credit} + \text{RWA}_\text{CCR} + \text{RWA}_\text{Market} + \text{RWA}_\text{CVA} + \text{RWA}_\text{CCP} + \text{RWA}_\text{OpRisk}$$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RBC20.11 imposes the output floor: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$$\text{Final RWA} = \max\!\left(\text{Total RWA},\; 72.5\% \times \text{SA-based RWA}\right)$$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CVA excluded from floor base (CAP10 FAQ1):</w:t>
      </w:r>
      <w:r>
        <w:rPr>
          <w:rFonts w:ascii="Arial" w:cs="Arial" w:eastAsia="Arial" w:hAnsi="Arial"/>
          <w:sz w:val="22"/>
          <w:szCs w:val="22"/>
        </w:rPr>
        <w:t xml:space="preserve"> The SA-based RWA in the floor denominator excludes CVA RWA, as CVA is already sensitivity-based. Including it would introduce double-counting.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8.7.3 Functional Objective of Calculations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orchestration flow executes in strict sequential order to ensure dependencies are met: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Load dataset (portfolio_generator.build_full_dataset)
2. For each derivative portfolio:
   a. SA-CCR EAD calculation
   b. IMM EAD calculation (if IMM-eligible trades present)
   c. IMM floor check: if EAD_IMM_CSA &lt; 50% × EAD_SA-CCR → FALLBACK
   d. FRTB SBM + IMA calculation
   e. Aggregate RWA_CCR and RWA_Market
3. For each banking book portfolio:
   a. A-IRB RWA calculation (including double-default, SME, EL shortfall)
   b. Aggregate RWA_Credit
4. CVA calculation (BA-CVA or SA-CVA based on approval flag)
5. CCP RWA calculation (QCCP + DFC)
6. Operational Risk RWA stub (OPE25 BIA)
7. Five-part RWA formula:
   Total_RWA = RWA_Credit + RWA_CCR + RWA_Market + RWA_CVA + RWA_CCP + RWA_OpRisk
8. Output floor:
   SA_base = RWA_Credit_SA + RWA_CCR_SA + RWA_Market_SA + RWA_CCP_SA
   Final_RWA = max(Total_RWA, 0.725 × SA_base)
9. Capital requirement:
   Capital = Final_RWA × 8%
10. Persist results + audit logs (persistence.py)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8.7.4 Parameter Significance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8.7.5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six RWA components produced in a single run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floor correctly applied; CVA excluded from floor 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 fallback trace logged at WARNING level when floor violated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run time &lt; 5 minutes on M1 MacBook Air 8 GB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persisted to PostgreSQL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risk.rwa_results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audit.run_logs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JSON structure fully populated for dashboard consumption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FR-008: Market Data Integration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HIGH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IT Infrastructure / Market Risk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backend/data_sources/market_data_provider.py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backend/data_sources/cds_spread_service.py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backend/data_sources/market_state.py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backend/data_sources/calibration.py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8.8.1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market data infrastructure supplies real-time and historical inputs to all risk engines: CDS spreads (for CVA and A-IRB), yield curves (for SA-CCR duration calculation), volatility surfaces (for FRTB vega), VIX and credit indices (for market regime classification), and OIS/SOFR rates (for CVA discounting).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8.8.2 Functional Objective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abstract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MarketDataProvider</w:t>
      </w:r>
      <w:r>
        <w:rPr>
          <w:rFonts w:ascii="Arial" w:cs="Arial" w:eastAsia="Arial" w:hAnsi="Arial"/>
          <w:sz w:val="22"/>
          <w:szCs w:val="22"/>
        </w:rPr>
        <w:t xml:space="preserve"> interface defines three core methods: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fetch_cds_spreads(obligor_id, tenors, as_of_date)</w:t>
      </w:r>
      <w:r>
        <w:rPr>
          <w:rFonts w:ascii="Arial" w:cs="Arial" w:eastAsia="Arial" w:hAnsi="Arial"/>
          <w:sz w:val="22"/>
          <w:szCs w:val="22"/>
        </w:rPr>
        <w:t xml:space="preserve"> → Dict[tenor, spread_bp]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fetch_recovery_rate(obligor_id, as_of_date)</w:t>
      </w:r>
      <w:r>
        <w:rPr>
          <w:rFonts w:ascii="Arial" w:cs="Arial" w:eastAsia="Arial" w:hAnsi="Arial"/>
          <w:sz w:val="22"/>
          <w:szCs w:val="22"/>
        </w:rPr>
        <w:t xml:space="preserve"> → float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fetch_risk_free_rate(currency, tenor, as_of_date)</w:t>
      </w:r>
      <w:r>
        <w:rPr>
          <w:rFonts w:ascii="Arial" w:cs="Arial" w:eastAsia="Arial" w:hAnsi="Arial"/>
          <w:sz w:val="22"/>
          <w:szCs w:val="22"/>
        </w:rPr>
        <w:t xml:space="preserve"> → float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Concrete implementations: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BloombergProvider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RefinitivProvider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InternalFeedProvider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StaticTestProvider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CDSSpreadService</w:t>
      </w:r>
      <w:r>
        <w:rPr>
          <w:rFonts w:ascii="Arial" w:cs="Arial" w:eastAsia="Arial" w:hAnsi="Arial"/>
          <w:sz w:val="22"/>
          <w:szCs w:val="22"/>
        </w:rPr>
        <w:t xml:space="preserve"> wraps providers with: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Primary→fallback cascade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5-minute TTL in-memory cache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fetch for multiple obligors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Conversion to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CreditSpreadsData</w:t>
      </w:r>
      <w:r>
        <w:rPr>
          <w:rFonts w:ascii="Arial" w:cs="Arial" w:eastAsia="Arial" w:hAnsi="Arial"/>
          <w:sz w:val="22"/>
          <w:szCs w:val="22"/>
        </w:rPr>
        <w:t xml:space="preserve"> for A-IRB engine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CVAMarketDataFeed</w:t>
      </w:r>
      <w:r>
        <w:rPr>
          <w:rFonts w:ascii="Arial" w:cs="Arial" w:eastAsia="Arial" w:hAnsi="Arial"/>
          <w:sz w:val="22"/>
          <w:szCs w:val="22"/>
        </w:rPr>
        <w:t xml:space="preserve"> fetches SOFR, IG OAS, HY OAS, and VIX from FRED public API (no subscription required), with graceful fallback to hard-coded defaults if the network is unavailable.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8.8.3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Bloomberg and Refinitiv providers correctly fail gracefully when API is unavailable, falling to the next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StaticTestProvider</w:t>
      </w:r>
      <w:r>
        <w:rPr>
          <w:rFonts w:ascii="Arial" w:cs="Arial" w:eastAsia="Arial" w:hAnsi="Arial"/>
          <w:sz w:val="22"/>
          <w:szCs w:val="22"/>
        </w:rPr>
        <w:t xml:space="preserve"> returns deterministic test data for CI/CD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hit rate reduces external API calls by &gt; 80% in normal daily operation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engines receive valid (non-NaN, non-None) market data inputs or default gracefully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FR-009: Backtesting Framework — Traffic-Light System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 Standard:</w:t>
      </w:r>
      <w:r>
        <w:rPr>
          <w:rFonts w:ascii="Arial" w:cs="Arial" w:eastAsia="Arial" w:hAnsi="Arial"/>
          <w:sz w:val="22"/>
          <w:szCs w:val="22"/>
        </w:rPr>
        <w:t xml:space="preserve"> MAR99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CRITICAL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Market Risk / Model Validation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backend/engines/frtb.py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BacktestEngine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8.9.1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backtesting framework validates the FRTB IMA's predictive accuracy by comparing the model's predicted risk measures (ES/VaR) against actual observed P&amp;L over a rolling 260-day window. Under MAR99, if the model consistently underestimates losses (produces too many exceptions), the regulator requires model revision or imposes a capital multiplier add-on.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8.9.2 Basel Context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MAR99 defines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traffic-light system</w:t>
      </w:r>
      <w:r>
        <w:rPr>
          <w:rFonts w:ascii="Arial" w:cs="Arial" w:eastAsia="Arial" w:hAnsi="Arial"/>
          <w:sz w:val="22"/>
          <w:szCs w:val="22"/>
        </w:rPr>
        <w:t xml:space="preserve"> for IMA backtesting: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Green Zone</w:t>
      </w:r>
      <w:r>
        <w:rPr>
          <w:rFonts w:ascii="Arial" w:cs="Arial" w:eastAsia="Arial" w:hAnsi="Arial"/>
          <w:sz w:val="22"/>
          <w:szCs w:val="22"/>
        </w:rPr>
        <w:t xml:space="preserve"> (0–4 exceptions in 250 days): Model acceptable; no additional capital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Amber Zone</w:t>
      </w:r>
      <w:r>
        <w:rPr>
          <w:rFonts w:ascii="Arial" w:cs="Arial" w:eastAsia="Arial" w:hAnsi="Arial"/>
          <w:sz w:val="22"/>
          <w:szCs w:val="22"/>
        </w:rPr>
        <w:t xml:space="preserve"> (5–9 exceptions): Enhanced monitoring; potential multiplier (plus add-on factor)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Zone</w:t>
      </w:r>
      <w:r>
        <w:rPr>
          <w:rFonts w:ascii="Arial" w:cs="Arial" w:eastAsia="Arial" w:hAnsi="Arial"/>
          <w:sz w:val="22"/>
          <w:szCs w:val="22"/>
        </w:rPr>
        <w:t xml:space="preserve"> (10+ exceptions): Model revision required; significant capital add-on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"exception" occurs when the actual daily P&amp;L loss exceeds the model's predicted 1-day VaR at 99% confidence.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 Test (MAR32)</w:t>
      </w:r>
      <w:r>
        <w:rPr>
          <w:rFonts w:ascii="Arial" w:cs="Arial" w:eastAsia="Arial" w:hAnsi="Arial"/>
          <w:sz w:val="22"/>
          <w:szCs w:val="22"/>
        </w:rPr>
        <w:t xml:space="preserve"> compares Hypothetical P&amp;L (HPL, sensitivity-based) against Actual P&amp;L (APL, full revaluation) using Spearman rank correlation (ρ ≥ 0.50) and the Kolmogorov-Smirnov test (p-value ≥ 0.05). Desks failing PLA must use SBM.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8.9.3 Functional Objective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each trading day d in [t-260, t]:
  exception(d) = 1 if |actual_pnl(d)| &gt; VaR_model(d) else 0
n_exceptions = Σ exception(d)
if   n_exceptions ≤ 4: zone = "GREEN"
elif n_exceptions ≤ 9: zone = "AMBER"
else:                  zone = "RED"
PLA Spearman:  ρ = spearmanr(HPL, APL)
PLA KS:        p_value = ks_2samp(HPL, APL).pvalue
pla_zone = "GREEN" if ρ ≥ 0.50 and p_value ≥ 0.05 else "AMBER/RED"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8.9.4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Exception count correctly identifies the traffic-light zone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Breach at Amber or Red triggers a WARNING log with alert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Spearman ρ and KS p-value computed and returned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FRTBResult.pla_zone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Backtesting results surfaced on the Streamlit Backtesting page with historical exception timeline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FR-010: Interactive Dashboard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MEDIUM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Risk Control / IT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dashboard/app.py</w:t>
      </w:r>
      <w:r>
        <w:rPr>
          <w:rFonts w:ascii="Arial" w:cs="Arial" w:eastAsia="Arial" w:hAnsi="Arial"/>
          <w:sz w:val="22"/>
          <w:szCs w:val="22"/>
        </w:rPr>
        <w:t xml:space="preserve"> (844 lines)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8.10.1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Streamlit dashboard provides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zero-code interface</w:t>
      </w:r>
      <w:r>
        <w:rPr>
          <w:rFonts w:ascii="Arial" w:cs="Arial" w:eastAsia="Arial" w:hAnsi="Arial"/>
          <w:sz w:val="22"/>
          <w:szCs w:val="22"/>
        </w:rPr>
        <w:t xml:space="preserve"> for risk officers, treasury managers, and regulators to view capital results, explore exposure breakdowns, analyse backtesting performance, run stress scenarios, and export regulatory reports — all in a browser.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8.10.2 Dashboard Pages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8.10.3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8 pages render without error in Streamlit 1.28+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 and CSV exports contain complete, correctly formatted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refresh &lt; 3 seconds on M1 MacBook Air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persists correctly across browser refresh via PostgreSQL backend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FR-011: Audit Trail and Compliance Reporting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</w:t>
      </w:r>
      <w:r>
        <w:rPr>
          <w:rFonts w:ascii="Arial" w:cs="Arial" w:eastAsia="Arial" w:hAnsi="Arial"/>
          <w:sz w:val="22"/>
          <w:szCs w:val="22"/>
        </w:rPr>
        <w:t xml:space="preserve"> CRITICAL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</w:t>
      </w:r>
      <w:r>
        <w:rPr>
          <w:rFonts w:ascii="Arial" w:cs="Arial" w:eastAsia="Arial" w:hAnsi="Arial"/>
          <w:sz w:val="22"/>
          <w:szCs w:val="22"/>
        </w:rPr>
        <w:t xml:space="preserve"> Compliance / Regulatory Affairs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backend/data_sources/persistence.py</w:t>
      </w:r>
      <w:r>
        <w:rPr>
          <w:rFonts w:ascii="Arial" w:cs="Arial" w:eastAsia="Arial" w:hAnsi="Arial"/>
          <w:sz w:val="22"/>
          <w:szCs w:val="22"/>
        </w:rPr>
        <w:t xml:space="preserve">, PostgreSQL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schema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8.11.1 Use Case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Regulators (central banks, prudential supervisors) and external auditors require complete, immutable records of all capital calculations, methodology choices, and override events. Without a rigorous audit trail, the institution cannot defend its capital ratios under supervisory examination, and may face model approval revocation.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8.11.2 Functional Objective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calculation event is logged to the PostgreSQL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schema with: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audit.run_logs</w:t>
      </w:r>
      <w:r>
        <w:rPr>
          <w:rFonts w:ascii="Arial" w:cs="Arial" w:eastAsia="Arial" w:hAnsi="Arial"/>
          <w:sz w:val="22"/>
          <w:szCs w:val="22"/>
        </w:rPr>
        <w:t xml:space="preserve">: Run date, start/end time, duration, status, engine versions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audit.calculation_traces</w:t>
      </w:r>
      <w:r>
        <w:rPr>
          <w:rFonts w:ascii="Arial" w:cs="Arial" w:eastAsia="Arial" w:hAnsi="Arial"/>
          <w:sz w:val="22"/>
          <w:szCs w:val="22"/>
        </w:rPr>
        <w:t xml:space="preserve">: Trade-level trace of formula, inputs, and output for each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audit.breach_alerts</w:t>
      </w:r>
      <w:r>
        <w:rPr>
          <w:rFonts w:ascii="Arial" w:cs="Arial" w:eastAsia="Arial" w:hAnsi="Arial"/>
          <w:sz w:val="22"/>
          <w:szCs w:val="22"/>
        </w:rPr>
        <w:t xml:space="preserve">: Timestamps and values for all risk limit breaches and regulatory floor applications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audit.user_actions</w:t>
      </w:r>
      <w:r>
        <w:rPr>
          <w:rFonts w:ascii="Arial" w:cs="Arial" w:eastAsia="Arial" w:hAnsi="Arial"/>
          <w:sz w:val="22"/>
          <w:szCs w:val="22"/>
        </w:rPr>
        <w:t xml:space="preserve">: User identity, action type (run trigger, config change, export), and timestamp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Fallback trace codes follow the format: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FALLBACK|&lt;trade_id&gt;|&lt;reason_code&gt;|&lt;description&gt;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traces: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FALLBACK|TRD-001|REGULATORY_FLOOR|IMM EAD below 50% SA-CCR floor — CRE53.5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FALLBACK|CVA|SA-CVA_NOT_APPROVED|Using BA-CVA per MAR50.12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FALLBACK|TRD-007|EXOTIC_PAYOFF|Exotic payoff structure — IMM not approved for this type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8.11.3 Key Success Criteria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calculations executed without a corresponding INFO-level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floor applications and fallback events logged at WARNING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schema tables are append-only (no updates or deletes in production)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templates satisfy Basel Pillar 3 Table 4 (Credit Risk) and Table 12 (Market Risk) disclosure formats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9. BUSINESS AND FUNCTIONAL WORKFLOW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9.1 Business Workflow — Daily Capital Cycle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daily capital calculation cycle follows a standardised risk operations workflow aligned with industry practice for regulated institutions: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
│                     PROMETHEUS DAILY CAPITAL CYCLE                      │
└─────────────────────────────────────────────────────────────────────────┘
 T-1 Day                T Day (06:00–08:00)          T Day (08:00+)
 ──────────────────────────────────────────────────────────────────────────
 ┌──────────────┐       ┌──────────────────────┐     ┌──────────────────┐
 │ Trade Booking│──────►│ Market Data Refresh   │────►│ CRO Dashboard    │
 │ (OMS/TMS)    │       │ (Bloomberg / FRED)    │     │ Review           │
 └──────────────┘       └──────────┬───────────┘     └──────────────────┘
                                   │
 ┌──────────────┐                  ▼
 │ Collateral   │       ┌──────────────────────┐     ┌──────────────────┐
 │ Management   │──────►│ Portfolio Load        │────►│ Risk Limit       │
 │ (CSA Terms)  │       │ (portfolio_generator) │     │ Monitoring       │
 └──────────────┘       └──────────┬───────────┘     └──────────────────┘
                                   │
 ┌──────────────┐                  ▼
 │ Credit       │       ┌──────────────────────┐     ┌──────────────────┐
 │ Systems      │──────►│ PROMETHEUS Risk Run   │────►│ Regulatory       │
 │ (PD/LGD/EAD) │       │ (PrometheusRunner)    │     │ Reporting        │
 └──────────────┘       └──────────┬───────────┘     │ (Pillar 1/3)     │
                                   │                  └──────────────────┘
                                   ▼
                        ┌──────────────────────┐     ┌──────────────────┐
                        │ Results Persistence   │────►│ Audit Archive    │
                        │ (PostgreSQL)          │     │ (audit schema)   │
                        └──────────────────────┘     └──────────────────┘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Step-by-step business process: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 capture (T-1):</w:t>
      </w:r>
      <w:r>
        <w:rPr>
          <w:rFonts w:ascii="Arial" w:cs="Arial" w:eastAsia="Arial" w:hAnsi="Arial"/>
          <w:sz w:val="22"/>
          <w:szCs w:val="22"/>
        </w:rPr>
        <w:t xml:space="preserve"> All trades booked in front-office systems by end-of-day cutoff are available in the risk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Collateral reconciliation (T-1 to T):</w:t>
      </w:r>
      <w:r>
        <w:rPr>
          <w:rFonts w:ascii="Arial" w:cs="Arial" w:eastAsia="Arial" w:hAnsi="Arial"/>
          <w:sz w:val="22"/>
          <w:szCs w:val="22"/>
        </w:rPr>
        <w:t xml:space="preserve"> CSA terms, initial margin, and variation margin are reconciled with counterparties and loaded into netting set definitions.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data refresh (T 06:00):</w:t>
      </w:r>
      <w:r>
        <w:rPr>
          <w:rFonts w:ascii="Arial" w:cs="Arial" w:eastAsia="Arial" w:hAnsi="Arial"/>
          <w:sz w:val="22"/>
          <w:szCs w:val="22"/>
        </w:rPr>
        <w:t xml:space="preserve"> Bloomberg / Refinitiv / FRED API calls populate yield curves, CDS spreads, volatility surfaces, and macro indicators for the calculation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load (T 06:30):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portfolio_generator.build_full_dataset()</w:t>
      </w:r>
      <w:r>
        <w:rPr>
          <w:rFonts w:ascii="Arial" w:cs="Arial" w:eastAsia="Arial" w:hAnsi="Arial"/>
          <w:sz w:val="22"/>
          <w:szCs w:val="22"/>
        </w:rPr>
        <w:t xml:space="preserve"> constructs the complete dataset of derivative and banking book portfolios.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run trigger (T 06:45):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PrometheusRunner.run_daily()</w:t>
      </w:r>
      <w:r>
        <w:rPr>
          <w:rFonts w:ascii="Arial" w:cs="Arial" w:eastAsia="Arial" w:hAnsi="Arial"/>
          <w:sz w:val="22"/>
          <w:szCs w:val="22"/>
        </w:rPr>
        <w:t xml:space="preserve"> is invoked (manually via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run_engine.sh</w:t>
      </w:r>
      <w:r>
        <w:rPr>
          <w:rFonts w:ascii="Arial" w:cs="Arial" w:eastAsia="Arial" w:hAnsi="Arial"/>
          <w:sz w:val="22"/>
          <w:szCs w:val="22"/>
        </w:rPr>
        <w:t xml:space="preserve"> or automated via scheduler).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Calculation execution (~2 minutes):</w:t>
      </w:r>
      <w:r>
        <w:rPr>
          <w:rFonts w:ascii="Arial" w:cs="Arial" w:eastAsia="Arial" w:hAnsi="Arial"/>
          <w:sz w:val="22"/>
          <w:szCs w:val="22"/>
        </w:rPr>
        <w:t xml:space="preserve"> All six engines execute sequentially; SA-CCR → IMM → A-IRB → FRTB → CVA → CCP → Five-part formula → Output floor.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persistence (T 07:00):</w:t>
      </w:r>
      <w:r>
        <w:rPr>
          <w:rFonts w:ascii="Arial" w:cs="Arial" w:eastAsia="Arial" w:hAnsi="Arial"/>
          <w:sz w:val="22"/>
          <w:szCs w:val="22"/>
        </w:rPr>
        <w:t xml:space="preserve"> Complete results JSON and trade-level traces persisted to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available (T 07:00):</w:t>
      </w:r>
      <w:r>
        <w:rPr>
          <w:rFonts w:ascii="Arial" w:cs="Arial" w:eastAsia="Arial" w:hAnsi="Arial"/>
          <w:sz w:val="22"/>
          <w:szCs w:val="22"/>
        </w:rPr>
        <w:t xml:space="preserve"> Risk officers can access the live Streamlit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 monitoring (T 07:00–08:00):</w:t>
      </w:r>
      <w:r>
        <w:rPr>
          <w:rFonts w:ascii="Arial" w:cs="Arial" w:eastAsia="Arial" w:hAnsi="Arial"/>
          <w:sz w:val="22"/>
          <w:szCs w:val="22"/>
        </w:rPr>
        <w:t xml:space="preserve"> Breach alerts are reviewed; any Red Zone backtesting exception triggers Model Validation escalation.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reporting (as required):</w:t>
      </w:r>
      <w:r>
        <w:rPr>
          <w:rFonts w:ascii="Arial" w:cs="Arial" w:eastAsia="Arial" w:hAnsi="Arial"/>
          <w:sz w:val="22"/>
          <w:szCs w:val="22"/>
        </w:rPr>
        <w:t xml:space="preserve"> Monthly/quarterly COREP exports generated from the dashboard Reports page.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9.2 Functional Workflow — Engine Execution Flow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PrometheusRunner.run_daily(run_date)
│
├── build_full_dataset(book_date)
│   ├── portfolio_generator: synthetic derivative portfolios
│   └── portfolio_generator: synthetic banking book portfolios
│
├── FOR EACH derivative portfolio:
│   ├── SACCREngine.compute_ead(netting_set, run_date)
│   │   ├── replacement_cost()
│   │   ├── pfe_multiplier()
│   │   ├── addon_ir(), addon_fx(), addon_credit(), addon_equity(), addon_commodity()
│   │   └── EAD = α × (RC + mult × AddOn_agg)
│   │
│   ├── IMMEngine.run_for_portfolio(trades, run_date, netting_set)  [if IMM eligible]
│   │   ├── generate_paths(GBM / Hull-White)
│   │   ├── revalue_portfolio()
│   │   ├── apply_csa_adjustment()
│   │   ├── compute_eepe()
│   │   └── EAD_IMM = α × EEPE
│   │
│   ├── IMM FLOOR CHECK: if EAD_IMM_CSA &lt; 0.5 × EAD_SA-CCR → FALLBACK
│   │
│   └── FRTBEngine.compute(portfolio_id, sensitivities, pnl_series, ...)
│       ├── SBMCalculator.total_sbm()
│       │   ├── delta_charge() [per risk class, 3 correlation scenarios]
│       │   ├── vega_charge()
│       │   └── curvature_charge()
│       ├── IMACalculator.compute_es()
│       ├── DRCCalculator.compute_drc()
│       ├── rrao_charge()
│       └── Capital = SBM + IMA + DRC + RRAO; RWA = Capital × 12.5
│
├── FOR EACH banking book portfolio:
│   └── AIRBEngine.compute_portfolio(exposures)
│       ├── FOR EACH exposure:
│       │   ├── apply PD/LGD floors
│       │   ├── correlation_r()
│       │   ├── maturity_adjustment()
│       │   ├── capital_k()
│       │   ├── double_default_k() [if has_cds]
│       │   └── RWA = K × 12.5 × EAD
│       └── portfolio_summary (total_rwa, total_el, el_shortfall, mitigant_benefit)
│
├── CVAEngine.compute(counterparty_inputs)
│   ├── ba_cva() [always available]
│   └── sa_cva() [if approved; else fallback to BA-CVA]
│
├── compute_ccp_rwa(ccp_exposures)
│   ├── QCCP trade EAD × 2%
│   └── DFC capital × 12.5
│
├── FIVE-PART FORMULA:
│   Total_RWA = Credit + CCR + Market + CVA + CCP + OpRisk
│
├── OUTPUT FLOOR:
│   SA_base = Credit_SA + CCR_SA + Market_SA + CCP_SA
│   Final_RWA = max(Total_RWA, 0.725 × SA_base)
│   Capital = Final_RWA × 8%
│
└── persist_run(results) → PostgreSQL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10. SYSTEM ARCHITECTURE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10.1 Layered Architecture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PROMETHEUS follows a strict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five-layer architecture</w:t>
      </w:r>
      <w:r>
        <w:rPr>
          <w:rFonts w:ascii="Arial" w:cs="Arial" w:eastAsia="Arial" w:hAnsi="Arial"/>
          <w:sz w:val="22"/>
          <w:szCs w:val="22"/>
        </w:rPr>
        <w:t xml:space="preserve"> separating presentation, application orchestration, business logic, data access, and persistence: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
│                         PROMETHEUS PLATFORM                              │
│                     Institutional Risk Management                         │
└─────────────────────────────────────────────────────────────────────────┘
                                   │
       ┌───────────────────────────┼───────────────────────────┐
       │                           │                           │
  ┌────▼────────────────────────────────────────────────────────────────┐
  │ LAYER 1: PRESENTATION                                               │
  │  Streamlit Dashboard (dashboard/app.py) — Port 8501                │
  │  ┌──────────┐ ┌──────────┐ ┌────────────┐ ┌───────────────────┐   │
  │  │ Overview │ │Deriv Risk│ │Banking Book│ │Backtesting / PLA  │   │
  │  └──────────┘ └──────────┘ └────────────┘ └───────────────────┘   │
  │  ┌──────────┐ ┌──────────┐ ┌────────────┐ ┌───────────────────┐   │
  │  │Cap.Plan  │ │ Reports  │ │  Settings  │ │  Documentation    │   │
  │  └──────────┘ └──────────┘ └────────────┘ └───────────────────┘   │
  └────────────────────────────────────────────────────────────────────┘
                                   │
  ┌────────────────────────────────────────────────────────────────────┐
  │ LAYER 2: APPLICATION                                                │
  │  PrometheusRunner (backend/main.py)                                │
  │  • Daily risk run orchestration          • Five-part RWA formula   │
  │  • Output floor logic (RBC20.11)         • Calibration integration │
  │  • IMM floor enforcement (CRE53.5)       • Results aggregation     │
  └────────────────────────────────────────────────────────────────────┘
                                   │
  ┌────────────────────────────────────────────────────────────────────┐
  │ LAYER 3: BUSINESS LOGIC (backend/engines/)                         │
  │                                                                    │
  │ ┌────────────────┐  ┌────────────────┐  ┌────────────────────┐   │
  │ │ SA-CCR Engine  │  │   IMM Engine   │  │   A-IRB Engine     │   │
  │ │ CRE52          │  │   CRE53        │  │   CRE30–36         │   │
  │ │ sa_ccr.py      │  │   imm.py       │  │   a_irb.py         │   │
  │ └────────────────┘  └────────────────┘  └────────────────────┘   │
  │                                                                    │
  │ ┌────────────────┐  ┌────────────────┐  ┌────────────────────┐   │
  │ │  FRTB Engine   │  │   CVA Engine   │  │   CCP Engine       │   │
  │ │  MAR20–33      │  │   MAR50        │  │   CRE54            │   │
  │ │  frtb.py       │  │   cva.py       │  │   ccp.py           │   │
  │ │ ┌───────────┐  │  │ ┌──────────┐  │  └────────────────────┘   │
  │ │ │SBMCalc    │  │  │ │BA-CVA/   │  │                            │
  │ │ │IMACalc    │  │  │ │SA-CVA    │  │                            │
  │ │ │DRCCalc    │  │  │ └──────────┘  │                            │
  │ │ │Backtest   │  │  └────────────────┘                           │
  │ │ └───────────┘  │                                               │
  │ └────────────────┘                                               │
  └────────────────────────────────────────────────────────────────────┘
                                   │
  ┌────────────────────────────────────────────────────────────────────┐
  │ LAYER 4: DATA ACCESS (backend/data_sources/ + data_generators/)    │
  │                                                                    │
  │ ┌─────────────────────────────────────────────────────────────┐   │
  │ │             Market Data Provider (Abstract)                  │   │
  │ │  BloombergProvider │ RefinitivProvider │ StaticTestProvider   │   │
  │ └─────────────────────────────────────────────────────────────┘   │
  │ ┌─────────────────────────────────────────────────────────────┐   │
  │ │ CDSSpreadService │ CVAMarketDataFeed │ CalibrationModule      │   │
  │ └─────────────────────────────────────────────────────────────┘   │
  │ ┌─────────────────────────────────────────────────────────────┐   │
  │ │ PortfolioGenerator │ CVAGenerator │ Persistence Module        │   │
  │ └─────────────────────────────────────────────────────────────┘   │
  └────────────────────────────────────────────────────────────────────┘
                                   │
  ┌────────────────────────────────────────────────────────────────────┐
  │ LAYER 5: PERSISTENCE                                               │
  │  PostgreSQL 15 (Docker — localhost:5432)                           │
  │  ┌──────────────┐ ┌────────────────┐ ┌──────────┐ ┌──────────┐   │
  │  │ risk schema  │ │market_data     │ │reference │ │audit     │   │
  │  │ (5 tables)   │ │ (5 tables)     │ │(3 tables)│ │(4 tables)│   │
  │  └──────────────┘ └────────────────┘ └──────────┘ └──────────┘   │
  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10.2 External Interface Architecture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External Feeds                   PROMETHEUS                   Consumers
─────────────────────────────────────────────────────────────────────────
Bloomberg Terminal       ──►  MarketDataProvider  ──►  FRTB RW Adjustment
Refinitiv / LSEG Eikon  ──►  CDSSpreadService    ──►  A-IRB PD Calibration
FRED Public API         ──►  CVAMarketDataFeed   ──►  CVA Discounting
Internal REST API       ──►  InternalFeedProvider ──►  All Engines
PostgreSQL (docker)     ◄──  Persistence Module  ◄──  PrometheusRunner
                         ──►  Dashboard (app.py) ──►  Streamlit Browser
                         ──►  Audit Export       ──►  Regulators / Auditors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10.3 Non-Functional Architecture Constraints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11. TECHNICAL DESIGN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11.1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11.2 Core Engine Design Patterns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11.2.1 Dataclass-Driven Data Model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inputs and outputs are strongly-typed Python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dataclass</w:t>
      </w:r>
      <w:r>
        <w:rPr>
          <w:rFonts w:ascii="Arial" w:cs="Arial" w:eastAsia="Arial" w:hAnsi="Arial"/>
          <w:sz w:val="22"/>
          <w:szCs w:val="22"/>
        </w:rPr>
        <w:t xml:space="preserve"> objects, enforcing type safety and enabling auto-serialisation: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Trade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NettingSet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SAcCRResult</w:t>
      </w:r>
      <w:r>
        <w:rPr>
          <w:rFonts w:ascii="Arial" w:cs="Arial" w:eastAsia="Arial" w:hAnsi="Arial"/>
          <w:sz w:val="22"/>
          <w:szCs w:val="22"/>
        </w:rPr>
        <w:t xml:space="preserve"> — SA-CCR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BankingBookExposure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AIRBTradeResult</w:t>
      </w:r>
      <w:r>
        <w:rPr>
          <w:rFonts w:ascii="Arial" w:cs="Arial" w:eastAsia="Arial" w:hAnsi="Arial"/>
          <w:sz w:val="22"/>
          <w:szCs w:val="22"/>
        </w:rPr>
        <w:t xml:space="preserve"> — A-IRB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Sensitivity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FRTBResult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ShockScenario</w:t>
      </w:r>
      <w:r>
        <w:rPr>
          <w:rFonts w:ascii="Arial" w:cs="Arial" w:eastAsia="Arial" w:hAnsi="Arial"/>
          <w:sz w:val="22"/>
          <w:szCs w:val="22"/>
        </w:rPr>
        <w:t xml:space="preserve"> — FRTB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CCPExposure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CCPResult</w:t>
      </w:r>
      <w:r>
        <w:rPr>
          <w:rFonts w:ascii="Arial" w:cs="Arial" w:eastAsia="Arial" w:hAnsi="Arial"/>
          <w:sz w:val="22"/>
          <w:szCs w:val="22"/>
        </w:rPr>
        <w:t xml:space="preserve"> — CCP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ExposureProfile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CSATerms</w:t>
      </w:r>
      <w:r>
        <w:rPr>
          <w:rFonts w:ascii="Arial" w:cs="Arial" w:eastAsia="Arial" w:hAnsi="Arial"/>
          <w:sz w:val="22"/>
          <w:szCs w:val="22"/>
        </w:rPr>
        <w:t xml:space="preserve"> — IMM engine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11.2.2 Abstract Market Data Interface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MarketDataProvider</w:t>
      </w:r>
      <w:r>
        <w:rPr>
          <w:rFonts w:ascii="Arial" w:cs="Arial" w:eastAsia="Arial" w:hAnsi="Arial"/>
          <w:sz w:val="22"/>
          <w:szCs w:val="22"/>
        </w:rPr>
        <w:t xml:space="preserve"> (ABC) defines the contract; concrete implementations inject via dependency inversion.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CDSSpreadService</w:t>
      </w:r>
      <w:r>
        <w:rPr>
          <w:rFonts w:ascii="Arial" w:cs="Arial" w:eastAsia="Arial" w:hAnsi="Arial"/>
          <w:sz w:val="22"/>
          <w:szCs w:val="22"/>
        </w:rPr>
        <w:t xml:space="preserve"> composes providers with fallback and caching, following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Strategy Pattern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11.2.3 Pluggable Correlation Model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CorrelationModel</w:t>
      </w:r>
      <w:r>
        <w:rPr>
          <w:rFonts w:ascii="Arial" w:cs="Arial" w:eastAsia="Arial" w:hAnsi="Arial"/>
          <w:sz w:val="22"/>
          <w:szCs w:val="22"/>
        </w:rPr>
        <w:t xml:space="preserve"> is injectable into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FRTBConfig</w:t>
      </w:r>
      <w:r>
        <w:rPr>
          <w:rFonts w:ascii="Arial" w:cs="Arial" w:eastAsia="Arial" w:hAnsi="Arial"/>
          <w:sz w:val="22"/>
          <w:szCs w:val="22"/>
        </w:rPr>
        <w:t xml:space="preserve">, enabling alternative correlation structures (e.g., empirical GIRR tenor correlations) without modifying engine code.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11.2.4 Real-Time Market Condition Adjustment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DynamicParameterAdjustment</w:t>
      </w:r>
      <w:r>
        <w:rPr>
          <w:rFonts w:ascii="Arial" w:cs="Arial" w:eastAsia="Arial" w:hAnsi="Arial"/>
          <w:sz w:val="22"/>
          <w:szCs w:val="22"/>
        </w:rPr>
        <w:t xml:space="preserve"> wraps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FRTBConfig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MarketConditions</w:t>
      </w:r>
      <w:r>
        <w:rPr>
          <w:rFonts w:ascii="Arial" w:cs="Arial" w:eastAsia="Arial" w:hAnsi="Arial"/>
          <w:sz w:val="22"/>
          <w:szCs w:val="22"/>
        </w:rPr>
        <w:t xml:space="preserve"> to scale risk weights and correlations based on live market stress index. This is a clean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Decorator Pattern</w:t>
      </w:r>
      <w:r>
        <w:rPr>
          <w:rFonts w:ascii="Arial" w:cs="Arial" w:eastAsia="Arial" w:hAnsi="Arial"/>
          <w:sz w:val="22"/>
          <w:szCs w:val="22"/>
        </w:rPr>
        <w:t xml:space="preserve"> extension: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MarketConditions → stress_level() → DynamicParameterAdjustment.adjust_risk_weights()
                                                       ↓
                                         SBMCalculator._risk_weight_for()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11.2.5 Fallback Trace Code Pattern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fallback event writes a structured trace string directly onto the trade object: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format: "FALLBACK|{trade_id}|{reason_code}|{description}"
example: "FALLBACK|TRD-001|REGULATORY_FLOOR|IMM EAD below 50% SA-CCR floor — CRE53.5"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consumed downstream by the audit persistence layer and surfaced on the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11.3 Database Design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11.3.1 Schema Overview (17 Tables)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schema: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portfolios    (portfolio_id VARCHAR PK, type VARCHAR, run_date DATE, cpty_id VARCHAR)
trades        (trade_id VARCHAR PK, portfolio_id FK, asset_class, instrument_type,
               notional NUMERIC, mtm NUMERIC, maturity_date DATE)
netting_sets  (netting_id VARCHAR PK, counterparty_id FK, initial_margin NUMERIC,
               variation_margin NUMERIC, threshold NUMERIC, mta NUMERIC, mpor_days INT)
exposures     (exposure_id VARCHAR PK, portfolio_id FK, ead NUMERIC, pd NUMERIC,
               lgd NUMERIC, maturity NUMERIC, sales_volume NUMERIC)
rwa_results   (result_id SERIAL PK, run_date DATE, rwa_credit NUMERIC, rwa_ccr NUMERIC,
               rwa_market NUMERIC, rwa_cva NUMERIC, rwa_ccp NUMERIC, rwa_oprisk NUMERIC,
               total_rwa NUMERIC, final_rwa NUMERIC, capital NUMERIC)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market_data schema: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yield_curves        (curve_id VARCHAR PK, currency VARCHAR, tenor NUMERIC, rate NUMERIC, date DATE)
fx_rates            (pair VARCHAR PK, rate NUMERIC, date DATE)
vol_surfaces        (surface_id VARCHAR PK, asset_class, strike NUMERIC, maturity NUMERIC, vol NUMERIC)
cds_spreads         (entity_id VARCHAR PK, tenor NUMERIC, spread_bp NUMERIC, date DATE)
correlation_matrices(matrix_id VARCHAR PK, risk_class VARCHAR, values JSONB)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 schema: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counterparties    (counterparty_id VARCHAR PK, name VARCHAR, rating VARCHAR, sector VARCHAR)
risk_limits       (limit_id VARCHAR PK, limit_type VARCHAR, threshold NUMERIC, currency VARCHAR)
regulatory_params (param_id VARCHAR PK, standard VARCHAR, parameter VARCHAR, value NUMERIC)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schema: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run_logs             (log_id SERIAL PK, run_date DATE, status VARCHAR, duration_sec NUMERIC, engine_version VARCHAR)
calculation_traces   (trace_id SERIAL PK, portfolio_id FK, engine VARCHAR, formula TEXT, result NUMERIC, ts TIMESTAMPTZ)
breach_alerts        (alert_id SERIAL PK, limit_id FK, value NUMERIC, threshold NUMERIC, ts TIMESTAMPTZ)
user_actions         (action_id SERIAL PK, user_name VARCHAR, action_type VARCHAR, detail TEXT, ts TIMESTAMPTZ)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11.4 Configuration Management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regulatory parameters are centralised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backend/config.py</w:t>
      </w:r>
      <w:r>
        <w:rPr>
          <w:rFonts w:ascii="Arial" w:cs="Arial" w:eastAsia="Arial" w:hAnsi="Arial"/>
          <w:sz w:val="22"/>
          <w:szCs w:val="22"/>
        </w:rPr>
        <w:t xml:space="preserve"> as typed dataclass instances: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Environment variable overrides are supported for all connection parameters (DB, Bloomberg, Refinitiv) via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os.getenv()</w:t>
      </w:r>
      <w:r>
        <w:rPr>
          <w:rFonts w:ascii="Arial" w:cs="Arial" w:eastAsia="Arial" w:hAnsi="Arial"/>
          <w:sz w:val="22"/>
          <w:szCs w:val="22"/>
        </w:rPr>
        <w:t xml:space="preserve">, enabling deployment without credential hardcoding.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11.5 Error Handling Architecture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engines follow a consistent three-tier exception hierarchy: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BaseException
  └── Exception
        ├── ValidationError  (FRTBValidationError, IMMValidationError, ...)
        │     Raised for: invalid inputs, NaN/inf values, parameter out of range
        │     Handler: caller catches, logs WARNING, rejects bad input
        │
        ├── ConfigurationError  (FRTBConfigurationError, ...)
        │     Raised for: invalid config (correlations out of range, empty risk classes)
        │     Handler: caught at startup; prevents engine initialisation
        │
        └── CalculationError  (FRTBCalculationError, ...)
              Raised for: NaN/inf produced during calculation (numerical instability)
              Handler: caught by orchestrator, logged at ERROR, run marked FAILED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Graceful degradation: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Bloomberg/Refinitiv unavailable</w:t>
      </w:r>
      <w:r>
        <w:rPr>
          <w:rFonts w:ascii="Arial" w:cs="Arial" w:eastAsia="Arial" w:hAnsi="Arial"/>
          <w:sz w:val="22"/>
          <w:szCs w:val="22"/>
        </w:rPr>
        <w:t xml:space="preserve"> → falls to next market data tier; logs WARNING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FRED API unavailable</w:t>
      </w:r>
      <w:r>
        <w:rPr>
          <w:rFonts w:ascii="Arial" w:cs="Arial" w:eastAsia="Arial" w:hAnsi="Arial"/>
          <w:sz w:val="22"/>
          <w:szCs w:val="22"/>
        </w:rPr>
        <w:t xml:space="preserve"> → uses hard-coded CVA defaults; logs WARNING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 floor violated</w:t>
      </w:r>
      <w:r>
        <w:rPr>
          <w:rFonts w:ascii="Arial" w:cs="Arial" w:eastAsia="Arial" w:hAnsi="Arial"/>
          <w:sz w:val="22"/>
          <w:szCs w:val="22"/>
        </w:rPr>
        <w:t xml:space="preserve"> → FALLBACK to SA-CCR; trace logged; run continues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SA-CVA not approved</w:t>
      </w:r>
      <w:r>
        <w:rPr>
          <w:rFonts w:ascii="Arial" w:cs="Arial" w:eastAsia="Arial" w:hAnsi="Arial"/>
          <w:sz w:val="22"/>
          <w:szCs w:val="22"/>
        </w:rPr>
        <w:t xml:space="preserve"> → BA-CVA used; trace logged; run continues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scipy.special.erfinv unavailable</w:t>
      </w:r>
      <w:r>
        <w:rPr>
          <w:rFonts w:ascii="Arial" w:cs="Arial" w:eastAsia="Arial" w:hAnsi="Arial"/>
          <w:sz w:val="22"/>
          <w:szCs w:val="22"/>
        </w:rPr>
        <w:t xml:space="preserve"> → local polynomial approximation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a_irb.py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11.6 Testing Architecture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 unit/integration tests</w:t>
      </w:r>
      <w:r>
        <w:rPr>
          <w:rFonts w:ascii="Arial" w:cs="Arial" w:eastAsia="Arial" w:hAnsi="Arial"/>
          <w:sz w:val="22"/>
          <w:szCs w:val="22"/>
        </w:rPr>
        <w:t xml:space="preserve"> across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tests/test_engines.py</w:t>
      </w:r>
      <w:r>
        <w:rPr>
          <w:rFonts w:ascii="Arial" w:cs="Arial" w:eastAsia="Arial" w:hAnsi="Arial"/>
          <w:sz w:val="22"/>
          <w:szCs w:val="22"/>
        </w:rPr>
        <w:t xml:space="preserve">, structured by engine: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11.7 Deployment Architecture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A — Development (Current):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MacBook Air M1 (8 GB RAM, macOS Ventura+)
├── Python 3.11 (.venv at /Users/aaron/Documents/Project/Prometheus/.venv/)
├── PostgreSQL 15 (Docker arm64, localhost:5432)
│   └── Database: prometheus_risk | User: risk_admin
├── pgAdmin 4 (Docker, localhost:5050) — schema browser
├── Streamlit 1.28 (localhost:8501) — dashboard
└── pytest 7.4 — test suite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E / F — Production (Planned 2026):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Azure / AWS Cloud
├── Azure App Service (Python 3.11 backend, auto-scale)
│   └── Trigger: Azure Scheduler (06:00 daily)
├── Azure Database for PostgreSQL (Flexible Server, Burstable B2ms)
│   └── Geo-redundant backup; TDE encryption at rest
├── Azure Key Vault — credentials (DB password, Bloomberg API key)
├── Application Insights — logging, performance monitoring, alerts
├── Azure Blob Storage — report exports (xlsx/csv)
└── Azure Front Door / Application Gateway — HTTPS load balancing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12. APPENDIX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A — Regulatory Standards Reference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B — Key Regulatory Formulas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B.1 SA-CCR EAD (CRE52)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$$\text{EAD} = 1.4 \times \left[\max(V - C,\; TH + MTA - NICA,\; 0) + \text{mult} \times \text{AddOn}_\text{agg}\right]$$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$$\text{mult} = \min\!\left(1,\; 0.05 + 0.95 \times e^{\frac{V}{1.9 \times \text{AddOn}_\text{agg}}}\right)$$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B.2 A-IRB Capital Requirement (CRE31)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$$K = \left[LGD \cdot \Phi\!\left(\frac{\Phi^{-1}(PD) + \sqrt{R}\,\Phi^{-1}(0.999)}{\sqrt{1-R}}\right) - PD \cdot LGD\right] \times \frac{1 + (M-2.5)b}{1-1.5b}$$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$$R = \frac{0.12(1-e^{-50PD})}{1-e^{-50}} + \frac{0.24[1-(1-e^{-50PD})/(1-e^{-50})]}{1}$$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$$b = (0.11852 - 0.05478\ln PD)^2$$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B.3 FRTB SBM Delta (MAR21)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$$K_b = \sqrt{\sum_k WS_k^2 + \sum_{k\neq l}\rho_{kl}\cdot WS_k\cdot WS_l}$$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$$\Delta = \max\!\left(\sqrt{\sum_b K_b^2 + \sum_{b\neq c}\gamma_{bc}K_bK_c},\; \sum_k|WS_k|\right)$$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B.4 IMM EEPE (CRE53)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$$\text{EEE}(t_k) = \max\left(\text{EEE}(t_{k-1}),\; \text{EE}(t_k)\right)$$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$$\text{EEPE} = \frac{1}{T}\sum_{k=1}^{T}\text{EEE}(t_k)$$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$$\text{EAD}_\text{IMM} = 1.4 \times \text{EEPE}$$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B.5 Five-Part RWA Formula (RBC20.9)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$$\text{Total RWA} = \text{RWA}_\text{Cr} + \text{RWA}_\text{CCR} + \text{RWA}_\text{Mkt} + \text{RWA}_\text{CVA} + \text{RWA}_\text{CCP} + \text{RWA}_\text{OpRisk}$$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$$\text{SA Base} = \text{RWA}_\text{Cr,SA} + \text{RWA}_\text{CCR,SA} + \text{RWA}_\text{Mkt,SA} + \text{RWA}_\text{CCP,SA}$$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$$\text{Final RWA} = \max\!\left(\text{Total RWA},\; 0.725 \times \text{SA Base}\right)$$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$$\text{Capital} = \text{Final RWA} \times 8\%$$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C — File Structure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PROMETHEUS/
├── PROMETHEUS_FSD.md              ← This document
├── PROMETHEUS_BRD.md              ← Business Requirements Document
├── README.md                      ← Quick start and overview
├── requirements.txt               ← Python dependencies
├── setup.sh                       ← One-shot environment setup
├── run_dashboard.sh               ← Dashboard launcher (Streamlit)
├── run_engine.sh                  ← CLI risk run launcher
├── run_tests.sh                   ← Test suite executor
│
├── docker/
│   ├── docker-compose.yml         ← PostgreSQL 15 + pgAdmin 4 (arm64)
│   └── init.sql                   ← Database schema initialisation (17 tables)
│
├── backend/
│   ├── config.py                  ← Regulatory parameter configuration
│   ├── main.py                    ← PrometheusRunner orchestrator (458 lines)
│   │
│   ├── engines/
│   │   ├── sa_ccr.py              ← SA-CCR (CRE52) — 459 lines
│   │   ├── imm.py                 ← IMM / Monte Carlo (CRE53) — 1,489 lines
│   │   ├── a_irb.py               ← A-IRB (CRE30–36) — 1,249 lines
│   │   ├── frtb.py                ← FRTB (MAR20–33) — 1,710 lines
│   │   ├── cva.py                 ← CVA Risk (MAR50) — 646 lines
│   │   └── ccp.py                 ← CCP (CRE54) — ~100 lines
│   │
│   ├── data_generators/
│   │   ├── portfolio_generator.py ← Synthetic derivative and banking book portfolios
│   │   └── cva_generator.py       ← CVA counterparty inputs and CCP exposures
│   │
│   └── data_sources/
│       ├── market_data_provider.py ← Abstract + Bloomberg/Refinitiv/Internal/Static providers
│       ├── cds_spread_service.py   ← CDS spread service with fallback and caching
│       ├── market_state.py         ← Market state management
│       ├── calibration.py          ← Historical volatility calibration module
│       └── persistence.py          ← PostgreSQL schema creation and result persistence
│
├── dashboard/
│   └── app.py                     ← Streamlit dashboard — 8 pages (844 lines)
│
├── tests/
│   └── test_engines.py            ← 48 validation tests
│
└── docs/
    └── MARKET_DATA_ARCHITECTURE.md ← Market data provider architecture guide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D — Glossary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E — Sprint Roadmap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F — Risk Register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G — Acceptance Criteria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H — Sign-Off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PROMETHEUS · Basel III/IV Risk Management Platform · Python 3.11 · PostgreSQL 15 · Streamlit 1.28</w:t>
      </w: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 Reference: PROMETHEUS-FSD-v1.0 · Classification: Internal Use — Confidential</w:t>
      </w: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© 2025–2026 Risk Technology · All rights reserved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Use Only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PROMETHEUS Risk Platform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PROMETHEUS RISK PLATFORM</w:t>
    </w:r>
    <w:r>
      <w:rPr>
        <w:rFonts w:ascii="Arial" w:cs="Arial" w:eastAsia="Arial" w:hAnsi="Arial"/>
        <w:color w:val="666666"/>
        <w:sz w:val="18"/>
        <w:szCs w:val="18"/>
      </w:rPr>
      <w:t xml:space="preserve">  |  Version 3.8 — Apr-27-2026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2"/>
      </w:pBd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2026-04-27T08:15:03.961Z</dcterms:created>
  <dcterms:modified xsi:type="dcterms:W3CDTF">2026-04-27T08:15:03.961Z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