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SA-CCR Technical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Standardised Approach for Counterparty Credit Risk (CRE52)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PROMETHEUS Risk Platform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Last Updated:</w:t>
      </w:r>
      <w:r>
        <w:rPr>
          <w:rFonts w:ascii="Arial" w:cs="Arial" w:eastAsia="Arial" w:hAnsi="Arial"/>
          <w:sz w:val="22"/>
          <w:szCs w:val="22"/>
        </w:rPr>
        <w:t xml:space="preserve"> Version 3.8 — Apr-27-2026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Changes (v3.8):</w:t>
      </w:r>
      <w:r>
        <w:rPr>
          <w:rFonts w:ascii="Arial" w:cs="Arial" w:eastAsia="Arial" w:hAnsi="Arial"/>
          <w:sz w:val="22"/>
          <w:szCs w:val="22"/>
        </w:rPr>
        <w:t xml:space="preserve"> Fix 4 — Output floor base now uses SA-CCR for CCR component (RBC20.11); SA-CCR is the mandatory parallel run even when IMM is the primary approach.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Table of Contents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Overview &amp; Regulatory Basis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SA-CCR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Replacement Cost (RC)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PFE Multiplier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Add-On by Asset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EAD Formula and Margined 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Supervisory Delta — Options and CDOs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Gap Fixes Applied (GAP-01 to GAP-13)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Structures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Glossary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Appendix A</w:t>
      </w:r>
      <w:r>
        <w:rPr>
          <w:rFonts w:ascii="Arial" w:cs="Arial" w:eastAsia="Arial" w:hAnsi="Arial"/>
          <w:sz w:val="22"/>
          <w:szCs w:val="22"/>
        </w:rPr>
        <w:t xml:space="preserve"> — Interest Rate Swap (IRS): Full Numeric Example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Appendix B</w:t>
      </w:r>
      <w:r>
        <w:rPr>
          <w:rFonts w:ascii="Arial" w:cs="Arial" w:eastAsia="Arial" w:hAnsi="Arial"/>
          <w:sz w:val="22"/>
          <w:szCs w:val="22"/>
        </w:rPr>
        <w:t xml:space="preserve"> — FX Forward: Full Numeric Example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Appendix C</w:t>
      </w:r>
      <w:r>
        <w:rPr>
          <w:rFonts w:ascii="Arial" w:cs="Arial" w:eastAsia="Arial" w:hAnsi="Arial"/>
          <w:sz w:val="22"/>
          <w:szCs w:val="22"/>
        </w:rPr>
        <w:t xml:space="preserve"> — CDS Single-Name: Full Numeric Example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Appendix D</w:t>
      </w:r>
      <w:r>
        <w:rPr>
          <w:rFonts w:ascii="Arial" w:cs="Arial" w:eastAsia="Arial" w:hAnsi="Arial"/>
          <w:sz w:val="22"/>
          <w:szCs w:val="22"/>
        </w:rPr>
        <w:t xml:space="preserve"> — Equity Option (Margined Netting Set)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Appendix E</w:t>
      </w:r>
      <w:r>
        <w:rPr>
          <w:rFonts w:ascii="Arial" w:cs="Arial" w:eastAsia="Arial" w:hAnsi="Arial"/>
          <w:sz w:val="22"/>
          <w:szCs w:val="22"/>
        </w:rPr>
        <w:t xml:space="preserve"> — Multi-Asset Netting Set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1. Overview &amp; Regulatory Basis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SA-CCR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Basel standardised method</w:t>
      </w:r>
      <w:r>
        <w:rPr>
          <w:rFonts w:ascii="Arial" w:cs="Arial" w:eastAsia="Arial" w:hAnsi="Arial"/>
          <w:sz w:val="22"/>
          <w:szCs w:val="22"/>
        </w:rPr>
        <w:t xml:space="preserve"> for computing Exposure at Default (EAD) for OTC derivatives and exchange-traded derivatives. EAD feeds into: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Credit Risk RWA (× counterparty risk weight)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CVA capital (via EAD as exposure proxy)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CCP capital (as trade_ead input)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Key Formula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EAD = α × (RC + Multiplier × AddOn_aggregate)
where:
  α      = 1.4 (supervisory scaling factor)
  RC     = Replacement Cost
  AddOn  = Potential Future Exposure add-on (sum across asset classes)
  Multiplier = PFE multiplier (function of V and C)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2. SA-CCR Structure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Netting Set Input (trades + collateral)
        │
        ├── Replacement Cost (RC)
        │    ├── Unmargined: max(V − C, 0)            [CRE52.10]
        │    └── Margined:   max(V − C, TH + MTA − NICA, 0) [CRE52.18]
        │
        ├── PFE Multiplier
        │    mult = min(1, 0.05 + 0.95 × exp((V−C)/(2 × 0.95 × AddOn_agg)))
        │
        └── Add-On per Asset Class
             ├── IR:    hedging sets per currency; SD formula [CRE52.56–61]
             ├── FX:    per currency pair; SF × notional     [CRE52.62–65]
             ├── EQ:    single-name (32%/50%) or index (20%/80%) [CRE52.66–68]
             ├── CR:    rating-granular SF; single/index rho   [CRE52.69–72]
             └── CMDTY: by commodity type; electricity 40%    [CRE52.73–77]
EAD = α × (RC + mult × Σ AddOn_k)    [CRE52.6]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3. Replacement Cost (RC)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Unmargined Netting Set (CRE52.10)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RC_unmargined = max(V − C, 0)
where:
  V = net MtM of the netting set (positive = in the money to bank)
  C = net collateral held (excluding NICA)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Margined Netting Set (CRE52.18)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RC_margined = max(V − C, TH + MTA − NICA, 0)
where:
  TH   = Threshold (amount of exposure before margin calls trigger)
  MTA  = Minimum Transfer Amount
  NICA = Net Independent Collateral Amount (initial margin held net)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second term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TH + MTA − NICA</w:t>
      </w:r>
      <w:r>
        <w:rPr>
          <w:rFonts w:ascii="Arial" w:cs="Arial" w:eastAsia="Arial" w:hAnsi="Arial"/>
          <w:sz w:val="22"/>
          <w:szCs w:val="22"/>
        </w:rPr>
        <w:t xml:space="preserve"> represents the maximum potential exposure that exists at the margin of the collateral agreement — the "gap risk" within the MPOR.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4. PFE Multiplier (CRE52.22–23)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         = (V − C) / (2 × 0.95 × AddOn_agg)
Multiplier = min(1.0, 0.05 + 0.95 × exp(y))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V − C ≥ 0</w:t>
      </w:r>
      <w:r>
        <w:rPr>
          <w:rFonts w:ascii="Arial" w:cs="Arial" w:eastAsia="Arial" w:hAnsi="Arial"/>
          <w:sz w:val="22"/>
          <w:szCs w:val="22"/>
        </w:rPr>
        <w:t xml:space="preserve"> (in the money): multiplier approaches 1.0 — full add-on used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V − C &lt; 0</w:t>
      </w:r>
      <w:r>
        <w:rPr>
          <w:rFonts w:ascii="Arial" w:cs="Arial" w:eastAsia="Arial" w:hAnsi="Arial"/>
          <w:sz w:val="22"/>
          <w:szCs w:val="22"/>
        </w:rPr>
        <w:t xml:space="preserve"> (out of the money): multiplier &lt; 1 — reduced add-on reflects lower risk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Floor of 0.05 — even deep OTM positions carry a minimum 5% of add-on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multiplier captures the economic insight that a netting set already well out-of-the-money is unlikely to generate large future exposures. The 0.05 floor prevents multiplier from reaching zero.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5. Add-On by Asset Class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5.1 Interest Rate Add-On (CRE52.56–61)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IR add-ons are computed per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currency</w:t>
      </w:r>
      <w:r>
        <w:rPr>
          <w:rFonts w:ascii="Arial" w:cs="Arial" w:eastAsia="Arial" w:hAnsi="Arial"/>
          <w:sz w:val="22"/>
          <w:szCs w:val="22"/>
        </w:rPr>
        <w:t xml:space="preserve"> (hedging set). Within each currency: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D_i = Adjusted Notional × SD_i × MF_i
where:
  Adjusted Notional = trade notional
  SD_i = Supervisory delta (+1 or −1 for linear; Black-Scholes for options)
  MF_i = Maturity Factor = sqrt(min(M, 1) / 1)   for unmargined
       = (3/2) × sqrt(MPOR / 250)                 for margined [GAP-01]
Effective Notional per time bucket (T_start, T_end in years):
  EN_i = D_i × (exp(−0.05 × T_start) − exp(−0.05 × T_end))
Time buckets: [0,1), [1,5), [5,∞)
Add-on per hedging set:
  AddOn_IR = SF_IR × sqrt(EN_1² + EN_2² + EN_3² + 1.4×EN_1×EN_2 + 1.4×EN_2×EN_3 + 0.6×EN_1×EN_3)
  SF_IR = 0.005 (0.5%)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</w:t>
      </w:r>
      <w:r>
        <w:rPr>
          <w:rFonts w:ascii="Arial" w:cs="Arial" w:eastAsia="Arial" w:hAnsi="Arial"/>
          <w:sz w:val="22"/>
          <w:szCs w:val="22"/>
        </w:rPr>
        <w:t xml:space="preserve"> The 1.4 and 0.6 cross-bucket correlations reflect partial offset between adjacent maturity buckets.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5.2 FX Add-On (CRE52.62–65)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each currency pair (USD/EUR, USD/GBP, etc.):
  Add-On_pair = SF_FX × |Σ SD_i × D_i|
  SF_FX = 0.04 (4%)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5.3 Equity Add-On (CRE52.66–68, GAP-04)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Single-name:   SF = 32%, ρ = 50%
Index:         SF = 20%, ρ = 80%
For each underlying:
  AddOn_eq = SF × |Σ SD_i × D_i|
Aggregation across underlyings:
  Total = sqrt((ρ × Σ AddOn_k)² + (1−ρ²) × Σ AddOn_k²)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GAP-04:</w:t>
      </w:r>
      <w:r>
        <w:rPr>
          <w:rFonts w:ascii="Arial" w:cs="Arial" w:eastAsia="Arial" w:hAnsi="Arial"/>
          <w:sz w:val="22"/>
          <w:szCs w:val="22"/>
        </w:rPr>
        <w:t xml:space="preserve"> Original code used SF=20%/ρ=50% for both single-name and index. Basel Table 2 specifies single-name has 32% SF (higher because individual stocks are more volatile) and lower correlation (50% vs 80%).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5.4 Credit Add-On (CRE52.69–72, GAP-02/03)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SF_credit by rating (Table 2):
  AAA: 0.38%  AA: 0.38%  A: 0.42%  BBB: 0.54%  BB: 1.06%  B: 1.60%  CCC: 6.00%
Single-name: ρ = 50%
Index CDS:   ρ = 80%    [GAP-03: was uniformly 50%]
For each reference entity / index:
  AddOn_cr = SF(rating) × |Σ SD_i × D_i|
Aggregation:
  Total_cr = sqrt((ρ × Σ AddOn_k)² + (1−ρ²) × Σ AddOn_k²)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GAP-02:</w:t>
      </w:r>
      <w:r>
        <w:rPr>
          <w:rFonts w:ascii="Arial" w:cs="Arial" w:eastAsia="Arial" w:hAnsi="Arial"/>
          <w:sz w:val="22"/>
          <w:szCs w:val="22"/>
        </w:rPr>
        <w:t xml:space="preserve"> Original used flat IG/HY SF split. Basel requires 7-grade rating-granular SFs — critical for accurate CDS capital.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5.5 Commodity Add-On (CRE52.73–77, GAP-05)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SF by commodity type (Table 2):
  Crude oil:    18%
  Electricity:  40%    [GAP-05: separate hedging set; was 18%]
  Gold:         18%
  Other metals: 18%
  Agricultural: 15%
  Other:        15%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GAP-05:</w:t>
      </w:r>
      <w:r>
        <w:rPr>
          <w:rFonts w:ascii="Arial" w:cs="Arial" w:eastAsia="Arial" w:hAnsi="Arial"/>
          <w:sz w:val="22"/>
          <w:szCs w:val="22"/>
        </w:rPr>
        <w:t xml:space="preserve"> Electricity is a separate hedging set with 40% SF (vs 18% for oil) because electricity is non-storable and exhibits extreme price spikes (e.g. Texas winter storm 2021).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6. EAD Formula and Margined Cap (CRE52.2)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EAD_unmargined = α × (RC_unmargined + mult_unmargined × AddOn)
EAD_margined   = α × (RC_margined   + mult_margined   × AddOn)
Final EAD = min(EAD_margined, EAD_unmargined)    [CRE52.2, GAP-08]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GAP-08:</w:t>
      </w:r>
      <w:r>
        <w:rPr>
          <w:rFonts w:ascii="Arial" w:cs="Arial" w:eastAsia="Arial" w:hAnsi="Arial"/>
          <w:sz w:val="22"/>
          <w:szCs w:val="22"/>
        </w:rPr>
        <w:t xml:space="preserve"> The margined EAD cap prevents a counterintuitive result where adding a margin agreement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increases</w:t>
      </w:r>
      <w:r>
        <w:rPr>
          <w:rFonts w:ascii="Arial" w:cs="Arial" w:eastAsia="Arial" w:hAnsi="Arial"/>
          <w:sz w:val="22"/>
          <w:szCs w:val="22"/>
        </w:rPr>
        <w:t xml:space="preserve"> EAD (which could happen if the MF adjustment produces a higher add-on than the unmargined calculation).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7. Supervisory Delta — Options and CDOs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Option Delta (CRE52.40, GAP-06)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options (not plain vanilla forwards/swaps):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Call option:  δ = +N(d₁)
Put option:   δ = −N(−d₁)
d₁ = (ln((P + λ) / (K + λ)) + 0.5 × σ² × T) / (σ × sqrt(T))
where:
  P  = current underlying price
  K  = strike price
  σ  = supervisory volatility (from SUPERVISORY_VOL table)
  T  = option maturity
  λ  = shift parameter (ensures positive domain for rates)
        λ = 0.005 (50bp) for IR options to handle negative rates
        λ = 0 for other asset classes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Supervisory volatilities (SUPERVISORY_VOL):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CDO Tranche Delta (CRE52.41, GAP-07)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tranched CDO positions:
  δ = +15 × exp(−14 × A) × (1 − exp(−14 × D))   [protection buyer]
  δ = −15 × exp(−14 × A) × (1 − exp(−14 × D))   [protection seller]
where:
  A = attachment point (e.g. 3% = 0.03)
  D = detachment point (e.g. 6% = 0.06)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8. Key Gap Fixes Applied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9. Data Structures Reference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Trade (Input)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10. Glossary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A — Interest Rate Swap: Full Numeric Example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Trade Setup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bank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pays fixed 3%</w:t>
      </w:r>
      <w:r>
        <w:rPr>
          <w:rFonts w:ascii="Arial" w:cs="Arial" w:eastAsia="Arial" w:hAnsi="Arial"/>
          <w:sz w:val="22"/>
          <w:szCs w:val="22"/>
        </w:rPr>
        <w:t xml:space="preserve"> on a 5-year USD IRS, $10M notional. Current MtM = +$150,000 (in the money). Unmargined netting set. Valuation date: today.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Step 1: Replacement Cost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RC = max(V − C, 0)
   = max(150,000 − 0, 0)
   = $150,000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Step 2: Maturity Factor (Unmargined)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MF = sqrt(min(M, 1) / 1)
   = sqrt(min(5.0, 1) / 1)
   = sqrt(1.0)
   = 1.0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(MF is capped at 1.0 for maturities &gt; 1 year for unmargined trades)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Step 3: Adjusted Notional with SD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vanilla IRS (linear), SD = +1.0 (payer position):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 = Notional × SD × MF
  = 10,000,000 × 1.0 × 1.0
  = $10,000,000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Step 4: Effective Notional per Time Bucket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5-year IRS falls in bucket [1, 5) with T_start=0 and T_end=5: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EN_bucket2 = D × (exp(−0.05 × 0) − exp(−0.05 × 5))
           = 10,000,000 × (1.0 − exp(−0.25))
           = 10,000,000 × (1.0 − 0.7788)
           = 10,000,000 × 0.2212
           = $2,212,000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trades in buckets 1 or 3, so EN_1 = EN_3 = 0.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Step 5: IR Add-On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AddOn_IR = SF_IR × sqrt(EN_1² + EN_2² + EN_3² + cross-terms)
         = 0.005 × sqrt(0 + 2,212,000² + 0)
         = 0.005 × 2,212,000
         = $11,060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Step 6: PFE Multiplier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= (V − C) / (2 × 0.95 × AddOn)
  = 150,000 / (2 × 0.95 × 11,060)
  = 150,000 / 21,014
  = 7.138
Multiplier = min(1.0, 0.05 + 0.95 × exp(7.138))
           = min(1.0, 0.05 + 0.95 × 1252.3)
           = min(1.0, 1189.7)
           = 1.0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large positive MtM forces multiplier = 1.0 (floor applies).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Step 7: EAD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EAD = α × (RC + Multiplier × AddOn)
    = 1.4 × (150,000 + 1.0 × 11,060)
    = 1.4 × 161,060
    = $225,484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Step 8: Credit Risk RWA (assuming BBB-rated counterparty, 100% RW)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RWA = EAD × RW = 225,484 × 1.00 = $225,484
Capital = 225,484 × 8% = $18,039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B — FX Forward: Full Numeric Example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Trade Setup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Bank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 EUR/USD</w:t>
      </w:r>
      <w:r>
        <w:rPr>
          <w:rFonts w:ascii="Arial" w:cs="Arial" w:eastAsia="Arial" w:hAnsi="Arial"/>
          <w:sz w:val="22"/>
          <w:szCs w:val="22"/>
        </w:rPr>
        <w:t xml:space="preserve"> forward. Buys EUR 10M at 1.080 in 1 year. Current spot = 1.095.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MtM = (1.095 − 1.080) × 10,000,000 = +$150,000.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Add-On Calculation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SF_FX = 4.0%
D     = 10,950,000 × 1.0 × 1.0 = $10,950,000
AddOn_FX = SF_FX × |D| = 0.04 × 10,950,000 = $438,000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EAD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Multiplier = 1.0 (in the money)
EAD = 1.4 × (150,000 + 1.0 × 438,000) = 1.4 × 588,000 = $823,200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C — CDS Single-Name: Full Numeric Example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Trade Setup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Bank buys $5M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protection</w:t>
      </w:r>
      <w:r>
        <w:rPr>
          <w:rFonts w:ascii="Arial" w:cs="Arial" w:eastAsia="Arial" w:hAnsi="Arial"/>
          <w:sz w:val="22"/>
          <w:szCs w:val="22"/>
        </w:rPr>
        <w:t xml:space="preserve"> on a BB-rated corporate. 5-year CDS. MtM = −$50,000 (out of the money for protection buyer as spreads narrowed).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Supervisory Factor (GAP-02)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SF_credit (BB rating) = 1.06% = 0.0106   [from rating-granular Table 2]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Add-On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       = 5,000,000 × 1.0 × 1.0 = $5,000,000
AddOn_CR = SF × |D| = 0.0106 × 5,000,000 = $53,000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PFE Multiplier (out of the money)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= (−50,000) / (2 × 0.95 × 53,000)
  = −50,000 / 100,700
  = −0.4965
Multiplier = min(1.0, 0.05 + 0.95 × exp(−0.4965))
           = min(1.0, 0.05 + 0.95 × 0.6086)
           = min(1.0, 0.05 + 0.5782)
           = min(1.0, 0.6282)
           = 0.6282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Out-of-the-money → multiplier &lt; 1.0 (reduced PFE).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EAD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RC  = max(−50,000 − 0, 0) = 0   (OTM → no replacement cost)
EAD = 1.4 × (0 + 0.6282 × 53,000)
    = 1.4 × 33,295
    = $46,613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D — Equity Option (Margined Netting Set, GAP-01)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Trade Setup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Bank holds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 call option</w:t>
      </w:r>
      <w:r>
        <w:rPr>
          <w:rFonts w:ascii="Arial" w:cs="Arial" w:eastAsia="Arial" w:hAnsi="Arial"/>
          <w:sz w:val="22"/>
          <w:szCs w:val="22"/>
        </w:rPr>
        <w:t xml:space="preserve"> on SPX Index. $2M notional. Strike = 5,200, spot = 5,350. Maturity = 0.5 years. Margined (CSA), MPOR = 10 days. σ_eq_index = 75%.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Supervisory Delta (GAP-06)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= 5,350, K = 5,200, T = 0.5, σ = 75%, λ = 0
d₁ = (ln(5350/5200) + 0.5 × 0.75² × 0.5) / (0.75 × sqrt(0.5))
   = (ln(1.0288) + 0.5 × 0.5625 × 0.5) / (0.75 × 0.7071)
   = (0.02841 + 0.14063) / 0.53033
   = 0.16904 / 0.53033
   = 0.3188
SD = N(0.3188) = 0.6251   (call option: long EQ exposure)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Maturity Factor — Margined (GAP-01)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MF_margined = (3/2) × sqrt(MPOR / 250)
            = 1.5 × sqrt(10 / 250)
            = 1.5 × sqrt(0.04)
            = 1.5 × 0.2
            = 0.30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Without GAP-01 fix:</w:t>
      </w:r>
      <w:r>
        <w:rPr>
          <w:rFonts w:ascii="Arial" w:cs="Arial" w:eastAsia="Arial" w:hAnsi="Arial"/>
          <w:sz w:val="22"/>
          <w:szCs w:val="22"/>
        </w:rPr>
        <w:t xml:space="preserve"> MF = sqrt(10/250) = 0.20 → add-on understated by 33%.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Add-On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D_eq    = Notional × SD × MF = 2,000,000 × 0.6251 × 0.30 = $375,060
SF_eq   = 20% (index)
AddOn   = 0.20 × 375,060 = $75,012
Multiplier = 1.0 (assume in the money)
EAD_margined = 1.4 × (0 + 1.0 × 75,012) = $105,017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E — Multi-Asset Netting Set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Setup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netting set with three trades: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Net MtM = +$200,000. Collateral = $50,000.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IR Aggregation (Same Currency, Partial Netting)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+$10M and −$8M USD IRS positions partially offset within the USD hedging set: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Net EN_bucket2 = 2,212,000 − 1,697,000 = $515,000
AddOn_IR = 0.005 × 515,000 = $2,575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Total Add-On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AddOn_IR = $2,575       (partially netted)
AddOn_FX = $438,000
Total AddOn = $2,575 + $438,000 = $440,575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cross-asset-class netting</w:t>
      </w:r>
      <w:r>
        <w:rPr>
          <w:rFonts w:ascii="Arial" w:cs="Arial" w:eastAsia="Arial" w:hAnsi="Arial"/>
          <w:sz w:val="22"/>
          <w:szCs w:val="22"/>
        </w:rPr>
        <w:t xml:space="preserve"> — IR and FX add-ons always sum arithmetically.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RC and EAD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RC   = max(200,000 − 50,000, 0) = $150,000
mult = 1.0 (in the money)
EAD  = 1.4 × (150,000 + 440,575) = 1.4 × 590,575 = $826,805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Insight:</w:t>
      </w:r>
      <w:r>
        <w:rPr>
          <w:rFonts w:ascii="Arial" w:cs="Arial" w:eastAsia="Arial" w:hAnsi="Arial"/>
          <w:sz w:val="22"/>
          <w:szCs w:val="22"/>
        </w:rPr>
        <w:t xml:space="preserve"> The FX forward dominates the add-on ($438k vs $2.6k for IR) because 4% SF is 8× higher than 0.5% IR SF. IR netting generated $8,480 in savings — illustrating why CSA agreements with robust netting are capital-efficient.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CONFIDENTIAL — Internal Use Only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PROMETHEUS Risk Platform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SA-CCR Technical Guide</w:t>
    </w:r>
    <w:r>
      <w:rPr>
        <w:rFonts w:ascii="Arial" w:cs="Arial" w:eastAsia="Arial" w:hAnsi="Arial"/>
        <w:color w:val="666666"/>
        <w:sz w:val="18"/>
        <w:szCs w:val="18"/>
      </w:rPr>
      <w:t xml:space="preserve">  |  Version 3.8 — Apr-27-2026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6" w:space="2"/>
      </w:pBd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2026-04-27T08:15:03.783Z</dcterms:created>
  <dcterms:modified xsi:type="dcterms:W3CDTF">2026-04-27T08:15:03.783Z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