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360"/>
      </w:pPr>
      <w:r>
        <w:rPr>
          <w:rFonts w:ascii="Arial" w:cs="Arial" w:eastAsia="Arial" w:hAnsi="Arial"/>
          <w:sz w:val="22"/>
          <w:szCs w:val="22"/>
        </w:rPr>
        <w:t xml:space="preserve">PROMETHEUS RISK PLATFORM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sz w:val="22"/>
          <w:szCs w:val="22"/>
        </w:rPr>
        <w:t xml:space="preserve">Functional Specification Document (FSD)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Document Reference:</w:t>
      </w:r>
      <w:r>
        <w:rPr>
          <w:rFonts w:ascii="Arial" w:cs="Arial" w:eastAsia="Arial" w:hAnsi="Arial"/>
          <w:sz w:val="22"/>
          <w:szCs w:val="22"/>
        </w:rPr>
        <w:t xml:space="preserve"> PROMETHEUS-FSD-v1.0  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Document Version:</w:t>
      </w:r>
      <w:r>
        <w:rPr>
          <w:rFonts w:ascii="Arial" w:cs="Arial" w:eastAsia="Arial" w:hAnsi="Arial"/>
          <w:sz w:val="22"/>
          <w:szCs w:val="22"/>
        </w:rPr>
        <w:t xml:space="preserve"> 1.0  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Date:</w:t>
      </w:r>
      <w:r>
        <w:rPr>
          <w:rFonts w:ascii="Arial" w:cs="Arial" w:eastAsia="Arial" w:hAnsi="Arial"/>
          <w:sz w:val="22"/>
          <w:szCs w:val="22"/>
        </w:rPr>
        <w:t xml:space="preserve"> April 5, 2026  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Classification:</w:t>
      </w:r>
      <w:r>
        <w:rPr>
          <w:rFonts w:ascii="Arial" w:cs="Arial" w:eastAsia="Arial" w:hAnsi="Arial"/>
          <w:sz w:val="22"/>
          <w:szCs w:val="22"/>
        </w:rPr>
        <w:t xml:space="preserve"> Internal Use — Confidential  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Status:</w:t>
      </w:r>
      <w:r>
        <w:rPr>
          <w:rFonts w:ascii="Arial" w:cs="Arial" w:eastAsia="Arial" w:hAnsi="Arial"/>
          <w:sz w:val="22"/>
          <w:szCs w:val="22"/>
        </w:rPr>
        <w:t xml:space="preserve"> Final  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Prepared By:</w:t>
      </w:r>
      <w:r>
        <w:rPr>
          <w:rFonts w:ascii="Arial" w:cs="Arial" w:eastAsia="Arial" w:hAnsi="Arial"/>
          <w:sz w:val="22"/>
          <w:szCs w:val="22"/>
        </w:rPr>
        <w:t xml:space="preserve"> Risk Technology — Lead Developer  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Reviewed By:</w:t>
      </w:r>
      <w:r>
        <w:rPr>
          <w:rFonts w:ascii="Arial" w:cs="Arial" w:eastAsia="Arial" w:hAnsi="Arial"/>
          <w:sz w:val="22"/>
          <w:szCs w:val="22"/>
        </w:rPr>
        <w:t xml:space="preserve"> Head of Market Risk | Head of Credit Risk | Regulatory Affairs  </w:t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sz w:val="22"/>
          <w:szCs w:val="22"/>
        </w:rPr>
        <w:t xml:space="preserve">DOCUMENT CONTROL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Distribution List: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Chief Risk Officer · Head of Market Risk · Head of Credit Risk · Head of Treasury · Regulatory Affairs · IT Infrastructure · External Auditors (upon request)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Review Cycle:</w:t>
      </w:r>
      <w:r>
        <w:rPr>
          <w:rFonts w:ascii="Arial" w:cs="Arial" w:eastAsia="Arial" w:hAnsi="Arial"/>
          <w:sz w:val="22"/>
          <w:szCs w:val="22"/>
        </w:rPr>
        <w:t xml:space="preserve"> Quarterly or upon material regulatory update (BCBS standards revision, supervisory guidance)</w:t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sz w:val="22"/>
          <w:szCs w:val="22"/>
        </w:rPr>
        <w:t xml:space="preserve">TABLE OF CONTENTS</w:t>
      </w:r>
    </w:p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[Table of Contents](#table-of-contents)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[Project Description](#2-project-description)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[Project Objective](#3-project-objective)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[Components Impacted](#4-components-impacted)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[Upstream Dependencies](#5-upstream-dependencies)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[Downstream Dependencies](#6-downstream-dependencies)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[Business Requirements](#7-business-requirements)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[Functional Requirements](#8-functional-requirements)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- [FR-001: SA-CCR Calculation Engine (CRE52)](#fr-001-sa-ccr-calculation-engine--standardised-approach-for-counterparty-credit-risk)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- [FR-002: IMM Monte Carlo Engine (CRE53)](#fr-002-imm-monte-carlo-engine--internal-models-method)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- [FR-003: A-IRB Credit Risk Engine (CRE30–36)](#fr-003-a-irb-credit-risk-engine--advanced-internal-ratings-based-approach)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- [FR-004: FRTB Market Risk Engine (MAR21–33)](#fr-004-frtb-market-risk-engine--fundamental-review-of-the-trading-book)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- [FR-005: CVA Risk Engine (MAR50)](#fr-005-cva-risk-engine--credit-valuation-adjustment)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- [FR-006: CCP Exposure Engine (CRE54)](#fr-006-ccp-exposure-engine--central-counterparty-capital)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- [FR-007: Daily Risk Orchestrator (RBC20)](#fr-007-daily-risk-orchestrator--five-part-rwa-formula)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- [FR-008: Market Data Integration](#fr-008-market-data-integration)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- [FR-009: Backtesting Framework (MAR99)](#fr-009-backtesting-framework--traffic-light-system)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- [FR-010: Interactive Dashboard](#fr-010-interactive-dashboard)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- [FR-011: Audit Trail &amp; Compliance Reporting](#fr-011-audit-trail--compliance-reporting)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[Business and Functional Workflow](#9-business-and-functional-workflow)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[System Architecture](#10-system-architecture)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[Technical Design](#11-technical-design)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[Appendix](#12-appendix)</w:t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sz w:val="22"/>
          <w:szCs w:val="22"/>
        </w:rPr>
        <w:t xml:space="preserve">2. PROJECT DESCRIPTION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sz w:val="22"/>
          <w:szCs w:val="22"/>
        </w:rPr>
        <w:t xml:space="preserve">2.1 Overview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PROMETHEUS</w:t>
      </w:r>
      <w:r>
        <w:rPr>
          <w:rFonts w:ascii="Arial" w:cs="Arial" w:eastAsia="Arial" w:hAnsi="Arial"/>
          <w:sz w:val="22"/>
          <w:szCs w:val="22"/>
        </w:rPr>
        <w:t xml:space="preserve"> is an institutional-grade, production-ready regulatory capital management platform designed for banks and financial institutions operating under the Basel III/IV framework mandated by the Basel Committee on Banking Supervision (BCBS). The platform provides a fully integrated, end-to-end solution for calculating, validating, reporting, and auditing Risk-Weighted Assets (RWA) across all six regulatory capital components — Credit Risk, Counterparty Credit Risk, Market Risk, CVA Risk, CCP Exposure, and Operational Risk.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system is implemented entirely in Python 3.11 and is optimised to run on commodity hardware (Apple MacBook Air M1, 8 GB RAM), demonstrating that regulatory-grade computations need not require multi-million-dollar vendor solutions. It is architected to scale to cloud deployment (Azure / AWS) as institutional demand grows.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sz w:val="22"/>
          <w:szCs w:val="22"/>
        </w:rPr>
        <w:t xml:space="preserve">2.2 Platform Name and Significance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name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PROMETHEUS</w:t>
      </w:r>
      <w:r>
        <w:rPr>
          <w:rFonts w:ascii="Arial" w:cs="Arial" w:eastAsia="Arial" w:hAnsi="Arial"/>
          <w:sz w:val="22"/>
          <w:szCs w:val="22"/>
        </w:rPr>
        <w:t xml:space="preserve"> is a deliberate reference to the Titan of Greek mythology who brought fire — the instrument of knowledge and power — to humanity. In the context of this platform, PROMETHEUS brings the full illuminating power of Basel III/IV regulatory mathematics to risk teams, replacing opaque vendor black boxes and manual spreadsheets with an open, auditable, and fully documented calculation engine.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sz w:val="22"/>
          <w:szCs w:val="22"/>
        </w:rPr>
        <w:t xml:space="preserve">2.3 Regulatory Basis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PROMETHEUS is built directly from BCBS source standards with no ambiguity or proxy interpretation. Every formula, parameter, floor, and correlation coefficient implemented in the platform can be traced to a specific paragraph of a Basel standard.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sz w:val="22"/>
          <w:szCs w:val="22"/>
        </w:rPr>
        <w:t xml:space="preserve">2.4 Current State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Sprint A is complete as of January 2025. The platform has achieved: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100% regulatory engine coverage</w:t>
      </w:r>
      <w:r>
        <w:rPr>
          <w:rFonts w:ascii="Arial" w:cs="Arial" w:eastAsia="Arial" w:hAnsi="Arial"/>
          <w:sz w:val="22"/>
          <w:szCs w:val="22"/>
        </w:rPr>
        <w:t xml:space="preserve"> across all six capital components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48/48 validation tests passing</w:t>
      </w:r>
      <w:r>
        <w:rPr>
          <w:rFonts w:ascii="Arial" w:cs="Arial" w:eastAsia="Arial" w:hAnsi="Arial"/>
          <w:sz w:val="22"/>
          <w:szCs w:val="22"/>
        </w:rPr>
        <w:t xml:space="preserve"> at 100% pass rate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Zero type errors</w:t>
      </w:r>
      <w:r>
        <w:rPr>
          <w:rFonts w:ascii="Arial" w:cs="Arial" w:eastAsia="Arial" w:hAnsi="Arial"/>
          <w:sz w:val="22"/>
          <w:szCs w:val="22"/>
        </w:rPr>
        <w:t xml:space="preserve"> under Pylance strict mode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~2-minute daily risk run</w:t>
      </w:r>
      <w:r>
        <w:rPr>
          <w:rFonts w:ascii="Arial" w:cs="Arial" w:eastAsia="Arial" w:hAnsi="Arial"/>
          <w:sz w:val="22"/>
          <w:szCs w:val="22"/>
        </w:rPr>
        <w:t xml:space="preserve"> on M1 MacBook Air (vs. &lt;5-minute target)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8-page interactive dashboard</w:t>
      </w:r>
      <w:r>
        <w:rPr>
          <w:rFonts w:ascii="Arial" w:cs="Arial" w:eastAsia="Arial" w:hAnsi="Arial"/>
          <w:sz w:val="22"/>
          <w:szCs w:val="22"/>
        </w:rPr>
        <w:t xml:space="preserve"> with institutional-grade visualisation and export capabilities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Full audit trail</w:t>
      </w:r>
      <w:r>
        <w:rPr>
          <w:rFonts w:ascii="Arial" w:cs="Arial" w:eastAsia="Arial" w:hAnsi="Arial"/>
          <w:sz w:val="22"/>
          <w:szCs w:val="22"/>
        </w:rPr>
        <w:t xml:space="preserve"> with regulatory-traceable calculation logs</w:t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sz w:val="22"/>
          <w:szCs w:val="22"/>
        </w:rPr>
        <w:t xml:space="preserve">3. PROJECT OBJECTIVE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sz w:val="22"/>
          <w:szCs w:val="22"/>
        </w:rPr>
        <w:t xml:space="preserve">3.1 Strategic Objectives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</w:tr>
      <w:tr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sz w:val="22"/>
          <w:szCs w:val="22"/>
        </w:rPr>
        <w:t xml:space="preserve">3.2 Business Objectives</w:t>
      </w:r>
    </w:p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Regulatory Compliance</w:t>
      </w:r>
      <w:r>
        <w:rPr>
          <w:rFonts w:ascii="Arial" w:cs="Arial" w:eastAsia="Arial" w:hAnsi="Arial"/>
          <w:sz w:val="22"/>
          <w:szCs w:val="22"/>
        </w:rPr>
        <w:t xml:space="preserve"> — Eliminate the risk of non-compliance with BCBS standards, avoiding regulatory fines and sanctions by ensuring every RWA calculation is traceable to a specific Basel paragraph.</w:t>
      </w:r>
    </w:p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Capital Optimisation</w:t>
      </w:r>
      <w:r>
        <w:rPr>
          <w:rFonts w:ascii="Arial" w:cs="Arial" w:eastAsia="Arial" w:hAnsi="Arial"/>
          <w:sz w:val="22"/>
          <w:szCs w:val="22"/>
        </w:rPr>
        <w:t xml:space="preserve"> — Replace conservative Standardised Approach (SA) capital estimates with precise Advanced Internal Ratings-Based (A-IRB) and Internal Models Method (IMM) calculations, reducing over-capitalisation and freeing capital for productive deployment.</w:t>
      </w:r>
    </w:p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Operational Risk Reduction</w:t>
      </w:r>
      <w:r>
        <w:rPr>
          <w:rFonts w:ascii="Arial" w:cs="Arial" w:eastAsia="Arial" w:hAnsi="Arial"/>
          <w:sz w:val="22"/>
          <w:szCs w:val="22"/>
        </w:rPr>
        <w:t xml:space="preserve"> — Eliminate manual spreadsheet-based risk calculations prone to human error. Provide an automated, tested, and versioned calculation pipeline.</w:t>
      </w:r>
    </w:p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Transparency and Governance</w:t>
      </w:r>
      <w:r>
        <w:rPr>
          <w:rFonts w:ascii="Arial" w:cs="Arial" w:eastAsia="Arial" w:hAnsi="Arial"/>
          <w:sz w:val="22"/>
          <w:szCs w:val="22"/>
        </w:rPr>
        <w:t xml:space="preserve"> — Provide complete audit trails for all calculations, method selection decisions (e.g., IMM vs. SA-CCR fallback), and regulatory floor applications, satisfying both internal governance and external regulatory examination requirements.</w:t>
      </w:r>
    </w:p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Cost Efficiency</w:t>
      </w:r>
      <w:r>
        <w:rPr>
          <w:rFonts w:ascii="Arial" w:cs="Arial" w:eastAsia="Arial" w:hAnsi="Arial"/>
          <w:sz w:val="22"/>
          <w:szCs w:val="22"/>
        </w:rPr>
        <w:t xml:space="preserve"> — Deliver enterprise-grade regulatory calculations at a fraction of the cost of commercial vendor solutions ($21K total vs. $100K–$500K/year for enterprise alternatives).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sz w:val="22"/>
          <w:szCs w:val="22"/>
        </w:rPr>
        <w:t xml:space="preserve">3.3 Functional Objectives</w:t>
      </w:r>
    </w:p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Implement the complete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five-part RWA formula</w:t>
      </w:r>
      <w:r>
        <w:rPr>
          <w:rFonts w:ascii="Arial" w:cs="Arial" w:eastAsia="Arial" w:hAnsi="Arial"/>
          <w:sz w:val="22"/>
          <w:szCs w:val="22"/>
        </w:rPr>
        <w:t xml:space="preserve"> (RBC20.9): Credit + CCR + Market + CVA + CCP + OpRisk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Implement the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output floor</w:t>
      </w:r>
      <w:r>
        <w:rPr>
          <w:rFonts w:ascii="Arial" w:cs="Arial" w:eastAsia="Arial" w:hAnsi="Arial"/>
          <w:sz w:val="22"/>
          <w:szCs w:val="22"/>
        </w:rPr>
        <w:t xml:space="preserve"> (RBC20.11): Final RWA = max(Total RWA, 72.5% × SA-based RWA)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-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Version 3.8 (Fix 4):</w:t>
      </w:r>
      <w:r>
        <w:rPr>
          <w:rFonts w:ascii="Arial" w:cs="Arial" w:eastAsia="Arial" w:hAnsi="Arial"/>
          <w:sz w:val="22"/>
          <w:szCs w:val="22"/>
        </w:rPr>
        <w:t xml:space="preserve"> Floor base uses SA-CCR for CCR and FRTB SBM for market risk — not IMM/IMA.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 CVA RWA explicitly excluded from floor base per CAP10 FAQ1. 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rwa_floor_base_sa</w:t>
      </w:r>
      <w:r>
        <w:rPr>
          <w:rFonts w:ascii="Arial" w:cs="Arial" w:eastAsia="Arial" w:hAnsi="Arial"/>
          <w:sz w:val="22"/>
          <w:szCs w:val="22"/>
        </w:rPr>
        <w:t xml:space="preserve"> exposed in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 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capital_summary</w:t>
      </w:r>
      <w:r>
        <w:rPr>
          <w:rFonts w:ascii="Arial" w:cs="Arial" w:eastAsia="Arial" w:hAnsi="Arial"/>
          <w:sz w:val="22"/>
          <w:szCs w:val="22"/>
        </w:rPr>
        <w:t xml:space="preserve"> dict for audit trail.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Provide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fallback logic</w:t>
      </w:r>
      <w:r>
        <w:rPr>
          <w:rFonts w:ascii="Arial" w:cs="Arial" w:eastAsia="Arial" w:hAnsi="Arial"/>
          <w:sz w:val="22"/>
          <w:szCs w:val="22"/>
        </w:rPr>
        <w:t xml:space="preserve"> with full trace codes when IMM trades revert to SA-CCR or SA-CVA reverts to BA-CVA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Enable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real-time market condition adjustments</w:t>
      </w:r>
      <w:r>
        <w:rPr>
          <w:rFonts w:ascii="Arial" w:cs="Arial" w:eastAsia="Arial" w:hAnsi="Arial"/>
          <w:sz w:val="22"/>
          <w:szCs w:val="22"/>
        </w:rPr>
        <w:t xml:space="preserve"> to risk weights and correlations via pluggable market data feeds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Deliver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Streamlit-based interactive dashboard</w:t>
      </w:r>
      <w:r>
        <w:rPr>
          <w:rFonts w:ascii="Arial" w:cs="Arial" w:eastAsia="Arial" w:hAnsi="Arial"/>
          <w:sz w:val="22"/>
          <w:szCs w:val="22"/>
        </w:rPr>
        <w:t xml:space="preserve"> for risk officers, with downloadable regulatory reports</w:t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sz w:val="22"/>
          <w:szCs w:val="22"/>
        </w:rPr>
        <w:t xml:space="preserve">4. COMPONENTS IMPACTED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sz w:val="22"/>
          <w:szCs w:val="22"/>
        </w:rPr>
        <w:t xml:space="preserve">4.1 Platform Components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sz w:val="22"/>
          <w:szCs w:val="22"/>
        </w:rPr>
        <w:t xml:space="preserve">4.2 Infrastructure Components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sz w:val="22"/>
          <w:szCs w:val="22"/>
        </w:rPr>
        <w:t xml:space="preserve">4.3 Database Schemas Impacted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sz w:val="22"/>
          <w:szCs w:val="22"/>
        </w:rPr>
        <w:t xml:space="preserve">5. UPSTREAM DEPENDENCIES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Upstream dependencies are inputs and services that PROMETHEUS consumes in order to execute its calculations. A failure or data quality issue in any upstream dependency may degrade calculation accuracy.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sz w:val="22"/>
          <w:szCs w:val="22"/>
        </w:rPr>
        <w:t xml:space="preserve">5.1 Market Data Feeds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  <w:r>
              <w:rPr>
                <w:b w:val="false"/>
                <w:bCs w:val="false"/>
                <w:color w:val="000000"/>
              </w:rPr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sz w:val="22"/>
          <w:szCs w:val="22"/>
        </w:rPr>
        <w:t xml:space="preserve">5.1.1 Market Data Cascade Logic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platform implements a three-tier fallback cascade to ensure availability:</w:t>
      </w:r>
    </w:p>
    <w:p>
      <w:pPr>
        <w:spacing w:after="60" w:before="60"/>
      </w:pPr>
      <w:r>
        <w:t xml:space="preserve"/>
      </w:r>
    </w:p>
    <w:p>
      <w:pPr>
        <w:pBdr>
          <w:left w:val="single" w:color="2E75B6" w:sz="6" w:space="4"/>
        </w:pBdr>
        <w:shd w:fill="F2F2F2" w:val="clear"/>
        <w:spacing w:after="80" w:before="80" w:line="24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Tier 1 (Primary):    Bloomberg Terminal  →  Live CDS spreads, vol surfaces
Tier 2 (Fallback):   Refinitiv / Internal Feed  →  Previous-day or interpolated data
Tier 3 (Last Resort): Static Test Data   →  Hardcoded representative values from config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 cache with configurable TTL (default: 300 seconds) is maintained in memory to reduce API call frequency. The cache is implemented in 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MarketDataProvider._cache</w:t>
      </w:r>
      <w:r>
        <w:rPr>
          <w:rFonts w:ascii="Arial" w:cs="Arial" w:eastAsia="Arial" w:hAnsi="Arial"/>
          <w:sz w:val="22"/>
          <w:szCs w:val="22"/>
        </w:rPr>
        <w:t xml:space="preserve"> and 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CDSSpreadService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sz w:val="22"/>
          <w:szCs w:val="22"/>
        </w:rPr>
        <w:t xml:space="preserve">5.2 Trade and Portfolio Data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  <w:r>
              <w:rPr>
                <w:b w:val="false"/>
                <w:bCs w:val="false"/>
                <w:color w:val="000000"/>
              </w:rPr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In the current Sprint A development environment, trade and portfolio data are synthetically generated by `backend/data_generators/portfolio_generator.py` and `backend/data_generators/cva_generator.py`.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sz w:val="22"/>
          <w:szCs w:val="22"/>
        </w:rPr>
        <w:t xml:space="preserve">5.3 Regulatory Parameter Updates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sz w:val="22"/>
          <w:szCs w:val="22"/>
        </w:rPr>
        <w:t xml:space="preserve">5.4 Calibration Inputs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sz w:val="22"/>
          <w:szCs w:val="22"/>
        </w:rPr>
        <w:t xml:space="preserve">6. DOWNSTREAM DEPENDENCIES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Downstream dependencies are systems, processes, and stakeholders that consume the outputs produced by PROMETHEUS.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sz w:val="22"/>
          <w:szCs w:val="22"/>
        </w:rPr>
        <w:t xml:space="preserve">6.1 Regulatory Reporting Systems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  <w:r>
              <w:rPr>
                <w:b w:val="false"/>
                <w:bCs w:val="false"/>
                <w:color w:val="000000"/>
              </w:rPr>
            </w: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sz w:val="22"/>
          <w:szCs w:val="22"/>
        </w:rPr>
        <w:t xml:space="preserve">6.2 Capital Planning and Finance Systems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sz w:val="22"/>
          <w:szCs w:val="22"/>
        </w:rPr>
        <w:t xml:space="preserve">6.3 Risk Management Systems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  <w:r>
              <w:rPr>
                <w:b w:val="false"/>
                <w:bCs w:val="false"/>
                <w:color w:val="000000"/>
              </w:rPr>
            </w:r>
            <w:r>
              <w:rPr>
                <w:b w:val="false"/>
                <w:bCs w:val="false"/>
                <w:color w:val="000000"/>
              </w:rPr>
            </w: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sz w:val="22"/>
          <w:szCs w:val="22"/>
        </w:rPr>
        <w:t xml:space="preserve">6.4 Technology Consumers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sz w:val="22"/>
          <w:szCs w:val="22"/>
        </w:rPr>
        <w:t xml:space="preserve">7. BUSINESS REQUIREMENTS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sz w:val="22"/>
          <w:szCs w:val="22"/>
        </w:rPr>
        <w:t xml:space="preserve">7.1 BR-001 — Regulatory Capital Coverage (CRITICAL)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platform MUST calculate Risk-Weighted Assets for all regulatory components mandated by Basel III/IV. No component may be omitted, approximated beyond regulatory tolerances, or silently defaulted without an audit trace.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Components required: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Credit Risk — A-IRB (CRE30–36)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Counterparty Credit Risk — SA-CCR (CRE52) and IMM (CRE53) with floor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Market Risk — FRTB SBM + IMA (MAR20–33)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CVA Risk — BA-CVA / SA-CVA (MAR50)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CCP Exposure — Qualified CCP + DFC (CRE54)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Operational Risk — OPE25 BIA stub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Output Floor — 72.5% SA-based floor (RBC20.11)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Acceptance Criteria: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All six engines implemented and tested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Output floor formula verified against RBC20.11 and CAP10 FAQ1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100% test pass rate across all regulatory formulas</w:t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sz w:val="22"/>
          <w:szCs w:val="22"/>
        </w:rPr>
        <w:t xml:space="preserve">7.2 BR-002 — Portfolio Management (HIGH)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platform MUST support comprehensive, multi-asset-class portfolio modelling for both derivative and banking book exposures.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Requirements: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Derivative portfolios with minimum 5 trades per netting set across IR, FX, Credit, Equity, and Commodity asset classes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Banking book portfolios with Corporate, SME, Residential Mortgage, and Revolving Credit exposure types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Portfolio identifiers following 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DRV-YYYY-NNN</w:t>
      </w:r>
      <w:r>
        <w:rPr>
          <w:rFonts w:ascii="Arial" w:cs="Arial" w:eastAsia="Arial" w:hAnsi="Arial"/>
          <w:sz w:val="22"/>
          <w:szCs w:val="22"/>
        </w:rPr>
        <w:t xml:space="preserve"> (derivatives) and 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BBK-YYYY-NNN</w:t>
      </w:r>
      <w:r>
        <w:rPr>
          <w:rFonts w:ascii="Arial" w:cs="Arial" w:eastAsia="Arial" w:hAnsi="Arial"/>
          <w:sz w:val="22"/>
          <w:szCs w:val="22"/>
        </w:rPr>
        <w:t xml:space="preserve"> (banking book) conventions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CSA parameters (IM, VM, Threshold, MTA, MPOR) modelled per netting set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Day-on-day portfolio tracking for regulatory consistency</w:t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sz w:val="22"/>
          <w:szCs w:val="22"/>
        </w:rPr>
        <w:t xml:space="preserve">7.3 BR-003 — Backtesting and Model Validation (CRITICAL)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platform MUST implement regulatory backtesting under the MAR99 traffic-light framework.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Requirements: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250-day rolling backtesting window comparing P&amp;L against model VaR/ES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Traffic-light system: Green (0–4 exceptions), Amber (5–9), Red (≥10)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Spearman rank correlation test (ρ ≥ 0.50) and Kolmogorov-Smirnov test (p-value ≥ 0.05)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Percentage Liquidity Adequacy (PLA) test per MAR32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Automated breach alerting and logging</w:t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sz w:val="22"/>
          <w:szCs w:val="22"/>
        </w:rPr>
        <w:t xml:space="preserve">7.4 BR-004 — Real-Time Market Data Integration (HIGH)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platform MUST support dynamic market data feeds from industry-standard providers with intelligent fallback logic.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Requirements: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Primary sources: Bloomberg Terminal API, Refinitiv/LSEG Eikon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Secondary source: Internal proprietary feeds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Last-resort: Static configuration-driven defaults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In-memory cache with configurable TTL (default 300 seconds)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Dynamic parameter adjustment (risk weights, correlations) based on real-time VIX, spreads, and volatility</w:t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sz w:val="22"/>
          <w:szCs w:val="22"/>
        </w:rPr>
        <w:t xml:space="preserve">7.5 BR-005 — Interactive Dashboard (MEDIUM)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platform MUST provide a web-based, interactive visualisation and reporting dashboard accessible to risk officers without programming expertise.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Requirements: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8 functional pages: Overview, Derivative Risk, Banking Book, Backtesting, Capital Planning, Reports, Settings, Documentation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Institutional-grade visual design with export to xlsx/csv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Real-time data refresh capability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Responsive layout for desktop and tablet</w:t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sz w:val="22"/>
          <w:szCs w:val="22"/>
        </w:rPr>
        <w:t xml:space="preserve">7.6 BR-006 — Audit Trail and Compliance Reporting (CRITICAL)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platform MUST maintain immutable, complete audit logs for all calculations, method selections, fallback applications, and user actions.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Requirements: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INFO-level logs for all calculations with timestamps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WARNING/ERROR logs for all exceptions (floor applications, fallbacks, backtesting breaches)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Fallback trace codes embedded in trade objects (format: 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FALLBACK|trade_id|reason_code|description</w:t>
      </w:r>
      <w:r>
        <w:rPr>
          <w:rFonts w:ascii="Arial" w:cs="Arial" w:eastAsia="Arial" w:hAnsi="Arial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Regulatory export templates compatible with Basel Pillar 3 disclosure formats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PostgreSQL 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audit</w:t>
      </w:r>
      <w:r>
        <w:rPr>
          <w:rFonts w:ascii="Arial" w:cs="Arial" w:eastAsia="Arial" w:hAnsi="Arial"/>
          <w:sz w:val="22"/>
          <w:szCs w:val="22"/>
        </w:rPr>
        <w:t xml:space="preserve"> schema with four immutable tables</w:t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sz w:val="22"/>
          <w:szCs w:val="22"/>
        </w:rPr>
        <w:t xml:space="preserve">7.7 BR-007 — Performance and Scalability (HIGH)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platform MUST complete a full daily risk run within acceptable time limits on target hardware.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Requirements: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Full daily run: &lt; 5 minutes on M1 MacBook Air 8 GB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Monte Carlo simulation: 2,000 scenarios × 52 weekly time steps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Dashboard refresh: &lt; 3 seconds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Report generation: &lt; 10 seconds for 50 portfolios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Support 100+ derivative portfolios and 200+ banking book portfolios</w:t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sz w:val="22"/>
          <w:szCs w:val="22"/>
        </w:rPr>
        <w:t xml:space="preserve">8. FUNCTIONAL REQUIREMENTS</w:t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sz w:val="22"/>
          <w:szCs w:val="22"/>
        </w:rPr>
        <w:t xml:space="preserve">FR-001: SA-CCR Calculation Engine — Standardised Approach for Counterparty Credit Risk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Basel Standard:</w:t>
      </w:r>
      <w:r>
        <w:rPr>
          <w:rFonts w:ascii="Arial" w:cs="Arial" w:eastAsia="Arial" w:hAnsi="Arial"/>
          <w:sz w:val="22"/>
          <w:szCs w:val="22"/>
        </w:rPr>
        <w:t xml:space="preserve"> CRE52  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Priority:</w:t>
      </w:r>
      <w:r>
        <w:rPr>
          <w:rFonts w:ascii="Arial" w:cs="Arial" w:eastAsia="Arial" w:hAnsi="Arial"/>
          <w:sz w:val="22"/>
          <w:szCs w:val="22"/>
        </w:rPr>
        <w:t xml:space="preserve"> CRITICAL  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Owner:</w:t>
      </w:r>
      <w:r>
        <w:rPr>
          <w:rFonts w:ascii="Arial" w:cs="Arial" w:eastAsia="Arial" w:hAnsi="Arial"/>
          <w:sz w:val="22"/>
          <w:szCs w:val="22"/>
        </w:rPr>
        <w:t xml:space="preserve"> Credit Risk Team  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File:</w:t>
      </w:r>
      <w:r>
        <w:rPr>
          <w:rFonts w:ascii="Arial" w:cs="Arial" w:eastAsia="Arial" w:hAnsi="Arial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backend/engines/sa_ccr.py</w:t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sz w:val="22"/>
          <w:szCs w:val="22"/>
        </w:rPr>
        <w:t xml:space="preserve">8.1.1 Use Case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SA-CCR is the default regulatory approach for calculating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Exposure at Default (EAD)</w:t>
      </w:r>
      <w:r>
        <w:rPr>
          <w:rFonts w:ascii="Arial" w:cs="Arial" w:eastAsia="Arial" w:hAnsi="Arial"/>
          <w:sz w:val="22"/>
          <w:szCs w:val="22"/>
        </w:rPr>
        <w:t xml:space="preserve"> on derivative portfolios. It is required for all counterparty credit risk exposures and serves as the mandatory floor for the Internal Models Method (IMM). The use case is: given a set of trades in a netting set with associated CSA collateral terms, calculate the regulatory EAD that feeds into the CCR RWA component of the five-part RWA formula.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SA-CCR is also used for: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Counterparties not eligible for IMM treatment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IMM floor enforcement (EAD_IMM ≥ 50% × EAD_SA-CCR per CRE53.5)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CVA calculation inputs (EAD into the BA-CVA formula)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CCP exposure calculation (cleared derivatives under CRE54)</w:t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sz w:val="22"/>
          <w:szCs w:val="22"/>
        </w:rPr>
        <w:t xml:space="preserve">8.1.2 Basel Context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SA-CCR was introduced under CRE52 (effective January 2023) as the replacement for both the Current Exposure Method (CEM) and the Standardised Method (SM). Key design principles from the BCBS:</w:t>
      </w:r>
    </w:p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Risk-sensitivity:</w:t>
      </w:r>
      <w:r>
        <w:rPr>
          <w:rFonts w:ascii="Arial" w:cs="Arial" w:eastAsia="Arial" w:hAnsi="Arial"/>
          <w:sz w:val="22"/>
          <w:szCs w:val="22"/>
        </w:rPr>
        <w:t xml:space="preserve"> SA-CCR is more sensitive to netting, collateral, and hedging than CEM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Simplicity vs. accuracy:</w:t>
      </w:r>
      <w:r>
        <w:rPr>
          <w:rFonts w:ascii="Arial" w:cs="Arial" w:eastAsia="Arial" w:hAnsi="Arial"/>
          <w:sz w:val="22"/>
          <w:szCs w:val="22"/>
        </w:rPr>
        <w:t xml:space="preserve"> More complex than CEM but simpler than full IMM simulation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Mandatory floor:</w:t>
      </w:r>
      <w:r>
        <w:rPr>
          <w:rFonts w:ascii="Arial" w:cs="Arial" w:eastAsia="Arial" w:hAnsi="Arial"/>
          <w:sz w:val="22"/>
          <w:szCs w:val="22"/>
        </w:rPr>
        <w:t xml:space="preserve"> Prevents IMM from producing EAD below 50% of SA-CCR, ensuring a regulatory minimum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Supervisory parameters:</w:t>
      </w:r>
      <w:r>
        <w:rPr>
          <w:rFonts w:ascii="Arial" w:cs="Arial" w:eastAsia="Arial" w:hAnsi="Arial"/>
          <w:sz w:val="22"/>
          <w:szCs w:val="22"/>
        </w:rPr>
        <w:t xml:space="preserve"> Risk weights (supervisory factors, SF) are prescribed centrally by BCBS to prevent model risk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alpha multiplier of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1.4</w:t>
      </w:r>
      <w:r>
        <w:rPr>
          <w:rFonts w:ascii="Arial" w:cs="Arial" w:eastAsia="Arial" w:hAnsi="Arial"/>
          <w:sz w:val="22"/>
          <w:szCs w:val="22"/>
        </w:rPr>
        <w:t xml:space="preserve"> (CRE52.7) reflects the BCBS's recognition that EE-based measures understate true economic exposure due to portfolio complexity, correlation risk, and wrong-way risk.</w:t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sz w:val="22"/>
          <w:szCs w:val="22"/>
        </w:rPr>
        <w:t xml:space="preserve">8.1.3 Functional Objective of Calculations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SA-CCR engine computes EAD through three sequential components: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Step 1 — Replacement Cost (RC):</w:t>
      </w:r>
      <w:r>
        <w:rPr>
          <w:rFonts w:ascii="Arial" w:cs="Arial" w:eastAsia="Arial" w:hAnsi="Arial"/>
          <w:sz w:val="22"/>
          <w:szCs w:val="22"/>
        </w:rPr>
        <w:t xml:space="preserve"> CRE52.12–22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Measures the immediate loss if the counterparty were to default today, accounting for current MTM value of the portfolio and collateral already posted.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$$\text{RC} = \max\left(V - C,\ TH + MTA - NICA,\ 0\right)$$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Step 2 — Potential Future Exposure (PFE) Multiplier:</w:t>
      </w:r>
      <w:r>
        <w:rPr>
          <w:rFonts w:ascii="Arial" w:cs="Arial" w:eastAsia="Arial" w:hAnsi="Arial"/>
          <w:sz w:val="22"/>
          <w:szCs w:val="22"/>
        </w:rPr>
        <w:t xml:space="preserve"> CRE52.23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Captures the likelihood that the exposure could grow beyond RC before a default is resolved. It modulates the Add-On based on the current over- or under-collateralisation of the portfolio.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$$\text{mult} = \min\left(1,\ \text{Floor} + (1 - \text{Floor}) \cdot e^{\frac{V}{2(1 - \text{Floor}) \cdot \text{AddOn}_\text{agg}}}\right)$$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Step 3 — Aggregate Add-On:</w:t>
      </w:r>
      <w:r>
        <w:rPr>
          <w:rFonts w:ascii="Arial" w:cs="Arial" w:eastAsia="Arial" w:hAnsi="Arial"/>
          <w:sz w:val="22"/>
          <w:szCs w:val="22"/>
        </w:rPr>
        <w:t xml:space="preserve"> CRE52.24–75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Add-On captures potential future exposure over the MPOR, aggregated across five asset classes. For each asset class: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$$\text{AddOn}_\text{AC} = \sum_{\text{hedging set}}\text{EffNotional}_k \times SF_k$$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Step 4 — EAD:</w:t>
      </w:r>
      <w:r>
        <w:rPr>
          <w:rFonts w:ascii="Arial" w:cs="Arial" w:eastAsia="Arial" w:hAnsi="Arial"/>
          <w:sz w:val="22"/>
          <w:szCs w:val="22"/>
        </w:rPr>
        <w:t xml:space="preserve"> CRE52.7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$$\text{EAD} = \alpha \cdot (\text{RC} + \text{mult} \cdot \text{AddOn}_\text{agg}), \quad \alpha = 1.4$$</w:t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sz w:val="22"/>
          <w:szCs w:val="22"/>
        </w:rPr>
        <w:t xml:space="preserve">8.1.4 Parameter Significance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sz w:val="22"/>
          <w:szCs w:val="22"/>
        </w:rPr>
        <w:t xml:space="preserve">8.1.5 Key Success Criteria</w:t>
      </w:r>
    </w:p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EAD calculation matches BCBS CRE52 worked examples within 0.01% tolerance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All five asset classes (IR, FX, EQ, Credit, CMDTY) produce non-negative Add-Ons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IMM eligibility check returns correct trace code for ineligible trades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Regulatory floor (EAD_IMM ≥ 50% × EAD_SA-CCR) is enforced with logged fallback trace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12/12 SA-CCR unit tests in 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tests/test_engines.py</w:t>
      </w:r>
      <w:r>
        <w:rPr>
          <w:rFonts w:ascii="Arial" w:cs="Arial" w:eastAsia="Arial" w:hAnsi="Arial"/>
          <w:sz w:val="22"/>
          <w:szCs w:val="22"/>
        </w:rPr>
        <w:t xml:space="preserve"> pass</w:t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sz w:val="22"/>
          <w:szCs w:val="22"/>
        </w:rPr>
        <w:t xml:space="preserve">FR-002: IMM Monte Carlo Engine — Internal Models Method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Basel Standard:</w:t>
      </w:r>
      <w:r>
        <w:rPr>
          <w:rFonts w:ascii="Arial" w:cs="Arial" w:eastAsia="Arial" w:hAnsi="Arial"/>
          <w:sz w:val="22"/>
          <w:szCs w:val="22"/>
        </w:rPr>
        <w:t xml:space="preserve"> CRE53  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Priority:</w:t>
      </w:r>
      <w:r>
        <w:rPr>
          <w:rFonts w:ascii="Arial" w:cs="Arial" w:eastAsia="Arial" w:hAnsi="Arial"/>
          <w:sz w:val="22"/>
          <w:szCs w:val="22"/>
        </w:rPr>
        <w:t xml:space="preserve"> HIGH  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Owner:</w:t>
      </w:r>
      <w:r>
        <w:rPr>
          <w:rFonts w:ascii="Arial" w:cs="Arial" w:eastAsia="Arial" w:hAnsi="Arial"/>
          <w:sz w:val="22"/>
          <w:szCs w:val="22"/>
        </w:rPr>
        <w:t xml:space="preserve"> Quantitative Risk Team  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File:</w:t>
      </w:r>
      <w:r>
        <w:rPr>
          <w:rFonts w:ascii="Arial" w:cs="Arial" w:eastAsia="Arial" w:hAnsi="Arial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backend/engines/imm.py</w:t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sz w:val="22"/>
          <w:szCs w:val="22"/>
        </w:rPr>
        <w:t xml:space="preserve">8.2.1 Use Case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IMM engine provides a more risk-sensitive alternative to SA-CCR for eligible derivative trades. Using Monte Carlo simulation, it models the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Effective Expected Positive Exposure (EEPE)</w:t>
      </w:r>
      <w:r>
        <w:rPr>
          <w:rFonts w:ascii="Arial" w:cs="Arial" w:eastAsia="Arial" w:hAnsi="Arial"/>
          <w:sz w:val="22"/>
          <w:szCs w:val="22"/>
        </w:rPr>
        <w:t xml:space="preserve"> under both normal and stressed market conditions. Banks with supervisory approval may use IMM to calculate EAD, typically achieving 20–40% reduction in CCR RWA compared to SA-CCR, subject to the regulatory floor.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IMM is also the source of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exposure profiles</w:t>
      </w:r>
      <w:r>
        <w:rPr>
          <w:rFonts w:ascii="Arial" w:cs="Arial" w:eastAsia="Arial" w:hAnsi="Arial"/>
          <w:sz w:val="22"/>
          <w:szCs w:val="22"/>
        </w:rPr>
        <w:t xml:space="preserve"> (EE, EEPE, PFE) for CVA desk risk management and for dynamic collateral modelling under CSA terms.</w:t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sz w:val="22"/>
          <w:szCs w:val="22"/>
        </w:rPr>
        <w:t xml:space="preserve">8.2.2 Basel Context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CRE53 permits approved banks to use an internal model for counterparty credit exposure rather than the standardised SA-CCR. The core BCBS requirements are:</w:t>
      </w:r>
    </w:p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2,000+ simulation scenarios</w:t>
      </w:r>
      <w:r>
        <w:rPr>
          <w:rFonts w:ascii="Arial" w:cs="Arial" w:eastAsia="Arial" w:hAnsi="Arial"/>
          <w:sz w:val="22"/>
          <w:szCs w:val="22"/>
        </w:rPr>
        <w:t xml:space="preserve"> for statistical robustness (PROMETHEUS uses 2,000 for M1 hardware compatibility)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Stressed EEPE</w:t>
      </w:r>
      <w:r>
        <w:rPr>
          <w:rFonts w:ascii="Arial" w:cs="Arial" w:eastAsia="Arial" w:hAnsi="Arial"/>
          <w:sz w:val="22"/>
          <w:szCs w:val="22"/>
        </w:rPr>
        <w:t xml:space="preserve"> calibrated to a 1-year stress period (2007–2009 financial crisis) to prevent pro-cyclicality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Regulatory floor:</w:t>
      </w:r>
      <w:r>
        <w:rPr>
          <w:rFonts w:ascii="Arial" w:cs="Arial" w:eastAsia="Arial" w:hAnsi="Arial"/>
          <w:sz w:val="22"/>
          <w:szCs w:val="22"/>
        </w:rPr>
        <w:t xml:space="preserve"> EAD_IMM ≥ 50% × EAD_SA-CCR (CRE53.5) — prevents IMM from being used to game capital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CSA path-level modelling:</w:t>
      </w:r>
      <w:r>
        <w:rPr>
          <w:rFonts w:ascii="Arial" w:cs="Arial" w:eastAsia="Arial" w:hAnsi="Arial"/>
          <w:sz w:val="22"/>
          <w:szCs w:val="22"/>
        </w:rPr>
        <w:t xml:space="preserve"> Collateral must be modelled at the path level, not post-hoc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Alpha multiplier of 1.4</w:t>
      </w:r>
      <w:r>
        <w:rPr>
          <w:rFonts w:ascii="Arial" w:cs="Arial" w:eastAsia="Arial" w:hAnsi="Arial"/>
          <w:sz w:val="22"/>
          <w:szCs w:val="22"/>
        </w:rPr>
        <w:t xml:space="preserve"> applies equally to IMM EAD (CRE53.6)</w:t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sz w:val="22"/>
          <w:szCs w:val="22"/>
        </w:rPr>
        <w:t xml:space="preserve">8.2.3 Functional Objective of Calculations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Step 1 — Risk Factor Path Generation (GBM / Hull-White):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For equity and FX (Geometric Brownian Motion):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$$S(t+\Delta t) = S(t) \cdot \exp\left[\left(\mu - \frac{\sigma^2}{2}\right)\Delta t + \sigma\sqrt{\Delta t}\,Z\right]$$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For interest rates (Hull-White 1-Factor):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$$dr(t) = \kappa\,[\theta - r(t)]\,dt + \sigma_r\,dW(t)$$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Antithetic variance reduction doubles effective scenario count: for each random vector Z, −Z is also simulated.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Step 2 — Portfolio Revaluation: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$$\text{NPV}[t, \text{scenario}] = \sum_k \text{TradeValue}_k(t, \text{scenario})$$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Step 3 — CSA-Adjusted Exposure: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$$\text{Exposure}[t, s] = \max\left(\text{NPV}[t,s] - \text{Collateral}[t,s],\ 0\right)$$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Step 4 — Expected Exposure and EEPE: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$$\text{EE}(t) = \frac{1}{N}\sum_{s=1}^{N} \text{Exposure}[t, s]$$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$$\text{EEE}(t) = \max_{u \leq t} \text{EE}(u) \quad \text{(non-decreasing constraint)}$$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$$\text{EEPE} = \frac{1}{T_1}\int_0^{T_1} \text{EEE}(t)\,dt \approx \frac{1}{T}\sum_{t=1}^{T}\text{EEE}(t)$$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Step 5 — EAD: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$$\text{EAD}_\text{IMM} = \alpha \cdot \text{EEPE}, \quad \alpha = 1.4$$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Step 6 — Stressed EEPE: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Paths are generated using volatility parameters calibrated to the 2007–2009 window (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stressed_vol ≈ 40%</w:t>
      </w:r>
      <w:r>
        <w:rPr>
          <w:rFonts w:ascii="Arial" w:cs="Arial" w:eastAsia="Arial" w:hAnsi="Arial"/>
          <w:sz w:val="22"/>
          <w:szCs w:val="22"/>
        </w:rPr>
        <w:t xml:space="preserve"> vs. 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vol ≈ 20%</w:t>
      </w:r>
      <w:r>
        <w:rPr>
          <w:rFonts w:ascii="Arial" w:cs="Arial" w:eastAsia="Arial" w:hAnsi="Arial"/>
          <w:sz w:val="22"/>
          <w:szCs w:val="22"/>
        </w:rPr>
        <w:t xml:space="preserve"> normal), producing 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EAD_stressed = α × EEPE_stressed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sz w:val="22"/>
          <w:szCs w:val="22"/>
        </w:rPr>
        <w:t xml:space="preserve">8.2.4 Parameter Significance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  <w:r>
              <w:rPr>
                <w:b w:val="false"/>
                <w:bCs w:val="false"/>
                <w:color w:val="000000"/>
              </w:rPr>
            </w: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  <w:r>
              <w:rPr>
                <w:b w:val="false"/>
                <w:bCs w:val="false"/>
                <w:color w:val="000000"/>
              </w:rPr>
            </w: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  <w:r>
              <w:rPr>
                <w:b w:val="false"/>
                <w:bCs w:val="false"/>
                <w:color w:val="000000"/>
              </w:rPr>
            </w: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sz w:val="22"/>
          <w:szCs w:val="22"/>
        </w:rPr>
        <w:t xml:space="preserve">8.2.5 Key Success Criteria</w:t>
      </w:r>
    </w:p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EEPE convergence: variance of EEPE &lt; 1% between 2,000 and 10,000 scenario runs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Stressed EAD consistently exceeds normal EAD (confirms crisis calibration is binding)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CSA-adjusted EAD &lt; uncollateralised EAD (confirms collateral benefit is captured)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IMM floor check: EAD_IMM_CSA &lt; 50% × EAD_SA-CCR triggers FALLBACK trace code logged with 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REGULATORY_FLOOR|CRE53.5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8/8 IMM unit tests pass including GBM, Hull-White, CSA path-level modelling</w:t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sz w:val="22"/>
          <w:szCs w:val="22"/>
        </w:rPr>
        <w:t xml:space="preserve">FR-003: A-IRB Credit Risk Engine — Advanced Internal Ratings-Based Approach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Basel Standard:</w:t>
      </w:r>
      <w:r>
        <w:rPr>
          <w:rFonts w:ascii="Arial" w:cs="Arial" w:eastAsia="Arial" w:hAnsi="Arial"/>
          <w:sz w:val="22"/>
          <w:szCs w:val="22"/>
        </w:rPr>
        <w:t xml:space="preserve"> CRE30–36  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Priority:</w:t>
      </w:r>
      <w:r>
        <w:rPr>
          <w:rFonts w:ascii="Arial" w:cs="Arial" w:eastAsia="Arial" w:hAnsi="Arial"/>
          <w:sz w:val="22"/>
          <w:szCs w:val="22"/>
        </w:rPr>
        <w:t xml:space="preserve"> CRITICAL  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Owner:</w:t>
      </w:r>
      <w:r>
        <w:rPr>
          <w:rFonts w:ascii="Arial" w:cs="Arial" w:eastAsia="Arial" w:hAnsi="Arial"/>
          <w:sz w:val="22"/>
          <w:szCs w:val="22"/>
        </w:rPr>
        <w:t xml:space="preserve"> Credit Risk Team  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File:</w:t>
      </w:r>
      <w:r>
        <w:rPr>
          <w:rFonts w:ascii="Arial" w:cs="Arial" w:eastAsia="Arial" w:hAnsi="Arial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backend/engines/a_irb.py</w:t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sz w:val="22"/>
          <w:szCs w:val="22"/>
        </w:rPr>
        <w:t xml:space="preserve">8.3.1 Use Case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A-IRB engine calculates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Credit RWA</w:t>
      </w:r>
      <w:r>
        <w:rPr>
          <w:rFonts w:ascii="Arial" w:cs="Arial" w:eastAsia="Arial" w:hAnsi="Arial"/>
          <w:sz w:val="22"/>
          <w:szCs w:val="22"/>
        </w:rPr>
        <w:t xml:space="preserve"> for the banking book — loans, revolving facilities, mortgages, and other non-traded credit exposures. By using the bank's own internal estimates of PD, LGD, and EAD (subject to regulatory floors), A-IRB produces significantly more risk-sensitive capital requirements than the Credit Standardised Approach (CSA), typically reducing credit RWA by 25–40% for well-rated portfolios.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engine also supports: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Double-default treatment</w:t>
      </w:r>
      <w:r>
        <w:rPr>
          <w:rFonts w:ascii="Arial" w:cs="Arial" w:eastAsia="Arial" w:hAnsi="Arial"/>
          <w:sz w:val="22"/>
          <w:szCs w:val="22"/>
        </w:rPr>
        <w:t xml:space="preserve"> for CDS-protected exposures (CRE22), reducing capital for guaranteed credit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EL shortfall calculation</w:t>
      </w:r>
      <w:r>
        <w:rPr>
          <w:rFonts w:ascii="Arial" w:cs="Arial" w:eastAsia="Arial" w:hAnsi="Arial"/>
          <w:sz w:val="22"/>
          <w:szCs w:val="22"/>
        </w:rPr>
        <w:t xml:space="preserve"> (CRE35): if EL &gt; provisions, the shortfall deducts from CET1 capital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SME adjustment</w:t>
      </w:r>
      <w:r>
        <w:rPr>
          <w:rFonts w:ascii="Arial" w:cs="Arial" w:eastAsia="Arial" w:hAnsi="Arial"/>
          <w:sz w:val="22"/>
          <w:szCs w:val="22"/>
        </w:rPr>
        <w:t xml:space="preserve">: lower correlation for SME obligors (CRE31.9), reducing SME capital requirements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Sector-based correlation adjustments</w:t>
      </w:r>
      <w:r>
        <w:rPr>
          <w:rFonts w:ascii="Arial" w:cs="Arial" w:eastAsia="Arial" w:hAnsi="Arial"/>
          <w:sz w:val="22"/>
          <w:szCs w:val="22"/>
        </w:rPr>
        <w:t xml:space="preserve"> for Financials, Real Estate, Retail, and other sectors</w:t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sz w:val="22"/>
          <w:szCs w:val="22"/>
        </w:rPr>
        <w:t xml:space="preserve">8.3.2 Basel Context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A-IRB approach under CRE31 is built on the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Asymptotic Single Risk Factor (ASRF)</w:t>
      </w:r>
      <w:r>
        <w:rPr>
          <w:rFonts w:ascii="Arial" w:cs="Arial" w:eastAsia="Arial" w:hAnsi="Arial"/>
          <w:sz w:val="22"/>
          <w:szCs w:val="22"/>
        </w:rPr>
        <w:t xml:space="preserve"> model. The key assumptions are:</w:t>
      </w:r>
    </w:p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All systematic risk derives from a single global factor (the state of the economy)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Idiosyncratic risk diversifies away in large portfolios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Correlations between borrowers are driven by their common exposure to the economic factor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This model yields a closed-form capital formula, but at the cost of requiring banks to estimate PD and LGD with statistical rigour subject to: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PD floor:</w:t>
      </w:r>
      <w:r>
        <w:rPr>
          <w:rFonts w:ascii="Arial" w:cs="Arial" w:eastAsia="Arial" w:hAnsi="Arial"/>
          <w:sz w:val="22"/>
          <w:szCs w:val="22"/>
        </w:rPr>
        <w:t xml:space="preserve"> 0.03% (3 basis points) — CRE31.4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LGD floor (unsecured):</w:t>
      </w:r>
      <w:r>
        <w:rPr>
          <w:rFonts w:ascii="Arial" w:cs="Arial" w:eastAsia="Arial" w:hAnsi="Arial"/>
          <w:sz w:val="22"/>
          <w:szCs w:val="22"/>
        </w:rPr>
        <w:t xml:space="preserve"> 25% — CRE32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Maturity floor/cap:</w:t>
      </w:r>
      <w:r>
        <w:rPr>
          <w:rFonts w:ascii="Arial" w:cs="Arial" w:eastAsia="Arial" w:hAnsi="Arial"/>
          <w:sz w:val="22"/>
          <w:szCs w:val="22"/>
        </w:rPr>
        <w:t xml:space="preserve"> 1 year to 5 years</w:t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sz w:val="22"/>
          <w:szCs w:val="22"/>
        </w:rPr>
        <w:t xml:space="preserve">8.3.3 Functional Objective of Calculations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Step 1 — Apply Regulatory Floors: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$$PD_\text{adj} = \max(PD,\ 0.0003)$$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$$LGD_\text{adj} = \max(LGD,\ 0.25) \quad \text{(unsecured)}$$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Step 2 — Asset Correlation (CRE31.3):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$$R = 0.12 \cdot \frac{1 - e^{-50 \cdot PD}}{1 - e^{-50}} + 0.24 \cdot \left[1 - \frac{1 - e^{-50 \cdot PD}}{1 - e^{-50}}\right]$$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SME adjustment (if sales &lt; €50M):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$$R_\text{SME} = R - 0.04 \cdot \left(1 - \frac{S - 5}{45}\right)$$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Step 3 — Maturity Adjustment (CRE31.7):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$$b = (0.11852 - 0.05478 \cdot \ln PD)^2$$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$$M_\text{adj} = \min(\max(M,\ 1.0),\ 5.0)$$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$$\text{MA} = \frac{1 + (M_\text{adj} - 2.5) \cdot b}{1 - 1.5 \cdot b}$$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Step 4 — Capital Requirement (K):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$$K = \left[LGD \cdot \Phi\!\left(\frac{\Phi^{-1}(PD)}{\sqrt{1 - R}} + \sqrt{\frac{R}{1-R}}\,\Phi^{-1}(0.999)\right) - PD \cdot LGD\right] \cdot \text{MA}$$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Step 5 — RWA: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$$\text{RWA} = K \times 12.5 \times \text{EAD}$$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Step 6 — Expected Loss (EL) Shortfall (CRE35):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$$\text{EL} = PD \times LGD \times \text{EAD}$$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$$\text{Shortfall} = \max(\sum \text{EL} - \text{Provisions},\ 0)$$</w:t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sz w:val="22"/>
          <w:szCs w:val="22"/>
        </w:rPr>
        <w:t xml:space="preserve">8.3.4 Parameter Significance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sz w:val="22"/>
          <w:szCs w:val="22"/>
        </w:rPr>
        <w:t xml:space="preserve">8.3.5 Key Success Criteria</w:t>
      </w:r>
    </w:p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Capital requirement K matches Basel CRE31 formula output within numerical precision (&lt; 0.001%)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SME adjustment correctly reduces RWA for eligible obligors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Double-default K is strictly less than single-name K for the same exposure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EL shortfall correctly triggers CET1 deduction when shortfall &gt; 0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PD and LGD floor flags are recorded for each exposure in the trade results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10/10 A-IRB unit tests covering corporate, SME, secured, unsecured, and double-default pass</w:t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sz w:val="22"/>
          <w:szCs w:val="22"/>
        </w:rPr>
        <w:t xml:space="preserve">FR-004: FRTB Market Risk Engine — Fundamental Review of the Trading Book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Basel Standard:</w:t>
      </w:r>
      <w:r>
        <w:rPr>
          <w:rFonts w:ascii="Arial" w:cs="Arial" w:eastAsia="Arial" w:hAnsi="Arial"/>
          <w:sz w:val="22"/>
          <w:szCs w:val="22"/>
        </w:rPr>
        <w:t xml:space="preserve"> MAR20–33  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Priority:</w:t>
      </w:r>
      <w:r>
        <w:rPr>
          <w:rFonts w:ascii="Arial" w:cs="Arial" w:eastAsia="Arial" w:hAnsi="Arial"/>
          <w:sz w:val="22"/>
          <w:szCs w:val="22"/>
        </w:rPr>
        <w:t xml:space="preserve"> CRITICAL  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Owner:</w:t>
      </w:r>
      <w:r>
        <w:rPr>
          <w:rFonts w:ascii="Arial" w:cs="Arial" w:eastAsia="Arial" w:hAnsi="Arial"/>
          <w:sz w:val="22"/>
          <w:szCs w:val="22"/>
        </w:rPr>
        <w:t xml:space="preserve"> Market Risk Team  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File:</w:t>
      </w:r>
      <w:r>
        <w:rPr>
          <w:rFonts w:ascii="Arial" w:cs="Arial" w:eastAsia="Arial" w:hAnsi="Arial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backend/engines/frtb.py</w:t>
      </w:r>
      <w:r>
        <w:rPr>
          <w:rFonts w:ascii="Arial" w:cs="Arial" w:eastAsia="Arial" w:hAnsi="Arial"/>
          <w:sz w:val="22"/>
          <w:szCs w:val="22"/>
        </w:rPr>
        <w:t xml:space="preserve"> (1,710 lines)</w:t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sz w:val="22"/>
          <w:szCs w:val="22"/>
        </w:rPr>
        <w:t xml:space="preserve">8.4.1 Use Case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FRTB engine calculates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Market Risk Capital</w:t>
      </w:r>
      <w:r>
        <w:rPr>
          <w:rFonts w:ascii="Arial" w:cs="Arial" w:eastAsia="Arial" w:hAnsi="Arial"/>
          <w:sz w:val="22"/>
          <w:szCs w:val="22"/>
        </w:rPr>
        <w:t xml:space="preserve"> for the trading book. It implements both the Sensitivities-Based Method (SBM) and the Internal Models Approach (IMA) per MAR21–33, along with the Default Risk Charge (DRC), Residual Risk Add-On (RRAO), and a full backtesting framework under MAR99.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engine applies across all major risk classes: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GIRR:</w:t>
      </w:r>
      <w:r>
        <w:rPr>
          <w:rFonts w:ascii="Arial" w:cs="Arial" w:eastAsia="Arial" w:hAnsi="Arial"/>
          <w:sz w:val="22"/>
          <w:szCs w:val="22"/>
        </w:rPr>
        <w:t xml:space="preserve"> General Interest Rate Risk (tenor-based sensitivity)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CSR_NS:</w:t>
      </w:r>
      <w:r>
        <w:rPr>
          <w:rFonts w:ascii="Arial" w:cs="Arial" w:eastAsia="Arial" w:hAnsi="Arial"/>
          <w:sz w:val="22"/>
          <w:szCs w:val="22"/>
        </w:rPr>
        <w:t xml:space="preserve"> Credit Spread Risk — Non-Securitised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CSR_SEC:</w:t>
      </w:r>
      <w:r>
        <w:rPr>
          <w:rFonts w:ascii="Arial" w:cs="Arial" w:eastAsia="Arial" w:hAnsi="Arial"/>
          <w:sz w:val="22"/>
          <w:szCs w:val="22"/>
        </w:rPr>
        <w:t xml:space="preserve"> Credit Spread Risk — Securitised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EQ:</w:t>
      </w:r>
      <w:r>
        <w:rPr>
          <w:rFonts w:ascii="Arial" w:cs="Arial" w:eastAsia="Arial" w:hAnsi="Arial"/>
          <w:sz w:val="22"/>
          <w:szCs w:val="22"/>
        </w:rPr>
        <w:t xml:space="preserve"> Equity Risk (large-cap and small-cap)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FX:</w:t>
      </w:r>
      <w:r>
        <w:rPr>
          <w:rFonts w:ascii="Arial" w:cs="Arial" w:eastAsia="Arial" w:hAnsi="Arial"/>
          <w:sz w:val="22"/>
          <w:szCs w:val="22"/>
        </w:rPr>
        <w:t xml:space="preserve"> Foreign Exchange Risk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CMDTY:</w:t>
      </w:r>
      <w:r>
        <w:rPr>
          <w:rFonts w:ascii="Arial" w:cs="Arial" w:eastAsia="Arial" w:hAnsi="Arial"/>
          <w:sz w:val="22"/>
          <w:szCs w:val="22"/>
        </w:rPr>
        <w:t xml:space="preserve"> Commodity Risk (energy, metals, agriculture, other)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engine also features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real-time market condition integration</w:t>
      </w:r>
      <w:r>
        <w:rPr>
          <w:rFonts w:ascii="Arial" w:cs="Arial" w:eastAsia="Arial" w:hAnsi="Arial"/>
          <w:sz w:val="22"/>
          <w:szCs w:val="22"/>
        </w:rPr>
        <w:t xml:space="preserve"> (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MarketRegime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DynamicParameterAdjustment</w:t>
      </w:r>
      <w:r>
        <w:rPr>
          <w:rFonts w:ascii="Arial" w:cs="Arial" w:eastAsia="Arial" w:hAnsi="Arial"/>
          <w:sz w:val="22"/>
          <w:szCs w:val="22"/>
        </w:rPr>
        <w:t xml:space="preserve">) that scales risk weights and correlations based on live VIX, HY spreads, and equity volatility — implementing a counter-cyclical buffer directly in the risk weight calculus.</w:t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sz w:val="22"/>
          <w:szCs w:val="22"/>
        </w:rPr>
        <w:t xml:space="preserve">8.4.2 Basel Context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FRTB (Fundamental Review of the Trading Book) was introduced by BCBS in response to the Global Financial Crisis (2007–09), during which the pre-existing market risk framework (based on Value-at-Risk) proved inadequate. Key FRTB design principles:</w:t>
      </w:r>
    </w:p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Expected Shortfall (ES) replaces VaR</w:t>
      </w:r>
      <w:r>
        <w:rPr>
          <w:rFonts w:ascii="Arial" w:cs="Arial" w:eastAsia="Arial" w:hAnsi="Arial"/>
          <w:sz w:val="22"/>
          <w:szCs w:val="22"/>
        </w:rPr>
        <w:t xml:space="preserve"> — ES is a coherent risk measure that captures tail risk beyond VaR; used at 97.5% confidence for IMA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Sensitivities-based SBM</w:t>
      </w:r>
      <w:r>
        <w:rPr>
          <w:rFonts w:ascii="Arial" w:cs="Arial" w:eastAsia="Arial" w:hAnsi="Arial"/>
          <w:sz w:val="22"/>
          <w:szCs w:val="22"/>
        </w:rPr>
        <w:t xml:space="preserve"> replaces the original SA market risk approach — provides more granular, risk-sensitive capital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Desk-level IMA approval</w:t>
      </w:r>
      <w:r>
        <w:rPr>
          <w:rFonts w:ascii="Arial" w:cs="Arial" w:eastAsia="Arial" w:hAnsi="Arial"/>
          <w:sz w:val="22"/>
          <w:szCs w:val="22"/>
        </w:rPr>
        <w:t xml:space="preserve"> — the regulator approves individual trading desks, not the entire book; desks failing the PLA test revert to SBM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Three correlation scenarios</w:t>
      </w:r>
      <w:r>
        <w:rPr>
          <w:rFonts w:ascii="Arial" w:cs="Arial" w:eastAsia="Arial" w:hAnsi="Arial"/>
          <w:sz w:val="22"/>
          <w:szCs w:val="22"/>
        </w:rPr>
        <w:t xml:space="preserve"> — SBM is computed under low, medium, and high correlation scenarios and the worst case is taken; prevents correlation arbitrage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Liquidity horizons</w:t>
      </w:r>
      <w:r>
        <w:rPr>
          <w:rFonts w:ascii="Arial" w:cs="Arial" w:eastAsia="Arial" w:hAnsi="Arial"/>
          <w:sz w:val="22"/>
          <w:szCs w:val="22"/>
        </w:rPr>
        <w:t xml:space="preserve"> — different risk factors are assigned different liquidity horizons (10–120 days) reflecting how long it takes to exit positions</w:t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sz w:val="22"/>
          <w:szCs w:val="22"/>
        </w:rPr>
        <w:t xml:space="preserve">8.4.3 Functional Objective of Calculations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#### A. Sensitivities-Based Method (SBM) — MAR21–25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Weighted Sensitivity: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$$WS_k = RW_k \times s_k$$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Intra-bucket aggregation (Delta per risk class and bucket b):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$$K_b = \sqrt{\sum_k WS_k^2 + \sum_{k \neq l} \rho_{kl} \cdot WS_k \cdot WS_l}$$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Inter-bucket aggregation (across buckets within risk class):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$$\Delta = \sqrt{\sum_b K_b^2 + \sum_{b \neq c} \gamma_{bc} \cdot K_b \cdot K_c}$$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Regulatory Floor (MAR21.100):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$$\text{SBM}_\text{delta} = \max\!\left(\Delta,\; \sum_k |WS_k|\right)$$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Three correlation scenarios (MAR21.6):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Low:</w:t>
      </w:r>
      <w:r>
        <w:rPr>
          <w:rFonts w:ascii="Arial" w:cs="Arial" w:eastAsia="Arial" w:hAnsi="Arial"/>
          <w:sz w:val="22"/>
          <w:szCs w:val="22"/>
        </w:rPr>
        <w:t xml:space="preserve"> $\rho_\text{low} = \max(2\rho - 1,\; 0.5625\rho,\; 0)$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Medium:</w:t>
      </w:r>
      <w:r>
        <w:rPr>
          <w:rFonts w:ascii="Arial" w:cs="Arial" w:eastAsia="Arial" w:hAnsi="Arial"/>
          <w:sz w:val="22"/>
          <w:szCs w:val="22"/>
        </w:rPr>
        <w:t xml:space="preserve"> $\rho_\text{med} = \rho$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High:</w:t>
      </w:r>
      <w:r>
        <w:rPr>
          <w:rFonts w:ascii="Arial" w:cs="Arial" w:eastAsia="Arial" w:hAnsi="Arial"/>
          <w:sz w:val="22"/>
          <w:szCs w:val="22"/>
        </w:rPr>
        <w:t xml:space="preserve"> $\rho_\text{high} = \min(\rho + 0.25(1 - |\rho|),\; 1)$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capital charge is the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maximum</w:t>
      </w:r>
      <w:r>
        <w:rPr>
          <w:rFonts w:ascii="Arial" w:cs="Arial" w:eastAsia="Arial" w:hAnsi="Arial"/>
          <w:sz w:val="22"/>
          <w:szCs w:val="22"/>
        </w:rPr>
        <w:t xml:space="preserve"> across all three scenarios.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Total SBM: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$$\text{SBM}_\text{total} = \text{SBM}_\text{delta} + \text{SBM}_\text{vega} + \text{SBM}_\text{curvature}$$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#### B. Internal Models Approach (IMA) — MAR33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Expected Shortfall: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$$\text{ES}_{97.5\%} = -\text{Percentile}(\text{P\&amp;L},\; 2.5\%)$$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Liquidity Horizon Adjustment (MAR33.4):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$$\text{ES}_{10d} = \text{ES}_{1d} \times \sqrt{10}$$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Stressed ES Calibration: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$$\text{ES}_\text{stressed} = \text{ES from the worst 12-month window in 2007–2009 data}$$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Total IMA: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$$\text{IMA} = \max(\text{ES}_{10d},\; \text{ES}_\text{stressed})$$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#### C. Default Risk Charge (DRC) — MAR22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$$\text{DRC} = \sum_i \text{LGD}_i \times \text{Notional}_i \times P(\text{JTD}_i)$$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Jump-to-Default probability applies regulatory net long/short positions across rating buckets.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#### D. Residual Risk Add-On (RRAO) — MAR23.5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$$\text{RRAO} = 1.0\% \times N_\text{exotic} + 0.1\% \times N_\text{residual}$$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where $N_\text{exotic}$ is total gross notional of instruments with exotic underlyings, and $N_\text{residual}$ is gross notional with gap/correlation/behavioural risk.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#### E. Total Market Risk Capital: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$$\text{Capital}_\text{market} = \text{SBM}_\text{total} + \text{IMA} + \text{DRC} + \text{RRAO}$$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$$\text{RWA}_\text{market} = \text{Capital}_\text{market} \times 12.5$$</w:t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sz w:val="22"/>
          <w:szCs w:val="22"/>
        </w:rPr>
        <w:t xml:space="preserve">8.4.4 Parameter Significance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  <w:r>
              <w:rPr>
                <w:b w:val="false"/>
                <w:bCs w:val="false"/>
                <w:color w:val="000000"/>
              </w:rPr>
            </w: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sz w:val="22"/>
          <w:szCs w:val="22"/>
        </w:rPr>
        <w:t xml:space="preserve">8.4.5 Key Success Criteria</w:t>
      </w:r>
    </w:p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SBM delta charge is non-negative and passes the regulatory floor (MAR21.100) check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Three-scenario correlation framework produces the maximum-charge scenario as the result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IMA ES correctly identifies the worst 2.5th percentile of the 260-day P&amp;L distribution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Stressed ES &gt; current ES (confirms stressed calibration is more severe)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GIRR intra-bucket correlations follow the tenor-gap exponential decay formula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Backtesting traffic-light zone is correctly classified (Green/Amber/Red) based on exception count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PLA test zone (MAR32) is computed and surfaced in 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FRTBResult.pla_zone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Dynamic market condition adjustment scales risk weights upward during VIX &gt; 40 (crisis regime)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6/6 SBM/IMA/DRC unit tests pass; zero type errors under Pylance strict mode</w:t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sz w:val="22"/>
          <w:szCs w:val="22"/>
        </w:rPr>
        <w:t xml:space="preserve">FR-005: CVA Risk Engine — Credit Valuation Adjustment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Basel Standard:</w:t>
      </w:r>
      <w:r>
        <w:rPr>
          <w:rFonts w:ascii="Arial" w:cs="Arial" w:eastAsia="Arial" w:hAnsi="Arial"/>
          <w:sz w:val="22"/>
          <w:szCs w:val="22"/>
        </w:rPr>
        <w:t xml:space="preserve"> MAR50  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Priority:</w:t>
      </w:r>
      <w:r>
        <w:rPr>
          <w:rFonts w:ascii="Arial" w:cs="Arial" w:eastAsia="Arial" w:hAnsi="Arial"/>
          <w:sz w:val="22"/>
          <w:szCs w:val="22"/>
        </w:rPr>
        <w:t xml:space="preserve"> HIGH  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Owner:</w:t>
      </w:r>
      <w:r>
        <w:rPr>
          <w:rFonts w:ascii="Arial" w:cs="Arial" w:eastAsia="Arial" w:hAnsi="Arial"/>
          <w:sz w:val="22"/>
          <w:szCs w:val="22"/>
        </w:rPr>
        <w:t xml:space="preserve"> CVA Desk  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File:</w:t>
      </w:r>
      <w:r>
        <w:rPr>
          <w:rFonts w:ascii="Arial" w:cs="Arial" w:eastAsia="Arial" w:hAnsi="Arial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backend/engines/cva.py</w:t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sz w:val="22"/>
          <w:szCs w:val="22"/>
        </w:rPr>
        <w:t xml:space="preserve">8.5.1 Use Case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CVA Risk engine calculates regulatory capital against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CVA Volatility Risk</w:t>
      </w:r>
      <w:r>
        <w:rPr>
          <w:rFonts w:ascii="Arial" w:cs="Arial" w:eastAsia="Arial" w:hAnsi="Arial"/>
          <w:sz w:val="22"/>
          <w:szCs w:val="22"/>
        </w:rPr>
        <w:t xml:space="preserve"> — the risk that the mark-to-model CVA of a derivatives portfolio moves adversely due to changes in counterparty credit quality (CDS spreads) or market factors. CVA capital was introduced after the financial crisis, as roughly two-thirds of financial-crisis CCR losses came from CVA P&amp;L volatility rather than actual defaults.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engine supports two approaches: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BA-CVA (Basic Approach):</w:t>
      </w:r>
      <w:r>
        <w:rPr>
          <w:rFonts w:ascii="Arial" w:cs="Arial" w:eastAsia="Arial" w:hAnsi="Arial"/>
          <w:sz w:val="22"/>
          <w:szCs w:val="22"/>
        </w:rPr>
        <w:t xml:space="preserve"> Always available; simpler EAD-based formula; used as fallback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SA-CVA (Standardised Approach):</w:t>
      </w:r>
      <w:r>
        <w:rPr>
          <w:rFonts w:ascii="Arial" w:cs="Arial" w:eastAsia="Arial" w:hAnsi="Arial"/>
          <w:sz w:val="22"/>
          <w:szCs w:val="22"/>
        </w:rPr>
        <w:t xml:space="preserve"> Requires supervisory approval; sensitivity-based; more risk-sensitive</w:t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sz w:val="22"/>
          <w:szCs w:val="22"/>
        </w:rPr>
        <w:t xml:space="preserve">8.5.2 Basel Context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MAR50 requires banks to hold capital against movements in CVA, which is the mark-to-market adjustment to a derivatives portfolio's value reflecting counterparty default risk. CVA is distinct from the CCR capital computed by SA-CCR/IMM: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CCR capital</w:t>
      </w:r>
      <w:r>
        <w:rPr>
          <w:rFonts w:ascii="Arial" w:cs="Arial" w:eastAsia="Arial" w:hAnsi="Arial"/>
          <w:sz w:val="22"/>
          <w:szCs w:val="22"/>
        </w:rPr>
        <w:t xml:space="preserve"> (SA-CCR/IMM) covers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expected and unexpected losses from default events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CVA capital</w:t>
      </w:r>
      <w:r>
        <w:rPr>
          <w:rFonts w:ascii="Arial" w:cs="Arial" w:eastAsia="Arial" w:hAnsi="Arial"/>
          <w:sz w:val="22"/>
          <w:szCs w:val="22"/>
        </w:rPr>
        <w:t xml:space="preserve"> (MAR50) covers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MTM losses from changes in the probability of default</w:t>
      </w:r>
      <w:r>
        <w:rPr>
          <w:rFonts w:ascii="Arial" w:cs="Arial" w:eastAsia="Arial" w:hAnsi="Arial"/>
          <w:sz w:val="22"/>
          <w:szCs w:val="22"/>
        </w:rPr>
        <w:t xml:space="preserve"> (spread widening) without an actual default occurring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Key regulatory treatment: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CVA RWA is excluded from the output floor base</w:t>
      </w:r>
      <w:r>
        <w:rPr>
          <w:rFonts w:ascii="Arial" w:cs="Arial" w:eastAsia="Arial" w:hAnsi="Arial"/>
          <w:sz w:val="22"/>
          <w:szCs w:val="22"/>
        </w:rPr>
        <w:t xml:space="preserve"> (CAP10 FAQ1). This prevents double-counting, as CVA is already sensitive to SA credit spread assumptions.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CVA engine integrates with real-time market conditions via 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CVAMarketDataFeed</w:t>
      </w:r>
      <w:r>
        <w:rPr>
          <w:rFonts w:ascii="Arial" w:cs="Arial" w:eastAsia="Arial" w:hAnsi="Arial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SOFR/OIS rate from FRED API (series: 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SOFR</w:t>
      </w:r>
      <w:r>
        <w:rPr>
          <w:rFonts w:ascii="Arial" w:cs="Arial" w:eastAsia="Arial" w:hAnsi="Arial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IG OAS from FRED (series: 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BAMLC0A0CM</w:t>
      </w:r>
      <w:r>
        <w:rPr>
          <w:rFonts w:ascii="Arial" w:cs="Arial" w:eastAsia="Arial" w:hAnsi="Arial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HY OAS from FRED (series: 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BAMLH0A0HYM2</w:t>
      </w:r>
      <w:r>
        <w:rPr>
          <w:rFonts w:ascii="Arial" w:cs="Arial" w:eastAsia="Arial" w:hAnsi="Arial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VIX from FRED or yfinance (series: 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VIXCLS</w:t>
      </w:r>
      <w:r>
        <w:rPr>
          <w:rFonts w:ascii="Arial" w:cs="Arial" w:eastAsia="Arial" w:hAnsi="Arial"/>
          <w:sz w:val="22"/>
          <w:szCs w:val="22"/>
        </w:rPr>
        <w:t xml:space="preserve">)</w:t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sz w:val="22"/>
          <w:szCs w:val="22"/>
        </w:rPr>
        <w:t xml:space="preserve">8.5.3 Functional Objective of Calculations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BA-CVA (MAR50, Basic Approach):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$$\text{CVA}_\text{capital} = 0.75 \times \text{EAD} \times RW$$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where $RW$ is the regulatory risk weight for the counterparty's credit quality tier.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SA-CVA (MAR50.3, Standardised Approach — requires approval):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Sensitivity-based calculation analogous to FRTB SBM; sensitivities are derived from CVA's dependence on CDS spreads, interest rates, FX, equity, and commodity risk factors.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Automatic fallback logic:</w:t>
      </w:r>
    </w:p>
    <w:p>
      <w:pPr>
        <w:pBdr>
          <w:left w:val="single" w:color="2E75B6" w:sz="6" w:space="4"/>
        </w:pBdr>
        <w:shd w:fill="F2F2F2" w:val="clear"/>
        <w:spacing w:after="80" w:before="80" w:line="24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if not sa_cva_approved:
    method = "BA-CVA"
    log_trace("FALLBACK|CVA|SA-CVA_NOT_APPROVED|Using BA-CVA per MAR50.12")
else:
    method = "SA-CVA"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Materiality threshold (MAR50.9):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If the notional of derivatives subject to CVA risk is below the BCBS materiality threshold, the institution may use 100% of CCR RWA as a proxy CVA capital charge.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Real-time parameter adjustment: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$$\rho_\text{supervisory} = \min(0.50 + 0.30 \times \text{stress\_index},\; 0.80)$$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where stress index is a function of VIX and HY spreads (floored at 0.50 per MAR50.29 in normal conditions; rising to 0.80 in crisis).</w:t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sz w:val="22"/>
          <w:szCs w:val="22"/>
        </w:rPr>
        <w:t xml:space="preserve">8.5.4 Parameter Significance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sz w:val="22"/>
          <w:szCs w:val="22"/>
        </w:rPr>
        <w:t xml:space="preserve">8.5.5 Key Success Criteria</w:t>
      </w:r>
    </w:p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BA-CVA capital output matches MAR50 formula within &lt; 0.01% tolerance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SA-CVA fallback trace is logged when 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sa_cva_approved = False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supervisory_rho()</w:t>
      </w:r>
      <w:r>
        <w:rPr>
          <w:rFonts w:ascii="Arial" w:cs="Arial" w:eastAsia="Arial" w:hAnsi="Arial"/>
          <w:sz w:val="22"/>
          <w:szCs w:val="22"/>
        </w:rPr>
        <w:t xml:space="preserve"> correctly increases from 0.50 to 0.80 as VIX increases from 15 to 80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CVA RWA is correctly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excluded</w:t>
      </w:r>
      <w:r>
        <w:rPr>
          <w:rFonts w:ascii="Arial" w:cs="Arial" w:eastAsia="Arial" w:hAnsi="Arial"/>
          <w:sz w:val="22"/>
          <w:szCs w:val="22"/>
        </w:rPr>
        <w:t xml:space="preserve"> from the output floor base in 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main.py::PrometheusRunner.run_daily()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Live FRED API fetch succeeds; graceful fallback to hard-coded defaults on network failure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6/6 CVA unit tests pass</w:t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sz w:val="22"/>
          <w:szCs w:val="22"/>
        </w:rPr>
        <w:t xml:space="preserve">FR-006: CCP Exposure Engine — Central Counterparty Capital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Basel Standard:</w:t>
      </w:r>
      <w:r>
        <w:rPr>
          <w:rFonts w:ascii="Arial" w:cs="Arial" w:eastAsia="Arial" w:hAnsi="Arial"/>
          <w:sz w:val="22"/>
          <w:szCs w:val="22"/>
        </w:rPr>
        <w:t xml:space="preserve"> CRE54  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Priority:</w:t>
      </w:r>
      <w:r>
        <w:rPr>
          <w:rFonts w:ascii="Arial" w:cs="Arial" w:eastAsia="Arial" w:hAnsi="Arial"/>
          <w:sz w:val="22"/>
          <w:szCs w:val="22"/>
        </w:rPr>
        <w:t xml:space="preserve"> MEDIUM  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Owner:</w:t>
      </w:r>
      <w:r>
        <w:rPr>
          <w:rFonts w:ascii="Arial" w:cs="Arial" w:eastAsia="Arial" w:hAnsi="Arial"/>
          <w:sz w:val="22"/>
          <w:szCs w:val="22"/>
        </w:rPr>
        <w:t xml:space="preserve"> Clearing Operations  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File:</w:t>
      </w:r>
      <w:r>
        <w:rPr>
          <w:rFonts w:ascii="Arial" w:cs="Arial" w:eastAsia="Arial" w:hAnsi="Arial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backend/engines/ccp.py</w:t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sz w:val="22"/>
          <w:szCs w:val="22"/>
        </w:rPr>
        <w:t xml:space="preserve">8.6.1 Use Case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CCP engine calculates the regulatory capital a clearing member must hold against its exposures to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Central Counterparty (CCP)</w:t>
      </w:r>
      <w:r>
        <w:rPr>
          <w:rFonts w:ascii="Arial" w:cs="Arial" w:eastAsia="Arial" w:hAnsi="Arial"/>
          <w:sz w:val="22"/>
          <w:szCs w:val="22"/>
        </w:rPr>
        <w:t xml:space="preserve">. As derivatives clearing mandates (EMIR, Dodd-Frank) have shifted a large portion of OTC derivatives to central clearing, CCP exposure has become a material component of CCR capital.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Two exposure types are captured: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Trade Exposure:</w:t>
      </w:r>
      <w:r>
        <w:rPr>
          <w:rFonts w:ascii="Arial" w:cs="Arial" w:eastAsia="Arial" w:hAnsi="Arial"/>
          <w:sz w:val="22"/>
          <w:szCs w:val="22"/>
        </w:rPr>
        <w:t xml:space="preserve"> The mark-to-market exposure from cleared trades, including posted initial margin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Default Fund Contribution (DFC):</w:t>
      </w:r>
      <w:r>
        <w:rPr>
          <w:rFonts w:ascii="Arial" w:cs="Arial" w:eastAsia="Arial" w:hAnsi="Arial"/>
          <w:sz w:val="22"/>
          <w:szCs w:val="22"/>
        </w:rPr>
        <w:t xml:space="preserve"> Capital against the bank's prefunded contribution to the CCP's default waterfall</w:t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sz w:val="22"/>
          <w:szCs w:val="22"/>
        </w:rPr>
        <w:t xml:space="preserve">8.6.2 Basel Context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CRE54 provides preferential capital treatment for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Qualifying CCPs (QCCPs)</w:t>
      </w:r>
      <w:r>
        <w:rPr>
          <w:rFonts w:ascii="Arial" w:cs="Arial" w:eastAsia="Arial" w:hAnsi="Arial"/>
          <w:sz w:val="22"/>
          <w:szCs w:val="22"/>
        </w:rPr>
        <w:t xml:space="preserve"> — typically major clearing houses (LCH, CME, Eurex, JSCC) that meet CPMI-IOSCO Principles for Financial Market Infrastructures. The rationale: CCPs' multilateral netting, margining, and default management procedures reduce systemic risk, so banks should not be discouraged from central clearing by prohibitively high capital charges.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Non-qualifying CCPs receive a 100% risk weight (same as a corporate counterparty), providing a strong incentive to use qualifying clearing venues.</w:t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sz w:val="22"/>
          <w:szCs w:val="22"/>
        </w:rPr>
        <w:t xml:space="preserve">8.6.3 Functional Objective of Calculations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QCCP Trade Exposure (CRE54.4):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$$\text{RWA}_\text{trade} = \text{EAD}_\text{trade} \times 2\% \times 12.5$$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Initial Margin posted: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Segregated IM → 0% risk weight (CRE54.15): protected from CCP default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Non-segregated IM → 2% risk weight: commingled; exposed to CCP default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Default Fund Capital (CRE54.31–39 — simplified):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$$K_\text{DFC} = \min(0.08 \times K_\text{CCP},\; \text{DFC} \times 1.6\%)$$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$$\text{RWA}_\text{DFC} = K_\text{DFC} \times 12.5$$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Unfunded DFC commitments (CRE54.42):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$$\text{RWA}_\text{unfunded} = \text{DFC}_\text{unfunded} \times 12.5 \quad \text{(100\% capital requirement)}$$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Client Clearing Intermediary (CRE54.5):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$$\text{RWA}_\text{client} = \text{EAD}_\text{client} \times 2\% \times 12.5 \quad \text{(if QCCP)}$$</w:t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sz w:val="22"/>
          <w:szCs w:val="22"/>
        </w:rPr>
        <w:t xml:space="preserve">8.6.4 Parameter Significance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sz w:val="22"/>
          <w:szCs w:val="22"/>
        </w:rPr>
        <w:t xml:space="preserve">8.6.5 Key Success Criteria</w:t>
      </w:r>
    </w:p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QCCP trade EAD correctly attracts 2% risk weight; non-QCCP attracts 100%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Segregated IM produces 0 RWA; non-segregated IM produces 2% RWA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DFC capital correctly applies 1.6% flat rate when KCCP is not provided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Total CCP RWA aggregated across all CCPs and fed into the five-part formula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4/4 CCP unit tests pass</w:t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sz w:val="22"/>
          <w:szCs w:val="22"/>
        </w:rPr>
        <w:t xml:space="preserve">FR-007: Daily Risk Orchestrator — Five-Part RWA Formula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Basel Standard:</w:t>
      </w:r>
      <w:r>
        <w:rPr>
          <w:rFonts w:ascii="Arial" w:cs="Arial" w:eastAsia="Arial" w:hAnsi="Arial"/>
          <w:sz w:val="22"/>
          <w:szCs w:val="22"/>
        </w:rPr>
        <w:t xml:space="preserve"> RBC20.9, RBC20.11  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Priority:</w:t>
      </w:r>
      <w:r>
        <w:rPr>
          <w:rFonts w:ascii="Arial" w:cs="Arial" w:eastAsia="Arial" w:hAnsi="Arial"/>
          <w:sz w:val="22"/>
          <w:szCs w:val="22"/>
        </w:rPr>
        <w:t xml:space="preserve"> CRITICAL  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Owner:</w:t>
      </w:r>
      <w:r>
        <w:rPr>
          <w:rFonts w:ascii="Arial" w:cs="Arial" w:eastAsia="Arial" w:hAnsi="Arial"/>
          <w:sz w:val="22"/>
          <w:szCs w:val="22"/>
        </w:rPr>
        <w:t xml:space="preserve"> Risk Operations  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File:</w:t>
      </w:r>
      <w:r>
        <w:rPr>
          <w:rFonts w:ascii="Arial" w:cs="Arial" w:eastAsia="Arial" w:hAnsi="Arial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backend/main.py</w:t>
      </w:r>
      <w:r>
        <w:rPr>
          <w:rFonts w:ascii="Arial" w:cs="Arial" w:eastAsia="Arial" w:hAnsi="Arial"/>
          <w:sz w:val="22"/>
          <w:szCs w:val="22"/>
        </w:rPr>
        <w:t xml:space="preserve"> (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PrometheusRunner</w:t>
      </w:r>
      <w:r>
        <w:rPr>
          <w:rFonts w:ascii="Arial" w:cs="Arial" w:eastAsia="Arial" w:hAnsi="Arial"/>
          <w:sz w:val="22"/>
          <w:szCs w:val="22"/>
        </w:rPr>
        <w:t xml:space="preserve">)</w:t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sz w:val="22"/>
          <w:szCs w:val="22"/>
        </w:rPr>
        <w:t xml:space="preserve">8.7.1 Use Case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Orchestrator (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PrometheusRunner</w:t>
      </w:r>
      <w:r>
        <w:rPr>
          <w:rFonts w:ascii="Arial" w:cs="Arial" w:eastAsia="Arial" w:hAnsi="Arial"/>
          <w:sz w:val="22"/>
          <w:szCs w:val="22"/>
        </w:rPr>
        <w:t xml:space="preserve">) coordinates all six engines into a single, sequential daily risk run. It loads portfolio data, dispatches calculations to each engine, aggregates RWA components, applies the output floor, and persists results with a full audit trail. It is the single entry point for the daily risk calculation cycle.</w:t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sz w:val="22"/>
          <w:szCs w:val="22"/>
        </w:rPr>
        <w:t xml:space="preserve">8.7.2 Basel Context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RBC20.9 specifies that Total RWA is the sum of all risk components: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$$\text{Total RWA} = \text{RWA}_\text{Credit} + \text{RWA}_\text{CCR} + \text{RWA}_\text{Market} + \text{RWA}_\text{CVA} + \text{RWA}_\text{CCP} + \text{RWA}_\text{OpRisk}$$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RBC20.11 imposes the output floor: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$$\text{Final RWA} = \max\!\left(\text{Total RWA},\; 72.5\% \times \text{SA-based RWA}\right)$$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CVA excluded from floor base (CAP10 FAQ1):</w:t>
      </w:r>
      <w:r>
        <w:rPr>
          <w:rFonts w:ascii="Arial" w:cs="Arial" w:eastAsia="Arial" w:hAnsi="Arial"/>
          <w:sz w:val="22"/>
          <w:szCs w:val="22"/>
        </w:rPr>
        <w:t xml:space="preserve"> The SA-based RWA in the floor denominator excludes CVA RWA, as CVA is already sensitivity-based. Including it would introduce double-counting.</w:t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sz w:val="22"/>
          <w:szCs w:val="22"/>
        </w:rPr>
        <w:t xml:space="preserve">8.7.3 Functional Objective of Calculations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orchestration flow executes in strict sequential order to ensure dependencies are met:</w:t>
      </w:r>
    </w:p>
    <w:p>
      <w:pPr>
        <w:spacing w:after="60" w:before="60"/>
      </w:pPr>
      <w:r>
        <w:t xml:space="preserve"/>
      </w:r>
    </w:p>
    <w:p>
      <w:pPr>
        <w:pBdr>
          <w:left w:val="single" w:color="2E75B6" w:sz="6" w:space="4"/>
        </w:pBdr>
        <w:shd w:fill="F2F2F2" w:val="clear"/>
        <w:spacing w:after="80" w:before="80" w:line="24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1. Load dataset (portfolio_generator.build_full_dataset)
2. For each derivative portfolio:
   a. SA-CCR EAD calculation
   b. IMM EAD calculation (if IMM-eligible trades present)
   c. IMM floor check: if EAD_IMM_CSA &lt; 50% × EAD_SA-CCR → FALLBACK
   d. FRTB SBM + IMA calculation
   e. Aggregate RWA_CCR and RWA_Market
3. For each banking book portfolio:
   a. A-IRB RWA calculation (including double-default, SME, EL shortfall)
   b. Aggregate RWA_Credit
4. CVA calculation (BA-CVA or SA-CVA based on approval flag)
5. CCP RWA calculation (QCCP + DFC)
6. Operational Risk RWA stub (OPE25 BIA)
7. Five-part RWA formula:
   Total_RWA = RWA_Credit + RWA_CCR + RWA_Market + RWA_CVA + RWA_CCP + RWA_OpRisk
8. Output floor:
   SA_base = RWA_Credit_SA + RWA_CCR_SA + RWA_Market_SA + RWA_CCP_SA
   Final_RWA = max(Total_RWA, 0.725 × SA_base)
9. Capital requirement:
   Capital = Final_RWA × 8%
10. Persist results + audit logs (persistence.py)</w:t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sz w:val="22"/>
          <w:szCs w:val="22"/>
        </w:rPr>
        <w:t xml:space="preserve">8.7.4 Parameter Significance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sz w:val="22"/>
          <w:szCs w:val="22"/>
        </w:rPr>
        <w:t xml:space="preserve">8.7.5 Key Success Criteria</w:t>
      </w:r>
    </w:p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All six RWA components produced in a single run call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Output floor correctly applied; CVA excluded from floor base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IMM fallback trace logged at WARNING level when floor violated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Total run time &lt; 5 minutes on M1 MacBook Air 8 GB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Results persisted to PostgreSQL 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risk.rwa_results</w:t>
      </w:r>
      <w:r>
        <w:rPr>
          <w:rFonts w:ascii="Arial" w:cs="Arial" w:eastAsia="Arial" w:hAnsi="Arial"/>
          <w:sz w:val="22"/>
          <w:szCs w:val="22"/>
        </w:rPr>
        <w:t xml:space="preserve"> and 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audit.run_logs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Results JSON structure fully populated for dashboard consumption</w:t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sz w:val="22"/>
          <w:szCs w:val="22"/>
        </w:rPr>
        <w:t xml:space="preserve">FR-008: Market Data Integration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Priority:</w:t>
      </w:r>
      <w:r>
        <w:rPr>
          <w:rFonts w:ascii="Arial" w:cs="Arial" w:eastAsia="Arial" w:hAnsi="Arial"/>
          <w:sz w:val="22"/>
          <w:szCs w:val="22"/>
        </w:rPr>
        <w:t xml:space="preserve"> HIGH  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Owner:</w:t>
      </w:r>
      <w:r>
        <w:rPr>
          <w:rFonts w:ascii="Arial" w:cs="Arial" w:eastAsia="Arial" w:hAnsi="Arial"/>
          <w:sz w:val="22"/>
          <w:szCs w:val="22"/>
        </w:rPr>
        <w:t xml:space="preserve"> IT Infrastructure / Market Risk  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Files:</w:t>
      </w:r>
      <w:r>
        <w:rPr>
          <w:rFonts w:ascii="Arial" w:cs="Arial" w:eastAsia="Arial" w:hAnsi="Arial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backend/data_sources/market_data_provider.py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backend/data_sources/cds_spread_service.py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backend/data_sources/market_state.py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backend/data_sources/calibration.py</w:t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sz w:val="22"/>
          <w:szCs w:val="22"/>
        </w:rPr>
        <w:t xml:space="preserve">8.8.1 Use Case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market data infrastructure supplies real-time and historical inputs to all risk engines: CDS spreads (for CVA and A-IRB), yield curves (for SA-CCR duration calculation), volatility surfaces (for FRTB vega), VIX and credit indices (for market regime classification), and OIS/SOFR rates (for CVA discounting).</w:t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sz w:val="22"/>
          <w:szCs w:val="22"/>
        </w:rPr>
        <w:t xml:space="preserve">8.8.2 Functional Objective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abstract 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MarketDataProvider</w:t>
      </w:r>
      <w:r>
        <w:rPr>
          <w:rFonts w:ascii="Arial" w:cs="Arial" w:eastAsia="Arial" w:hAnsi="Arial"/>
          <w:sz w:val="22"/>
          <w:szCs w:val="22"/>
        </w:rPr>
        <w:t xml:space="preserve"> interface defines three core methods: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fetch_cds_spreads(obligor_id, tenors, as_of_date)</w:t>
      </w:r>
      <w:r>
        <w:rPr>
          <w:rFonts w:ascii="Arial" w:cs="Arial" w:eastAsia="Arial" w:hAnsi="Arial"/>
          <w:sz w:val="22"/>
          <w:szCs w:val="22"/>
        </w:rPr>
        <w:t xml:space="preserve"> → Dict[tenor, spread_bp]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fetch_recovery_rate(obligor_id, as_of_date)</w:t>
      </w:r>
      <w:r>
        <w:rPr>
          <w:rFonts w:ascii="Arial" w:cs="Arial" w:eastAsia="Arial" w:hAnsi="Arial"/>
          <w:sz w:val="22"/>
          <w:szCs w:val="22"/>
        </w:rPr>
        <w:t xml:space="preserve"> → float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fetch_risk_free_rate(currency, tenor, as_of_date)</w:t>
      </w:r>
      <w:r>
        <w:rPr>
          <w:rFonts w:ascii="Arial" w:cs="Arial" w:eastAsia="Arial" w:hAnsi="Arial"/>
          <w:sz w:val="22"/>
          <w:szCs w:val="22"/>
        </w:rPr>
        <w:t xml:space="preserve"> → float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Concrete implementations: 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BloombergProvider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RefinitivProvider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InternalFeedProvider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StaticTestProvider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CDSSpreadService</w:t>
      </w:r>
      <w:r>
        <w:rPr>
          <w:rFonts w:ascii="Arial" w:cs="Arial" w:eastAsia="Arial" w:hAnsi="Arial"/>
          <w:sz w:val="22"/>
          <w:szCs w:val="22"/>
        </w:rPr>
        <w:t xml:space="preserve"> wraps providers with: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Primary→fallback cascade logic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5-minute TTL in-memory cache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Bulk fetch for multiple obligors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Conversion to 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CreditSpreadsData</w:t>
      </w:r>
      <w:r>
        <w:rPr>
          <w:rFonts w:ascii="Arial" w:cs="Arial" w:eastAsia="Arial" w:hAnsi="Arial"/>
          <w:sz w:val="22"/>
          <w:szCs w:val="22"/>
        </w:rPr>
        <w:t xml:space="preserve"> for A-IRB engine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CVAMarketDataFeed</w:t>
      </w:r>
      <w:r>
        <w:rPr>
          <w:rFonts w:ascii="Arial" w:cs="Arial" w:eastAsia="Arial" w:hAnsi="Arial"/>
          <w:sz w:val="22"/>
          <w:szCs w:val="22"/>
        </w:rPr>
        <w:t xml:space="preserve"> fetches SOFR, IG OAS, HY OAS, and VIX from FRED public API (no subscription required), with graceful fallback to hard-coded defaults if the network is unavailable.</w:t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sz w:val="22"/>
          <w:szCs w:val="22"/>
        </w:rPr>
        <w:t xml:space="preserve">8.8.3 Key Success Criteria</w:t>
      </w:r>
    </w:p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Bloomberg and Refinitiv providers correctly fail gracefully when API is unavailable, falling to the next tier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StaticTestProvider</w:t>
      </w:r>
      <w:r>
        <w:rPr>
          <w:rFonts w:ascii="Arial" w:cs="Arial" w:eastAsia="Arial" w:hAnsi="Arial"/>
          <w:sz w:val="22"/>
          <w:szCs w:val="22"/>
        </w:rPr>
        <w:t xml:space="preserve"> returns deterministic test data for CI/CD pipeline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Cache hit rate reduces external API calls by &gt; 80% in normal daily operation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All engines receive valid (non-NaN, non-None) market data inputs or default gracefully</w:t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sz w:val="22"/>
          <w:szCs w:val="22"/>
        </w:rPr>
        <w:t xml:space="preserve">FR-009: Backtesting Framework — Traffic-Light System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Basel Standard:</w:t>
      </w:r>
      <w:r>
        <w:rPr>
          <w:rFonts w:ascii="Arial" w:cs="Arial" w:eastAsia="Arial" w:hAnsi="Arial"/>
          <w:sz w:val="22"/>
          <w:szCs w:val="22"/>
        </w:rPr>
        <w:t xml:space="preserve"> MAR99  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Priority:</w:t>
      </w:r>
      <w:r>
        <w:rPr>
          <w:rFonts w:ascii="Arial" w:cs="Arial" w:eastAsia="Arial" w:hAnsi="Arial"/>
          <w:sz w:val="22"/>
          <w:szCs w:val="22"/>
        </w:rPr>
        <w:t xml:space="preserve"> CRITICAL  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Owner:</w:t>
      </w:r>
      <w:r>
        <w:rPr>
          <w:rFonts w:ascii="Arial" w:cs="Arial" w:eastAsia="Arial" w:hAnsi="Arial"/>
          <w:sz w:val="22"/>
          <w:szCs w:val="22"/>
        </w:rPr>
        <w:t xml:space="preserve"> Market Risk / Model Validation  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File:</w:t>
      </w:r>
      <w:r>
        <w:rPr>
          <w:rFonts w:ascii="Arial" w:cs="Arial" w:eastAsia="Arial" w:hAnsi="Arial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backend/engines/frtb.py</w:t>
      </w:r>
      <w:r>
        <w:rPr>
          <w:rFonts w:ascii="Arial" w:cs="Arial" w:eastAsia="Arial" w:hAnsi="Arial"/>
          <w:sz w:val="22"/>
          <w:szCs w:val="22"/>
        </w:rPr>
        <w:t xml:space="preserve"> (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BacktestEngine</w:t>
      </w:r>
      <w:r>
        <w:rPr>
          <w:rFonts w:ascii="Arial" w:cs="Arial" w:eastAsia="Arial" w:hAnsi="Arial"/>
          <w:sz w:val="22"/>
          <w:szCs w:val="22"/>
        </w:rPr>
        <w:t xml:space="preserve">)</w:t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sz w:val="22"/>
          <w:szCs w:val="22"/>
        </w:rPr>
        <w:t xml:space="preserve">8.9.1 Use Case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backtesting framework validates the FRTB IMA's predictive accuracy by comparing the model's predicted risk measures (ES/VaR) against actual observed P&amp;L over a rolling 260-day window. Under MAR99, if the model consistently underestimates losses (produces too many exceptions), the regulator requires model revision or imposes a capital multiplier add-on.</w:t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sz w:val="22"/>
          <w:szCs w:val="22"/>
        </w:rPr>
        <w:t xml:space="preserve">8.9.2 Basel Context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MAR99 defines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traffic-light system</w:t>
      </w:r>
      <w:r>
        <w:rPr>
          <w:rFonts w:ascii="Arial" w:cs="Arial" w:eastAsia="Arial" w:hAnsi="Arial"/>
          <w:sz w:val="22"/>
          <w:szCs w:val="22"/>
        </w:rPr>
        <w:t xml:space="preserve"> for IMA backtesting: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Green Zone</w:t>
      </w:r>
      <w:r>
        <w:rPr>
          <w:rFonts w:ascii="Arial" w:cs="Arial" w:eastAsia="Arial" w:hAnsi="Arial"/>
          <w:sz w:val="22"/>
          <w:szCs w:val="22"/>
        </w:rPr>
        <w:t xml:space="preserve"> (0–4 exceptions in 250 days): Model acceptable; no additional capital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Amber Zone</w:t>
      </w:r>
      <w:r>
        <w:rPr>
          <w:rFonts w:ascii="Arial" w:cs="Arial" w:eastAsia="Arial" w:hAnsi="Arial"/>
          <w:sz w:val="22"/>
          <w:szCs w:val="22"/>
        </w:rPr>
        <w:t xml:space="preserve"> (5–9 exceptions): Enhanced monitoring; potential multiplier (plus add-on factor)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Red Zone</w:t>
      </w:r>
      <w:r>
        <w:rPr>
          <w:rFonts w:ascii="Arial" w:cs="Arial" w:eastAsia="Arial" w:hAnsi="Arial"/>
          <w:sz w:val="22"/>
          <w:szCs w:val="22"/>
        </w:rPr>
        <w:t xml:space="preserve"> (10+ exceptions): Model revision required; significant capital add-on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An "exception" occurs when the actual daily P&amp;L loss exceeds the model's predicted 1-day VaR at 99% confidence.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PLA Test (MAR32)</w:t>
      </w:r>
      <w:r>
        <w:rPr>
          <w:rFonts w:ascii="Arial" w:cs="Arial" w:eastAsia="Arial" w:hAnsi="Arial"/>
          <w:sz w:val="22"/>
          <w:szCs w:val="22"/>
        </w:rPr>
        <w:t xml:space="preserve"> compares Hypothetical P&amp;L (HPL, sensitivity-based) against Actual P&amp;L (APL, full revaluation) using Spearman rank correlation (ρ ≥ 0.50) and the Kolmogorov-Smirnov test (p-value ≥ 0.05). Desks failing PLA must use SBM.</w:t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sz w:val="22"/>
          <w:szCs w:val="22"/>
        </w:rPr>
        <w:t xml:space="preserve">8.9.3 Functional Objective</w:t>
      </w:r>
    </w:p>
    <w:p>
      <w:pPr>
        <w:spacing w:after="60" w:before="60"/>
      </w:pPr>
      <w:r>
        <w:t xml:space="preserve"/>
      </w:r>
    </w:p>
    <w:p>
      <w:pPr>
        <w:pBdr>
          <w:left w:val="single" w:color="2E75B6" w:sz="6" w:space="4"/>
        </w:pBdr>
        <w:shd w:fill="F2F2F2" w:val="clear"/>
        <w:spacing w:after="80" w:before="80" w:line="24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For each trading day d in [t-260, t]:
  exception(d) = 1 if |actual_pnl(d)| &gt; VaR_model(d) else 0
n_exceptions = Σ exception(d)
if   n_exceptions ≤ 4: zone = "GREEN"
elif n_exceptions ≤ 9: zone = "AMBER"
else:                  zone = "RED"
PLA Spearman:  ρ = spearmanr(HPL, APL)
PLA KS:        p_value = ks_2samp(HPL, APL).pvalue
pla_zone = "GREEN" if ρ ≥ 0.50 and p_value ≥ 0.05 else "AMBER/RED"</w:t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sz w:val="22"/>
          <w:szCs w:val="22"/>
        </w:rPr>
        <w:t xml:space="preserve">8.9.4 Key Success Criteria</w:t>
      </w:r>
    </w:p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Exception count correctly identifies the traffic-light zone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Breach at Amber or Red triggers a WARNING log with alert details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Spearman ρ and KS p-value computed and returned in 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FRTBResult.pla_zone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Backtesting results surfaced on the Streamlit Backtesting page with historical exception timeline</w:t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sz w:val="22"/>
          <w:szCs w:val="22"/>
        </w:rPr>
        <w:t xml:space="preserve">FR-010: Interactive Dashboard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Priority:</w:t>
      </w:r>
      <w:r>
        <w:rPr>
          <w:rFonts w:ascii="Arial" w:cs="Arial" w:eastAsia="Arial" w:hAnsi="Arial"/>
          <w:sz w:val="22"/>
          <w:szCs w:val="22"/>
        </w:rPr>
        <w:t xml:space="preserve"> MEDIUM  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Owner:</w:t>
      </w:r>
      <w:r>
        <w:rPr>
          <w:rFonts w:ascii="Arial" w:cs="Arial" w:eastAsia="Arial" w:hAnsi="Arial"/>
          <w:sz w:val="22"/>
          <w:szCs w:val="22"/>
        </w:rPr>
        <w:t xml:space="preserve"> Risk Control / IT  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File:</w:t>
      </w:r>
      <w:r>
        <w:rPr>
          <w:rFonts w:ascii="Arial" w:cs="Arial" w:eastAsia="Arial" w:hAnsi="Arial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dashboard/app.py</w:t>
      </w:r>
      <w:r>
        <w:rPr>
          <w:rFonts w:ascii="Arial" w:cs="Arial" w:eastAsia="Arial" w:hAnsi="Arial"/>
          <w:sz w:val="22"/>
          <w:szCs w:val="22"/>
        </w:rPr>
        <w:t xml:space="preserve"> (844 lines)</w:t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sz w:val="22"/>
          <w:szCs w:val="22"/>
        </w:rPr>
        <w:t xml:space="preserve">8.10.1 Use Case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Streamlit dashboard provides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zero-code interface</w:t>
      </w:r>
      <w:r>
        <w:rPr>
          <w:rFonts w:ascii="Arial" w:cs="Arial" w:eastAsia="Arial" w:hAnsi="Arial"/>
          <w:sz w:val="22"/>
          <w:szCs w:val="22"/>
        </w:rPr>
        <w:t xml:space="preserve"> for risk officers, treasury managers, and regulators to view capital results, explore exposure breakdowns, analyse backtesting performance, run stress scenarios, and export regulatory reports — all in a browser.</w:t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sz w:val="22"/>
          <w:szCs w:val="22"/>
        </w:rPr>
        <w:t xml:space="preserve">8.10.2 Dashboard Pages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sz w:val="22"/>
          <w:szCs w:val="22"/>
        </w:rPr>
        <w:t xml:space="preserve">8.10.3 Key Success Criteria</w:t>
      </w:r>
    </w:p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All 8 pages render without error in Streamlit 1.28+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Excel and CSV exports contain complete, correctly formatted data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Dashboard refresh &lt; 3 seconds on M1 MacBook Air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Data persists correctly across browser refresh via PostgreSQL backend</w:t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sz w:val="22"/>
          <w:szCs w:val="22"/>
        </w:rPr>
        <w:t xml:space="preserve">FR-011: Audit Trail and Compliance Reporting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Priority:</w:t>
      </w:r>
      <w:r>
        <w:rPr>
          <w:rFonts w:ascii="Arial" w:cs="Arial" w:eastAsia="Arial" w:hAnsi="Arial"/>
          <w:sz w:val="22"/>
          <w:szCs w:val="22"/>
        </w:rPr>
        <w:t xml:space="preserve"> CRITICAL  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Owner:</w:t>
      </w:r>
      <w:r>
        <w:rPr>
          <w:rFonts w:ascii="Arial" w:cs="Arial" w:eastAsia="Arial" w:hAnsi="Arial"/>
          <w:sz w:val="22"/>
          <w:szCs w:val="22"/>
        </w:rPr>
        <w:t xml:space="preserve"> Compliance / Regulatory Affairs  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Files:</w:t>
      </w:r>
      <w:r>
        <w:rPr>
          <w:rFonts w:ascii="Arial" w:cs="Arial" w:eastAsia="Arial" w:hAnsi="Arial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backend/data_sources/persistence.py</w:t>
      </w:r>
      <w:r>
        <w:rPr>
          <w:rFonts w:ascii="Arial" w:cs="Arial" w:eastAsia="Arial" w:hAnsi="Arial"/>
          <w:sz w:val="22"/>
          <w:szCs w:val="22"/>
        </w:rPr>
        <w:t xml:space="preserve">, PostgreSQL 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audit</w:t>
      </w:r>
      <w:r>
        <w:rPr>
          <w:rFonts w:ascii="Arial" w:cs="Arial" w:eastAsia="Arial" w:hAnsi="Arial"/>
          <w:sz w:val="22"/>
          <w:szCs w:val="22"/>
        </w:rPr>
        <w:t xml:space="preserve"> schema</w:t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sz w:val="22"/>
          <w:szCs w:val="22"/>
        </w:rPr>
        <w:t xml:space="preserve">8.11.1 Use Case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Regulators (central banks, prudential supervisors) and external auditors require complete, immutable records of all capital calculations, methodology choices, and override events. Without a rigorous audit trail, the institution cannot defend its capital ratios under supervisory examination, and may face model approval revocation.</w:t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sz w:val="22"/>
          <w:szCs w:val="22"/>
        </w:rPr>
        <w:t xml:space="preserve">8.11.2 Functional Objective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Every calculation event is logged to the PostgreSQL 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audit</w:t>
      </w:r>
      <w:r>
        <w:rPr>
          <w:rFonts w:ascii="Arial" w:cs="Arial" w:eastAsia="Arial" w:hAnsi="Arial"/>
          <w:sz w:val="22"/>
          <w:szCs w:val="22"/>
        </w:rPr>
        <w:t xml:space="preserve"> schema with: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audit.run_logs</w:t>
      </w:r>
      <w:r>
        <w:rPr>
          <w:rFonts w:ascii="Arial" w:cs="Arial" w:eastAsia="Arial" w:hAnsi="Arial"/>
          <w:sz w:val="22"/>
          <w:szCs w:val="22"/>
        </w:rPr>
        <w:t xml:space="preserve">: Run date, start/end time, duration, status, engine versions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audit.calculation_traces</w:t>
      </w:r>
      <w:r>
        <w:rPr>
          <w:rFonts w:ascii="Arial" w:cs="Arial" w:eastAsia="Arial" w:hAnsi="Arial"/>
          <w:sz w:val="22"/>
          <w:szCs w:val="22"/>
        </w:rPr>
        <w:t xml:space="preserve">: Trade-level trace of formula, inputs, and output for each engine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audit.breach_alerts</w:t>
      </w:r>
      <w:r>
        <w:rPr>
          <w:rFonts w:ascii="Arial" w:cs="Arial" w:eastAsia="Arial" w:hAnsi="Arial"/>
          <w:sz w:val="22"/>
          <w:szCs w:val="22"/>
        </w:rPr>
        <w:t xml:space="preserve">: Timestamps and values for all risk limit breaches and regulatory floor applications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audit.user_actions</w:t>
      </w:r>
      <w:r>
        <w:rPr>
          <w:rFonts w:ascii="Arial" w:cs="Arial" w:eastAsia="Arial" w:hAnsi="Arial"/>
          <w:sz w:val="22"/>
          <w:szCs w:val="22"/>
        </w:rPr>
        <w:t xml:space="preserve">: User identity, action type (run trigger, config change, export), and timestamp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Fallback trace codes follow the format: 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FALLBACK|&lt;trade_id&gt;|&lt;reason_code&gt;|&lt;description&gt;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Example traces: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FALLBACK|TRD-001|REGULATORY_FLOOR|IMM EAD below 50% SA-CCR floor — CRE53.5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FALLBACK|CVA|SA-CVA_NOT_APPROVED|Using BA-CVA per MAR50.12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FALLBACK|TRD-007|EXOTIC_PAYOFF|Exotic payoff structure — IMM not approved for this type</w:t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sz w:val="22"/>
          <w:szCs w:val="22"/>
        </w:rPr>
        <w:t xml:space="preserve">8.11.3 Key Success Criteria</w:t>
      </w:r>
    </w:p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Zero calculations executed without a corresponding INFO-level log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All floor applications and fallback events logged at WARNING level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Audit schema tables are append-only (no updates or deletes in production)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Export templates satisfy Basel Pillar 3 Table 4 (Credit Risk) and Table 12 (Market Risk) disclosure formats</w:t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sz w:val="22"/>
          <w:szCs w:val="22"/>
        </w:rPr>
        <w:t xml:space="preserve">9. BUSINESS AND FUNCTIONAL WORKFLOW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sz w:val="22"/>
          <w:szCs w:val="22"/>
        </w:rPr>
        <w:t xml:space="preserve">9.1 Business Workflow — Daily Capital Cycle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daily capital calculation cycle follows a standardised risk operations workflow aligned with industry practice for regulated institutions:</w:t>
      </w:r>
    </w:p>
    <w:p>
      <w:pPr>
        <w:spacing w:after="60" w:before="60"/>
      </w:pPr>
      <w:r>
        <w:t xml:space="preserve"/>
      </w:r>
    </w:p>
    <w:p>
      <w:pPr>
        <w:pBdr>
          <w:left w:val="single" w:color="2E75B6" w:sz="6" w:space="4"/>
        </w:pBdr>
        <w:shd w:fill="F2F2F2" w:val="clear"/>
        <w:spacing w:after="80" w:before="80" w:line="24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
│                     PROMETHEUS DAILY CAPITAL CYCLE                      │
└─────────────────────────────────────────────────────────────────────────┘
 T-1 Day                T Day (06:00–08:00)          T Day (08:00+)
 ──────────────────────────────────────────────────────────────────────────
 ┌──────────────┐       ┌──────────────────────┐     ┌──────────────────┐
 │ Trade Booking│──────►│ Market Data Refresh   │────►│ CRO Dashboard    │
 │ (OMS/TMS)    │       │ (Bloomberg / FRED)    │     │ Review           │
 └──────────────┘       └──────────┬───────────┘     └──────────────────┘
                                   │
 ┌──────────────┐                  ▼
 │ Collateral   │       ┌──────────────────────┐     ┌──────────────────┐
 │ Management   │──────►│ Portfolio Load        │────►│ Risk Limit       │
 │ (CSA Terms)  │       │ (portfolio_generator) │     │ Monitoring       │
 └──────────────┘       └──────────┬───────────┘     └──────────────────┘
                                   │
 ┌──────────────┐                  ▼
 │ Credit       │       ┌──────────────────────┐     ┌──────────────────┐
 │ Systems      │──────►│ PROMETHEUS Risk Run   │────►│ Regulatory       │
 │ (PD/LGD/EAD) │       │ (PrometheusRunner)    │     │ Reporting        │
 └──────────────┘       └──────────┬───────────┘     │ (Pillar 1/3)     │
                                   │                  └──────────────────┘
                                   ▼
                        ┌──────────────────────┐     ┌──────────────────┐
                        │ Results Persistence   │────►│ Audit Archive    │
                        │ (PostgreSQL)          │     │ (audit schema)   │
                        └──────────────────────┘     └──────────────────┘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Step-by-step business process:</w:t>
      </w:r>
    </w:p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Trade capture (T-1):</w:t>
      </w:r>
      <w:r>
        <w:rPr>
          <w:rFonts w:ascii="Arial" w:cs="Arial" w:eastAsia="Arial" w:hAnsi="Arial"/>
          <w:sz w:val="22"/>
          <w:szCs w:val="22"/>
        </w:rPr>
        <w:t xml:space="preserve"> All trades booked in front-office systems by end-of-day cutoff are available in the risk database.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Collateral reconciliation (T-1 to T):</w:t>
      </w:r>
      <w:r>
        <w:rPr>
          <w:rFonts w:ascii="Arial" w:cs="Arial" w:eastAsia="Arial" w:hAnsi="Arial"/>
          <w:sz w:val="22"/>
          <w:szCs w:val="22"/>
        </w:rPr>
        <w:t xml:space="preserve"> CSA terms, initial margin, and variation margin are reconciled with counterparties and loaded into netting set definitions.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Market data refresh (T 06:00):</w:t>
      </w:r>
      <w:r>
        <w:rPr>
          <w:rFonts w:ascii="Arial" w:cs="Arial" w:eastAsia="Arial" w:hAnsi="Arial"/>
          <w:sz w:val="22"/>
          <w:szCs w:val="22"/>
        </w:rPr>
        <w:t xml:space="preserve"> Bloomberg / Refinitiv / FRED API calls populate yield curves, CDS spreads, volatility surfaces, and macro indicators for the calculation date.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Portfolio load (T 06:30):</w:t>
      </w:r>
      <w:r>
        <w:rPr>
          <w:rFonts w:ascii="Arial" w:cs="Arial" w:eastAsia="Arial" w:hAnsi="Arial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portfolio_generator.build_full_dataset()</w:t>
      </w:r>
      <w:r>
        <w:rPr>
          <w:rFonts w:ascii="Arial" w:cs="Arial" w:eastAsia="Arial" w:hAnsi="Arial"/>
          <w:sz w:val="22"/>
          <w:szCs w:val="22"/>
        </w:rPr>
        <w:t xml:space="preserve"> constructs the complete dataset of derivative and banking book portfolios.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Risk run trigger (T 06:45):</w:t>
      </w:r>
      <w:r>
        <w:rPr>
          <w:rFonts w:ascii="Arial" w:cs="Arial" w:eastAsia="Arial" w:hAnsi="Arial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PrometheusRunner.run_daily()</w:t>
      </w:r>
      <w:r>
        <w:rPr>
          <w:rFonts w:ascii="Arial" w:cs="Arial" w:eastAsia="Arial" w:hAnsi="Arial"/>
          <w:sz w:val="22"/>
          <w:szCs w:val="22"/>
        </w:rPr>
        <w:t xml:space="preserve"> is invoked (manually via 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run_engine.sh</w:t>
      </w:r>
      <w:r>
        <w:rPr>
          <w:rFonts w:ascii="Arial" w:cs="Arial" w:eastAsia="Arial" w:hAnsi="Arial"/>
          <w:sz w:val="22"/>
          <w:szCs w:val="22"/>
        </w:rPr>
        <w:t xml:space="preserve"> or automated via scheduler).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Calculation execution (~2 minutes):</w:t>
      </w:r>
      <w:r>
        <w:rPr>
          <w:rFonts w:ascii="Arial" w:cs="Arial" w:eastAsia="Arial" w:hAnsi="Arial"/>
          <w:sz w:val="22"/>
          <w:szCs w:val="22"/>
        </w:rPr>
        <w:t xml:space="preserve"> All six engines execute sequentially; SA-CCR → IMM → A-IRB → FRTB → CVA → CCP → Five-part formula → Output floor.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Results persistence (T 07:00):</w:t>
      </w:r>
      <w:r>
        <w:rPr>
          <w:rFonts w:ascii="Arial" w:cs="Arial" w:eastAsia="Arial" w:hAnsi="Arial"/>
          <w:sz w:val="22"/>
          <w:szCs w:val="22"/>
        </w:rPr>
        <w:t xml:space="preserve"> Complete results JSON and trade-level traces persisted to PostgreSQL.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Dashboard available (T 07:00):</w:t>
      </w:r>
      <w:r>
        <w:rPr>
          <w:rFonts w:ascii="Arial" w:cs="Arial" w:eastAsia="Arial" w:hAnsi="Arial"/>
          <w:sz w:val="22"/>
          <w:szCs w:val="22"/>
        </w:rPr>
        <w:t xml:space="preserve"> Risk officers can access the live Streamlit dashboard.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Limit monitoring (T 07:00–08:00):</w:t>
      </w:r>
      <w:r>
        <w:rPr>
          <w:rFonts w:ascii="Arial" w:cs="Arial" w:eastAsia="Arial" w:hAnsi="Arial"/>
          <w:sz w:val="22"/>
          <w:szCs w:val="22"/>
        </w:rPr>
        <w:t xml:space="preserve"> Breach alerts are reviewed; any Red Zone backtesting exception triggers Model Validation escalation.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Regulatory reporting (as required):</w:t>
      </w:r>
      <w:r>
        <w:rPr>
          <w:rFonts w:ascii="Arial" w:cs="Arial" w:eastAsia="Arial" w:hAnsi="Arial"/>
          <w:sz w:val="22"/>
          <w:szCs w:val="22"/>
        </w:rPr>
        <w:t xml:space="preserve"> Monthly/quarterly COREP exports generated from the dashboard Reports page.</w:t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sz w:val="22"/>
          <w:szCs w:val="22"/>
        </w:rPr>
        <w:t xml:space="preserve">9.2 Functional Workflow — Engine Execution Flow</w:t>
      </w:r>
    </w:p>
    <w:p>
      <w:pPr>
        <w:spacing w:after="60" w:before="60"/>
      </w:pPr>
      <w:r>
        <w:t xml:space="preserve"/>
      </w:r>
    </w:p>
    <w:p>
      <w:pPr>
        <w:pBdr>
          <w:left w:val="single" w:color="2E75B6" w:sz="6" w:space="4"/>
        </w:pBdr>
        <w:shd w:fill="F2F2F2" w:val="clear"/>
        <w:spacing w:after="80" w:before="80" w:line="24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PrometheusRunner.run_daily(run_date)
│
├── build_full_dataset(book_date)
│   ├── portfolio_generator: synthetic derivative portfolios
│   └── portfolio_generator: synthetic banking book portfolios
│
├── FOR EACH derivative portfolio:
│   ├── SACCREngine.compute_ead(netting_set, run_date)
│   │   ├── replacement_cost()
│   │   ├── pfe_multiplier()
│   │   ├── addon_ir(), addon_fx(), addon_credit(), addon_equity(), addon_commodity()
│   │   └── EAD = α × (RC + mult × AddOn_agg)
│   │
│   ├── IMMEngine.run_for_portfolio(trades, run_date, netting_set)  [if IMM eligible]
│   │   ├── generate_paths(GBM / Hull-White)
│   │   ├── revalue_portfolio()
│   │   ├── apply_csa_adjustment()
│   │   ├── compute_eepe()
│   │   └── EAD_IMM = α × EEPE
│   │
│   ├── IMM FLOOR CHECK: if EAD_IMM_CSA &lt; 0.5 × EAD_SA-CCR → FALLBACK
│   │
│   └── FRTBEngine.compute(portfolio_id, sensitivities, pnl_series, ...)
│       ├── SBMCalculator.total_sbm()
│       │   ├── delta_charge() [per risk class, 3 correlation scenarios]
│       │   ├── vega_charge()
│       │   └── curvature_charge()
│       ├── IMACalculator.compute_es()
│       ├── DRCCalculator.compute_drc()
│       ├── rrao_charge()
│       └── Capital = SBM + IMA + DRC + RRAO; RWA = Capital × 12.5
│
├── FOR EACH banking book portfolio:
│   └── AIRBEngine.compute_portfolio(exposures)
│       ├── FOR EACH exposure:
│       │   ├── apply PD/LGD floors
│       │   ├── correlation_r()
│       │   ├── maturity_adjustment()
│       │   ├── capital_k()
│       │   ├── double_default_k() [if has_cds]
│       │   └── RWA = K × 12.5 × EAD
│       └── portfolio_summary (total_rwa, total_el, el_shortfall, mitigant_benefit)
│
├── CVAEngine.compute(counterparty_inputs)
│   ├── ba_cva() [always available]
│   └── sa_cva() [if approved; else fallback to BA-CVA]
│
├── compute_ccp_rwa(ccp_exposures)
│   ├── QCCP trade EAD × 2%
│   └── DFC capital × 12.5
│
├── FIVE-PART FORMULA:
│   Total_RWA = Credit + CCR + Market + CVA + CCP + OpRisk
│
├── OUTPUT FLOOR:
│   SA_base = Credit_SA + CCR_SA + Market_SA + CCP_SA
│   Final_RWA = max(Total_RWA, 0.725 × SA_base)
│   Capital = Final_RWA × 8%
│
└── persist_run(results) → PostgreSQL</w:t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sz w:val="22"/>
          <w:szCs w:val="22"/>
        </w:rPr>
        <w:t xml:space="preserve">10. SYSTEM ARCHITECTURE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sz w:val="22"/>
          <w:szCs w:val="22"/>
        </w:rPr>
        <w:t xml:space="preserve">10.1 Layered Architecture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PROMETHEUS follows a strict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five-layer architecture</w:t>
      </w:r>
      <w:r>
        <w:rPr>
          <w:rFonts w:ascii="Arial" w:cs="Arial" w:eastAsia="Arial" w:hAnsi="Arial"/>
          <w:sz w:val="22"/>
          <w:szCs w:val="22"/>
        </w:rPr>
        <w:t xml:space="preserve"> separating presentation, application orchestration, business logic, data access, and persistence:</w:t>
      </w:r>
    </w:p>
    <w:p>
      <w:pPr>
        <w:spacing w:after="60" w:before="60"/>
      </w:pPr>
      <w:r>
        <w:t xml:space="preserve"/>
      </w:r>
    </w:p>
    <w:p>
      <w:pPr>
        <w:pBdr>
          <w:left w:val="single" w:color="2E75B6" w:sz="6" w:space="4"/>
        </w:pBdr>
        <w:shd w:fill="F2F2F2" w:val="clear"/>
        <w:spacing w:after="80" w:before="80" w:line="24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
│                         PROMETHEUS PLATFORM                              │
│                     Institutional Risk Management                         │
└─────────────────────────────────────────────────────────────────────────┘
                                   │
       ┌───────────────────────────┼───────────────────────────┐
       │                           │                           │
  ┌────▼────────────────────────────────────────────────────────────────┐
  │ LAYER 1: PRESENTATION                                               │
  │  Streamlit Dashboard (dashboard/app.py) — Port 8501                │
  │  ┌──────────┐ ┌──────────┐ ┌────────────┐ ┌───────────────────┐   │
  │  │ Overview │ │Deriv Risk│ │Banking Book│ │Backtesting / PLA  │   │
  │  └──────────┘ └──────────┘ └────────────┘ └───────────────────┘   │
  │  ┌──────────┐ ┌──────────┐ ┌────────────┐ ┌───────────────────┐   │
  │  │Cap.Plan  │ │ Reports  │ │  Settings  │ │  Documentation    │   │
  │  └──────────┘ └──────────┘ └────────────┘ └───────────────────┘   │
  └────────────────────────────────────────────────────────────────────┘
                                   │
  ┌────────────────────────────────────────────────────────────────────┐
  │ LAYER 2: APPLICATION                                                │
  │  PrometheusRunner (backend/main.py)                                │
  │  • Daily risk run orchestration          • Five-part RWA formula   │
  │  • Output floor logic (RBC20.11)         • Calibration integration │
  │  • IMM floor enforcement (CRE53.5)       • Results aggregation     │
  └────────────────────────────────────────────────────────────────────┘
                                   │
  ┌────────────────────────────────────────────────────────────────────┐
  │ LAYER 3: BUSINESS LOGIC (backend/engines/)                         │
  │                                                                    │
  │ ┌────────────────┐  ┌────────────────┐  ┌────────────────────┐   │
  │ │ SA-CCR Engine  │  │   IMM Engine   │  │   A-IRB Engine     │   │
  │ │ CRE52          │  │   CRE53        │  │   CRE30–36         │   │
  │ │ sa_ccr.py      │  │   imm.py       │  │   a_irb.py         │   │
  │ └────────────────┘  └────────────────┘  └────────────────────┘   │
  │                                                                    │
  │ ┌────────────────┐  ┌────────────────┐  ┌────────────────────┐   │
  │ │  FRTB Engine   │  │   CVA Engine   │  │   CCP Engine       │   │
  │ │  MAR20–33      │  │   MAR50        │  │   CRE54            │   │
  │ │  frtb.py       │  │   cva.py       │  │   ccp.py           │   │
  │ │ ┌───────────┐  │  │ ┌──────────┐  │  └────────────────────┘   │
  │ │ │SBMCalc    │  │  │ │BA-CVA/   │  │                            │
  │ │ │IMACalc    │  │  │ │SA-CVA    │  │                            │
  │ │ │DRCCalc    │  │  │ └──────────┘  │                            │
  │ │ │Backtest   │  │  └────────────────┘                           │
  │ │ └───────────┘  │                                               │
  │ └────────────────┘                                               │
  └────────────────────────────────────────────────────────────────────┘
                                   │
  ┌────────────────────────────────────────────────────────────────────┐
  │ LAYER 4: DATA ACCESS (backend/data_sources/ + data_generators/)    │
  │                                                                    │
  │ ┌─────────────────────────────────────────────────────────────┐   │
  │ │             Market Data Provider (Abstract)                  │   │
  │ │  BloombergProvider │ RefinitivProvider │ StaticTestProvider   │   │
  │ └─────────────────────────────────────────────────────────────┘   │
  │ ┌─────────────────────────────────────────────────────────────┐   │
  │ │ CDSSpreadService │ CVAMarketDataFeed │ CalibrationModule      │   │
  │ └─────────────────────────────────────────────────────────────┘   │
  │ ┌─────────────────────────────────────────────────────────────┐   │
  │ │ PortfolioGenerator │ CVAGenerator │ Persistence Module        │   │
  │ └─────────────────────────────────────────────────────────────┘   │
  └────────────────────────────────────────────────────────────────────┘
                                   │
  ┌────────────────────────────────────────────────────────────────────┐
  │ LAYER 5: PERSISTENCE                                               │
  │  PostgreSQL 15 (Docker — localhost:5432)                           │
  │  ┌──────────────┐ ┌────────────────┐ ┌──────────┐ ┌──────────┐   │
  │  │ risk schema  │ │market_data     │ │reference │ │audit     │   │
  │  │ (5 tables)   │ │ (5 tables)     │ │(3 tables)│ │(4 tables)│   │
  │  └──────────────┘ └────────────────┘ └──────────┘ └──────────┘   │
  └────────────────────────────────────────────────────────────────────┘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sz w:val="22"/>
          <w:szCs w:val="22"/>
        </w:rPr>
        <w:t xml:space="preserve">10.2 External Interface Architecture</w:t>
      </w:r>
    </w:p>
    <w:p>
      <w:pPr>
        <w:spacing w:after="60" w:before="60"/>
      </w:pPr>
      <w:r>
        <w:t xml:space="preserve"/>
      </w:r>
    </w:p>
    <w:p>
      <w:pPr>
        <w:pBdr>
          <w:left w:val="single" w:color="2E75B6" w:sz="6" w:space="4"/>
        </w:pBdr>
        <w:shd w:fill="F2F2F2" w:val="clear"/>
        <w:spacing w:after="80" w:before="80" w:line="24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External Feeds                   PROMETHEUS                   Consumers
─────────────────────────────────────────────────────────────────────────
Bloomberg Terminal       ──►  MarketDataProvider  ──►  FRTB RW Adjustment
Refinitiv / LSEG Eikon  ──►  CDSSpreadService    ──►  A-IRB PD Calibration
FRED Public API         ──►  CVAMarketDataFeed   ──►  CVA Discounting
Internal REST API       ──►  InternalFeedProvider ──►  All Engines
PostgreSQL (docker)     ◄──  Persistence Module  ◄──  PrometheusRunner
                         ──►  Dashboard (app.py) ──►  Streamlit Browser
                         ──►  Audit Export       ──►  Regulators / Auditors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sz w:val="22"/>
          <w:szCs w:val="22"/>
        </w:rPr>
        <w:t xml:space="preserve">10.3 Non-Functional Architecture Constraints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  <w:r>
              <w:rPr>
                <w:b w:val="false"/>
                <w:bCs w:val="false"/>
                <w:color w:val="000000"/>
              </w:rPr>
            </w:r>
            <w:r>
              <w:rPr>
                <w:b w:val="false"/>
                <w:bCs w:val="false"/>
                <w:color w:val="000000"/>
              </w:rPr>
            </w:r>
            <w:r>
              <w:rPr>
                <w:b w:val="false"/>
                <w:bCs w:val="false"/>
                <w:color w:val="000000"/>
              </w:rPr>
            </w:r>
            <w:r>
              <w:rPr>
                <w:b w:val="false"/>
                <w:bCs w:val="false"/>
                <w:color w:val="000000"/>
              </w:rPr>
            </w:r>
            <w:r>
              <w:rPr>
                <w:b w:val="false"/>
                <w:bCs w:val="false"/>
                <w:color w:val="000000"/>
              </w:rPr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sz w:val="22"/>
          <w:szCs w:val="22"/>
        </w:rPr>
        <w:t xml:space="preserve">11. TECHNICAL DESIGN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sz w:val="22"/>
          <w:szCs w:val="22"/>
        </w:rPr>
        <w:t xml:space="preserve">11.1 Technology Stack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  <w:r>
              <w:rPr>
                <w:b w:val="false"/>
                <w:bCs w:val="false"/>
                <w:color w:val="000000"/>
              </w:rPr>
            </w:r>
            <w:r>
              <w:rPr>
                <w:b w:val="false"/>
                <w:bCs w:val="false"/>
                <w:color w:val="000000"/>
              </w:rPr>
            </w:r>
            <w:r>
              <w:rPr>
                <w:b w:val="false"/>
                <w:bCs w:val="false"/>
                <w:color w:val="000000"/>
              </w:rPr>
            </w:r>
            <w:r>
              <w:rPr>
                <w:b w:val="false"/>
                <w:bCs w:val="false"/>
                <w:color w:val="000000"/>
              </w:rPr>
            </w: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  <w:r>
              <w:rPr>
                <w:b w:val="false"/>
                <w:bCs w:val="false"/>
                <w:color w:val="000000"/>
              </w:rPr>
            </w:r>
            <w:r>
              <w:rPr>
                <w:b w:val="false"/>
                <w:bCs w:val="false"/>
                <w:color w:val="000000"/>
              </w:rPr>
            </w: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  <w:r>
              <w:rPr>
                <w:b w:val="false"/>
                <w:bCs w:val="false"/>
                <w:color w:val="000000"/>
              </w:rPr>
            </w: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sz w:val="22"/>
          <w:szCs w:val="22"/>
        </w:rPr>
        <w:t xml:space="preserve">11.2 Core Engine Design Patterns</w:t>
      </w:r>
    </w:p>
    <w:p>
      <w:pPr>
        <w:spacing w:after="60" w:before="6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sz w:val="22"/>
          <w:szCs w:val="22"/>
        </w:rPr>
        <w:t xml:space="preserve">11.2.1 Dataclass-Driven Data Model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All inputs and outputs are strongly-typed Python 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dataclass</w:t>
      </w:r>
      <w:r>
        <w:rPr>
          <w:rFonts w:ascii="Arial" w:cs="Arial" w:eastAsia="Arial" w:hAnsi="Arial"/>
          <w:sz w:val="22"/>
          <w:szCs w:val="22"/>
        </w:rPr>
        <w:t xml:space="preserve"> objects, enforcing type safety and enabling auto-serialisation: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Trade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NettingSet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SAcCRResult</w:t>
      </w:r>
      <w:r>
        <w:rPr>
          <w:rFonts w:ascii="Arial" w:cs="Arial" w:eastAsia="Arial" w:hAnsi="Arial"/>
          <w:sz w:val="22"/>
          <w:szCs w:val="22"/>
        </w:rPr>
        <w:t xml:space="preserve"> — SA-CCR engine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BankingBookExposure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AIRBTradeResult</w:t>
      </w:r>
      <w:r>
        <w:rPr>
          <w:rFonts w:ascii="Arial" w:cs="Arial" w:eastAsia="Arial" w:hAnsi="Arial"/>
          <w:sz w:val="22"/>
          <w:szCs w:val="22"/>
        </w:rPr>
        <w:t xml:space="preserve"> — A-IRB engine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Sensitivity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FRTBResult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ShockScenario</w:t>
      </w:r>
      <w:r>
        <w:rPr>
          <w:rFonts w:ascii="Arial" w:cs="Arial" w:eastAsia="Arial" w:hAnsi="Arial"/>
          <w:sz w:val="22"/>
          <w:szCs w:val="22"/>
        </w:rPr>
        <w:t xml:space="preserve"> — FRTB engine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CCPExposure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CCPResult</w:t>
      </w:r>
      <w:r>
        <w:rPr>
          <w:rFonts w:ascii="Arial" w:cs="Arial" w:eastAsia="Arial" w:hAnsi="Arial"/>
          <w:sz w:val="22"/>
          <w:szCs w:val="22"/>
        </w:rPr>
        <w:t xml:space="preserve"> — CCP engine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ExposureProfile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CSATerms</w:t>
      </w:r>
      <w:r>
        <w:rPr>
          <w:rFonts w:ascii="Arial" w:cs="Arial" w:eastAsia="Arial" w:hAnsi="Arial"/>
          <w:sz w:val="22"/>
          <w:szCs w:val="22"/>
        </w:rPr>
        <w:t xml:space="preserve"> — IMM engine</w:t>
      </w:r>
    </w:p>
    <w:p>
      <w:pPr>
        <w:spacing w:after="60" w:before="6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sz w:val="22"/>
          <w:szCs w:val="22"/>
        </w:rPr>
        <w:t xml:space="preserve">11.2.2 Abstract Market Data Interface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MarketDataProvider</w:t>
      </w:r>
      <w:r>
        <w:rPr>
          <w:rFonts w:ascii="Arial" w:cs="Arial" w:eastAsia="Arial" w:hAnsi="Arial"/>
          <w:sz w:val="22"/>
          <w:szCs w:val="22"/>
        </w:rPr>
        <w:t xml:space="preserve"> (ABC) defines the contract; concrete implementations inject via dependency inversion. 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CDSSpreadService</w:t>
      </w:r>
      <w:r>
        <w:rPr>
          <w:rFonts w:ascii="Arial" w:cs="Arial" w:eastAsia="Arial" w:hAnsi="Arial"/>
          <w:sz w:val="22"/>
          <w:szCs w:val="22"/>
        </w:rPr>
        <w:t xml:space="preserve"> composes providers with fallback and caching, following the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Strategy Pattern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60" w:before="6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sz w:val="22"/>
          <w:szCs w:val="22"/>
        </w:rPr>
        <w:t xml:space="preserve">11.2.3 Pluggable Correlation Model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CorrelationModel</w:t>
      </w:r>
      <w:r>
        <w:rPr>
          <w:rFonts w:ascii="Arial" w:cs="Arial" w:eastAsia="Arial" w:hAnsi="Arial"/>
          <w:sz w:val="22"/>
          <w:szCs w:val="22"/>
        </w:rPr>
        <w:t xml:space="preserve"> is injectable into 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FRTBConfig</w:t>
      </w:r>
      <w:r>
        <w:rPr>
          <w:rFonts w:ascii="Arial" w:cs="Arial" w:eastAsia="Arial" w:hAnsi="Arial"/>
          <w:sz w:val="22"/>
          <w:szCs w:val="22"/>
        </w:rPr>
        <w:t xml:space="preserve">, enabling alternative correlation structures (e.g., empirical GIRR tenor correlations) without modifying engine code.</w:t>
      </w:r>
    </w:p>
    <w:p>
      <w:pPr>
        <w:spacing w:after="60" w:before="6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sz w:val="22"/>
          <w:szCs w:val="22"/>
        </w:rPr>
        <w:t xml:space="preserve">11.2.4 Real-Time Market Condition Adjustment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DynamicParameterAdjustment</w:t>
      </w:r>
      <w:r>
        <w:rPr>
          <w:rFonts w:ascii="Arial" w:cs="Arial" w:eastAsia="Arial" w:hAnsi="Arial"/>
          <w:sz w:val="22"/>
          <w:szCs w:val="22"/>
        </w:rPr>
        <w:t xml:space="preserve"> wraps 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FRTBConfig</w:t>
      </w:r>
      <w:r>
        <w:rPr>
          <w:rFonts w:ascii="Arial" w:cs="Arial" w:eastAsia="Arial" w:hAnsi="Arial"/>
          <w:sz w:val="22"/>
          <w:szCs w:val="22"/>
        </w:rPr>
        <w:t xml:space="preserve"> and 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MarketConditions</w:t>
      </w:r>
      <w:r>
        <w:rPr>
          <w:rFonts w:ascii="Arial" w:cs="Arial" w:eastAsia="Arial" w:hAnsi="Arial"/>
          <w:sz w:val="22"/>
          <w:szCs w:val="22"/>
        </w:rPr>
        <w:t xml:space="preserve"> to scale risk weights and correlations based on live market stress index. This is a clean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Decorator Pattern</w:t>
      </w:r>
      <w:r>
        <w:rPr>
          <w:rFonts w:ascii="Arial" w:cs="Arial" w:eastAsia="Arial" w:hAnsi="Arial"/>
          <w:sz w:val="22"/>
          <w:szCs w:val="22"/>
        </w:rPr>
        <w:t xml:space="preserve"> extension:</w:t>
      </w:r>
    </w:p>
    <w:p>
      <w:pPr>
        <w:pBdr>
          <w:left w:val="single" w:color="2E75B6" w:sz="6" w:space="4"/>
        </w:pBdr>
        <w:shd w:fill="F2F2F2" w:val="clear"/>
        <w:spacing w:after="80" w:before="80" w:line="24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MarketConditions → stress_level() → DynamicParameterAdjustment.adjust_risk_weights()
                                                       ↓
                                         SBMCalculator._risk_weight_for()</w:t>
      </w:r>
    </w:p>
    <w:p>
      <w:pPr>
        <w:spacing w:after="60" w:before="6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sz w:val="22"/>
          <w:szCs w:val="22"/>
        </w:rPr>
        <w:t xml:space="preserve">11.2.5 Fallback Trace Code Pattern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Every fallback event writes a structured trace string directly onto the trade object:</w:t>
      </w:r>
    </w:p>
    <w:p>
      <w:pPr>
        <w:pBdr>
          <w:left w:val="single" w:color="2E75B6" w:sz="6" w:space="4"/>
        </w:pBdr>
        <w:shd w:fill="F2F2F2" w:val="clear"/>
        <w:spacing w:after="80" w:before="80" w:line="24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format: "FALLBACK|{trade_id}|{reason_code}|{description}"
example: "FALLBACK|TRD-001|REGULATORY_FLOOR|IMM EAD below 50% SA-CCR floor — CRE53.5"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This is consumed downstream by the audit persistence layer and surfaced on the dashboard.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sz w:val="22"/>
          <w:szCs w:val="22"/>
        </w:rPr>
        <w:t xml:space="preserve">11.3 Database Design</w:t>
      </w:r>
    </w:p>
    <w:p>
      <w:pPr>
        <w:spacing w:after="60" w:before="6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sz w:val="22"/>
          <w:szCs w:val="22"/>
        </w:rPr>
        <w:t xml:space="preserve">11.3.1 Schema Overview (17 Tables)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risk schema:</w:t>
      </w:r>
    </w:p>
    <w:p>
      <w:pPr>
        <w:pBdr>
          <w:left w:val="single" w:color="2E75B6" w:sz="6" w:space="4"/>
        </w:pBdr>
        <w:shd w:fill="F2F2F2" w:val="clear"/>
        <w:spacing w:after="80" w:before="80" w:line="24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portfolios    (portfolio_id VARCHAR PK, type VARCHAR, run_date DATE, cpty_id VARCHAR)
trades        (trade_id VARCHAR PK, portfolio_id FK, asset_class, instrument_type,
               notional NUMERIC, mtm NUMERIC, maturity_date DATE)
netting_sets  (netting_id VARCHAR PK, counterparty_id FK, initial_margin NUMERIC,
               variation_margin NUMERIC, threshold NUMERIC, mta NUMERIC, mpor_days INT)
exposures     (exposure_id VARCHAR PK, portfolio_id FK, ead NUMERIC, pd NUMERIC,
               lgd NUMERIC, maturity NUMERIC, sales_volume NUMERIC)
rwa_results   (result_id SERIAL PK, run_date DATE, rwa_credit NUMERIC, rwa_ccr NUMERIC,
               rwa_market NUMERIC, rwa_cva NUMERIC, rwa_ccp NUMERIC, rwa_oprisk NUMERIC,
               total_rwa NUMERIC, final_rwa NUMERIC, capital NUMERIC)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market_data schema:</w:t>
      </w:r>
    </w:p>
    <w:p>
      <w:pPr>
        <w:pBdr>
          <w:left w:val="single" w:color="2E75B6" w:sz="6" w:space="4"/>
        </w:pBdr>
        <w:shd w:fill="F2F2F2" w:val="clear"/>
        <w:spacing w:after="80" w:before="80" w:line="24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yield_curves        (curve_id VARCHAR PK, currency VARCHAR, tenor NUMERIC, rate NUMERIC, date DATE)
fx_rates            (pair VARCHAR PK, rate NUMERIC, date DATE)
vol_surfaces        (surface_id VARCHAR PK, asset_class, strike NUMERIC, maturity NUMERIC, vol NUMERIC)
cds_spreads         (entity_id VARCHAR PK, tenor NUMERIC, spread_bp NUMERIC, date DATE)
correlation_matrices(matrix_id VARCHAR PK, risk_class VARCHAR, values JSONB)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reference schema:</w:t>
      </w:r>
    </w:p>
    <w:p>
      <w:pPr>
        <w:pBdr>
          <w:left w:val="single" w:color="2E75B6" w:sz="6" w:space="4"/>
        </w:pBdr>
        <w:shd w:fill="F2F2F2" w:val="clear"/>
        <w:spacing w:after="80" w:before="80" w:line="24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counterparties    (counterparty_id VARCHAR PK, name VARCHAR, rating VARCHAR, sector VARCHAR)
risk_limits       (limit_id VARCHAR PK, limit_type VARCHAR, threshold NUMERIC, currency VARCHAR)
regulatory_params (param_id VARCHAR PK, standard VARCHAR, parameter VARCHAR, value NUMERIC)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audit schema:</w:t>
      </w:r>
    </w:p>
    <w:p>
      <w:pPr>
        <w:pBdr>
          <w:left w:val="single" w:color="2E75B6" w:sz="6" w:space="4"/>
        </w:pBdr>
        <w:shd w:fill="F2F2F2" w:val="clear"/>
        <w:spacing w:after="80" w:before="80" w:line="24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run_logs             (log_id SERIAL PK, run_date DATE, status VARCHAR, duration_sec NUMERIC, engine_version VARCHAR)
calculation_traces   (trace_id SERIAL PK, portfolio_id FK, engine VARCHAR, formula TEXT, result NUMERIC, ts TIMESTAMPTZ)
breach_alerts        (alert_id SERIAL PK, limit_id FK, value NUMERIC, threshold NUMERIC, ts TIMESTAMPTZ)
user_actions         (action_id SERIAL PK, user_name VARCHAR, action_type VARCHAR, detail TEXT, ts TIMESTAMPTZ)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sz w:val="22"/>
          <w:szCs w:val="22"/>
        </w:rPr>
        <w:t xml:space="preserve">11.4 Configuration Management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All regulatory parameters are centralised in 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backend/config.py</w:t>
      </w:r>
      <w:r>
        <w:rPr>
          <w:rFonts w:ascii="Arial" w:cs="Arial" w:eastAsia="Arial" w:hAnsi="Arial"/>
          <w:sz w:val="22"/>
          <w:szCs w:val="22"/>
        </w:rPr>
        <w:t xml:space="preserve"> as typed dataclass instances: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  <w:r>
              <w:rPr>
                <w:b w:val="false"/>
                <w:bCs w:val="false"/>
                <w:color w:val="000000"/>
              </w:rPr>
            </w:r>
            <w:r>
              <w:rPr>
                <w:b w:val="false"/>
                <w:bCs w:val="false"/>
                <w:color w:val="000000"/>
              </w:rPr>
            </w:r>
            <w:r>
              <w:rPr>
                <w:b w:val="false"/>
                <w:bCs w:val="false"/>
                <w:color w:val="000000"/>
              </w:rPr>
            </w: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  <w:r>
              <w:rPr>
                <w:b w:val="false"/>
                <w:bCs w:val="false"/>
                <w:color w:val="000000"/>
              </w:rPr>
            </w:r>
            <w:r>
              <w:rPr>
                <w:b w:val="false"/>
                <w:bCs w:val="false"/>
                <w:color w:val="000000"/>
              </w:rPr>
            </w:r>
            <w:r>
              <w:rPr>
                <w:b w:val="false"/>
                <w:bCs w:val="false"/>
                <w:color w:val="000000"/>
              </w:rPr>
            </w:r>
            <w:r>
              <w:rPr>
                <w:b w:val="false"/>
                <w:bCs w:val="false"/>
                <w:color w:val="000000"/>
              </w:rPr>
            </w:r>
            <w:r>
              <w:rPr>
                <w:b w:val="false"/>
                <w:bCs w:val="false"/>
                <w:color w:val="000000"/>
              </w:rPr>
            </w: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  <w:r>
              <w:rPr>
                <w:b w:val="false"/>
                <w:bCs w:val="false"/>
                <w:color w:val="000000"/>
              </w:rPr>
            </w:r>
            <w:r>
              <w:rPr>
                <w:b w:val="false"/>
                <w:bCs w:val="false"/>
                <w:color w:val="000000"/>
              </w:rPr>
            </w:r>
            <w:r>
              <w:rPr>
                <w:b w:val="false"/>
                <w:bCs w:val="false"/>
                <w:color w:val="000000"/>
              </w:rPr>
            </w: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  <w:r>
              <w:rPr>
                <w:b w:val="false"/>
                <w:bCs w:val="false"/>
                <w:color w:val="000000"/>
              </w:rPr>
            </w:r>
            <w:r>
              <w:rPr>
                <w:b w:val="false"/>
                <w:bCs w:val="false"/>
                <w:color w:val="000000"/>
              </w:rPr>
            </w:r>
            <w:r>
              <w:rPr>
                <w:b w:val="false"/>
                <w:bCs w:val="false"/>
                <w:color w:val="000000"/>
              </w:rPr>
            </w: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  <w:r>
              <w:rPr>
                <w:b w:val="false"/>
                <w:bCs w:val="false"/>
                <w:color w:val="000000"/>
              </w:rPr>
            </w:r>
            <w:r>
              <w:rPr>
                <w:b w:val="false"/>
                <w:bCs w:val="false"/>
                <w:color w:val="000000"/>
              </w:rPr>
            </w:r>
            <w:r>
              <w:rPr>
                <w:b w:val="false"/>
                <w:bCs w:val="false"/>
                <w:color w:val="000000"/>
              </w:rPr>
            </w:r>
            <w:r>
              <w:rPr>
                <w:b w:val="false"/>
                <w:bCs w:val="false"/>
                <w:color w:val="000000"/>
              </w:rPr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Environment variable overrides are supported for all connection parameters (DB, Bloomberg, Refinitiv) via 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os.getenv()</w:t>
      </w:r>
      <w:r>
        <w:rPr>
          <w:rFonts w:ascii="Arial" w:cs="Arial" w:eastAsia="Arial" w:hAnsi="Arial"/>
          <w:sz w:val="22"/>
          <w:szCs w:val="22"/>
        </w:rPr>
        <w:t xml:space="preserve">, enabling deployment without credential hardcoding.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sz w:val="22"/>
          <w:szCs w:val="22"/>
        </w:rPr>
        <w:t xml:space="preserve">11.5 Error Handling Architecture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All engines follow a consistent three-tier exception hierarchy:</w:t>
      </w:r>
    </w:p>
    <w:p>
      <w:pPr>
        <w:spacing w:after="60" w:before="60"/>
      </w:pPr>
      <w:r>
        <w:t xml:space="preserve"/>
      </w:r>
    </w:p>
    <w:p>
      <w:pPr>
        <w:pBdr>
          <w:left w:val="single" w:color="2E75B6" w:sz="6" w:space="4"/>
        </w:pBdr>
        <w:shd w:fill="F2F2F2" w:val="clear"/>
        <w:spacing w:after="80" w:before="80" w:line="24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BaseException
  └── Exception
        ├── ValidationError  (FRTBValidationError, IMMValidationError, ...)
        │     Raised for: invalid inputs, NaN/inf values, parameter out of range
        │     Handler: caller catches, logs WARNING, rejects bad input
        │
        ├── ConfigurationError  (FRTBConfigurationError, ...)
        │     Raised for: invalid config (correlations out of range, empty risk classes)
        │     Handler: caught at startup; prevents engine initialisation
        │
        └── CalculationError  (FRTBCalculationError, ...)
              Raised for: NaN/inf produced during calculation (numerical instability)
              Handler: caught by orchestrator, logged at ERROR, run marked FAILED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Graceful degradation: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Bloomberg/Refinitiv unavailable</w:t>
      </w:r>
      <w:r>
        <w:rPr>
          <w:rFonts w:ascii="Arial" w:cs="Arial" w:eastAsia="Arial" w:hAnsi="Arial"/>
          <w:sz w:val="22"/>
          <w:szCs w:val="22"/>
        </w:rPr>
        <w:t xml:space="preserve"> → falls to next market data tier; logs WARNING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FRED API unavailable</w:t>
      </w:r>
      <w:r>
        <w:rPr>
          <w:rFonts w:ascii="Arial" w:cs="Arial" w:eastAsia="Arial" w:hAnsi="Arial"/>
          <w:sz w:val="22"/>
          <w:szCs w:val="22"/>
        </w:rPr>
        <w:t xml:space="preserve"> → uses hard-coded CVA defaults; logs WARNING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IMM floor violated</w:t>
      </w:r>
      <w:r>
        <w:rPr>
          <w:rFonts w:ascii="Arial" w:cs="Arial" w:eastAsia="Arial" w:hAnsi="Arial"/>
          <w:sz w:val="22"/>
          <w:szCs w:val="22"/>
        </w:rPr>
        <w:t xml:space="preserve"> → FALLBACK to SA-CCR; trace logged; run continues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SA-CVA not approved</w:t>
      </w:r>
      <w:r>
        <w:rPr>
          <w:rFonts w:ascii="Arial" w:cs="Arial" w:eastAsia="Arial" w:hAnsi="Arial"/>
          <w:sz w:val="22"/>
          <w:szCs w:val="22"/>
        </w:rPr>
        <w:t xml:space="preserve"> → BA-CVA used; trace logged; run continues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scipy.special.erfinv unavailable</w:t>
      </w:r>
      <w:r>
        <w:rPr>
          <w:rFonts w:ascii="Arial" w:cs="Arial" w:eastAsia="Arial" w:hAnsi="Arial"/>
          <w:sz w:val="22"/>
          <w:szCs w:val="22"/>
        </w:rPr>
        <w:t xml:space="preserve"> → local polynomial approximation in 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a_irb.py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sz w:val="22"/>
          <w:szCs w:val="22"/>
        </w:rPr>
        <w:t xml:space="preserve">11.6 Testing Architecture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48 unit/integration tests</w:t>
      </w:r>
      <w:r>
        <w:rPr>
          <w:rFonts w:ascii="Arial" w:cs="Arial" w:eastAsia="Arial" w:hAnsi="Arial"/>
          <w:sz w:val="22"/>
          <w:szCs w:val="22"/>
        </w:rPr>
        <w:t xml:space="preserve"> across 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tests/test_engines.py</w:t>
      </w:r>
      <w:r>
        <w:rPr>
          <w:rFonts w:ascii="Arial" w:cs="Arial" w:eastAsia="Arial" w:hAnsi="Arial"/>
          <w:sz w:val="22"/>
          <w:szCs w:val="22"/>
        </w:rPr>
        <w:t xml:space="preserve">, structured by engine: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sz w:val="22"/>
          <w:szCs w:val="22"/>
        </w:rPr>
        <w:t xml:space="preserve">11.7 Deployment Architecture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Sprint A — Development (Current):</w:t>
      </w:r>
    </w:p>
    <w:p>
      <w:pPr>
        <w:pBdr>
          <w:left w:val="single" w:color="2E75B6" w:sz="6" w:space="4"/>
        </w:pBdr>
        <w:shd w:fill="F2F2F2" w:val="clear"/>
        <w:spacing w:after="80" w:before="80" w:line="24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MacBook Air M1 (8 GB RAM, macOS Ventura+)
├── Python 3.11 (.venv at /Users/aaron/Documents/Project/Prometheus/.venv/)
├── PostgreSQL 15 (Docker arm64, localhost:5432)
│   └── Database: prometheus_risk | User: risk_admin
├── pgAdmin 4 (Docker, localhost:5050) — schema browser
├── Streamlit 1.28 (localhost:8501) — dashboard
└── pytest 7.4 — test suite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Sprint E / F — Production (Planned 2026):</w:t>
      </w:r>
    </w:p>
    <w:p>
      <w:pPr>
        <w:pBdr>
          <w:left w:val="single" w:color="2E75B6" w:sz="6" w:space="4"/>
        </w:pBdr>
        <w:shd w:fill="F2F2F2" w:val="clear"/>
        <w:spacing w:after="80" w:before="80" w:line="24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Azure / AWS Cloud
├── Azure App Service (Python 3.11 backend, auto-scale)
│   └── Trigger: Azure Scheduler (06:00 daily)
├── Azure Database for PostgreSQL (Flexible Server, Burstable B2ms)
│   └── Geo-redundant backup; TDE encryption at rest
├── Azure Key Vault — credentials (DB password, Bloomberg API key)
├── Application Insights — logging, performance monitoring, alerts
├── Azure Blob Storage — report exports (xlsx/csv)
└── Azure Front Door / Application Gateway — HTTPS load balancing</w:t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sz w:val="22"/>
          <w:szCs w:val="22"/>
        </w:rPr>
        <w:t xml:space="preserve">12. APPENDIX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sz w:val="22"/>
          <w:szCs w:val="22"/>
        </w:rPr>
        <w:t xml:space="preserve">Appendix A — Regulatory Standards Reference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sz w:val="22"/>
          <w:szCs w:val="22"/>
        </w:rPr>
        <w:t xml:space="preserve">Appendix B — Key Regulatory Formulas</w:t>
      </w:r>
    </w:p>
    <w:p>
      <w:pPr>
        <w:spacing w:after="60" w:before="6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sz w:val="22"/>
          <w:szCs w:val="22"/>
        </w:rPr>
        <w:t xml:space="preserve">B.1 SA-CCR EAD (CRE52)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$$\text{EAD} = 1.4 \times \left[\max(V - C,\; TH + MTA - NICA,\; 0) + \text{mult} \times \text{AddOn}_\text{agg}\right]$$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$$\text{mult} = \min\!\left(1,\; 0.05 + 0.95 \times e^{\frac{V}{1.9 \times \text{AddOn}_\text{agg}}}\right)$$</w:t>
      </w:r>
    </w:p>
    <w:p>
      <w:pPr>
        <w:spacing w:after="60" w:before="6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sz w:val="22"/>
          <w:szCs w:val="22"/>
        </w:rPr>
        <w:t xml:space="preserve">B.2 A-IRB Capital Requirement (CRE31)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$$K = \left[LGD \cdot \Phi\!\left(\frac{\Phi^{-1}(PD) + \sqrt{R}\,\Phi^{-1}(0.999)}{\sqrt{1-R}}\right) - PD \cdot LGD\right] \times \frac{1 + (M-2.5)b}{1-1.5b}$$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$$R = \frac{0.12(1-e^{-50PD})}{1-e^{-50}} + \frac{0.24[1-(1-e^{-50PD})/(1-e^{-50})]}{1}$$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$$b = (0.11852 - 0.05478\ln PD)^2$$</w:t>
      </w:r>
    </w:p>
    <w:p>
      <w:pPr>
        <w:spacing w:after="60" w:before="6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sz w:val="22"/>
          <w:szCs w:val="22"/>
        </w:rPr>
        <w:t xml:space="preserve">B.3 FRTB SBM Delta (MAR21)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$$K_b = \sqrt{\sum_k WS_k^2 + \sum_{k\neq l}\rho_{kl}\cdot WS_k\cdot WS_l}$$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$$\Delta = \max\!\left(\sqrt{\sum_b K_b^2 + \sum_{b\neq c}\gamma_{bc}K_bK_c},\; \sum_k|WS_k|\right)$$</w:t>
      </w:r>
    </w:p>
    <w:p>
      <w:pPr>
        <w:spacing w:after="60" w:before="6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sz w:val="22"/>
          <w:szCs w:val="22"/>
        </w:rPr>
        <w:t xml:space="preserve">B.4 IMM EEPE (CRE53)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$$\text{EEE}(t_k) = \max\left(\text{EEE}(t_{k-1}),\; \text{EE}(t_k)\right)$$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$$\text{EEPE} = \frac{1}{T}\sum_{k=1}^{T}\text{EEE}(t_k)$$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$$\text{EAD}_\text{IMM} = 1.4 \times \text{EEPE}$$</w:t>
      </w:r>
    </w:p>
    <w:p>
      <w:pPr>
        <w:spacing w:after="60" w:before="6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sz w:val="22"/>
          <w:szCs w:val="22"/>
        </w:rPr>
        <w:t xml:space="preserve">B.5 Five-Part RWA Formula (RBC20.9)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$$\text{Total RWA} = \text{RWA}_\text{Cr} + \text{RWA}_\text{CCR} + \text{RWA}_\text{Mkt} + \text{RWA}_\text{CVA} + \text{RWA}_\text{CCP} + \text{RWA}_\text{OpRisk}$$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$$\text{SA Base} = \text{RWA}_\text{Cr,SA} + \text{RWA}_\text{CCR,SA} + \text{RWA}_\text{Mkt,SA} + \text{RWA}_\text{CCP,SA}$$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$$\text{Final RWA} = \max\!\left(\text{Total RWA},\; 0.725 \times \text{SA Base}\right)$$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$$\text{Capital} = \text{Final RWA} \times 8\%$$</w:t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sz w:val="22"/>
          <w:szCs w:val="22"/>
        </w:rPr>
        <w:t xml:space="preserve">Appendix C — File Structure</w:t>
      </w:r>
    </w:p>
    <w:p>
      <w:pPr>
        <w:spacing w:after="60" w:before="60"/>
      </w:pPr>
      <w:r>
        <w:t xml:space="preserve"/>
      </w:r>
    </w:p>
    <w:p>
      <w:pPr>
        <w:pBdr>
          <w:left w:val="single" w:color="2E75B6" w:sz="6" w:space="4"/>
        </w:pBdr>
        <w:shd w:fill="F2F2F2" w:val="clear"/>
        <w:spacing w:after="80" w:before="80" w:line="24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PROMETHEUS/
├── PROMETHEUS_FSD.md              ← This document
├── PROMETHEUS_BRD.md              ← Business Requirements Document
├── README.md                      ← Quick start and overview
├── requirements.txt               ← Python dependencies
├── setup.sh                       ← One-shot environment setup
├── run_dashboard.sh               ← Dashboard launcher (Streamlit)
├── run_engine.sh                  ← CLI risk run launcher
├── run_tests.sh                   ← Test suite executor
│
├── docker/
│   ├── docker-compose.yml         ← PostgreSQL 15 + pgAdmin 4 (arm64)
│   └── init.sql                   ← Database schema initialisation (17 tables)
│
├── backend/
│   ├── config.py                  ← Regulatory parameter configuration
│   ├── main.py                    ← PrometheusRunner orchestrator (458 lines)
│   │
│   ├── engines/
│   │   ├── sa_ccr.py              ← SA-CCR (CRE52) — 459 lines
│   │   ├── imm.py                 ← IMM / Monte Carlo (CRE53) — 1,489 lines
│   │   ├── a_irb.py               ← A-IRB (CRE30–36) — 1,249 lines
│   │   ├── frtb.py                ← FRTB (MAR20–33) — 1,710 lines
│   │   ├── cva.py                 ← CVA Risk (MAR50) — 646 lines
│   │   └── ccp.py                 ← CCP (CRE54) — ~100 lines
│   │
│   ├── data_generators/
│   │   ├── portfolio_generator.py ← Synthetic derivative and banking book portfolios
│   │   └── cva_generator.py       ← CVA counterparty inputs and CCP exposures
│   │
│   └── data_sources/
│       ├── market_data_provider.py ← Abstract + Bloomberg/Refinitiv/Internal/Static providers
│       ├── cds_spread_service.py   ← CDS spread service with fallback and caching
│       ├── market_state.py         ← Market state management
│       ├── calibration.py          ← Historical volatility calibration module
│       └── persistence.py          ← PostgreSQL schema creation and result persistence
│
├── dashboard/
│   └── app.py                     ← Streamlit dashboard — 8 pages (844 lines)
│
├── tests/
│   └── test_engines.py            ← 48 validation tests
│
└── docs/
    └── MARKET_DATA_ARCHITECTURE.md ← Market data provider architecture guide</w:t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sz w:val="22"/>
          <w:szCs w:val="22"/>
        </w:rPr>
        <w:t xml:space="preserve">Appendix D — Glossary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sz w:val="22"/>
          <w:szCs w:val="22"/>
        </w:rPr>
        <w:t xml:space="preserve">Appendix E — Sprint Roadmap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sz w:val="22"/>
          <w:szCs w:val="22"/>
        </w:rPr>
        <w:t xml:space="preserve">Appendix F — Risk Register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</w:tr>
      <w:tr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  <w:r>
              <w:rPr>
                <w:b w:val="false"/>
                <w:bCs w:val="false"/>
                <w:color w:val="000000"/>
              </w:rPr>
            </w: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18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sz w:val="22"/>
          <w:szCs w:val="22"/>
        </w:rPr>
        <w:t xml:space="preserve">Appendix G — Acceptance Criteria Summary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sz w:val="22"/>
          <w:szCs w:val="22"/>
        </w:rPr>
        <w:t xml:space="preserve">Appendix H — Sign-Off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PROMETHEUS · Basel III/IV Risk Management Platform · Python 3.11 · PostgreSQL 15 · Streamlit 1.28</w:t>
      </w:r>
      <w:r>
        <w:rPr>
          <w:rFonts w:ascii="Arial" w:cs="Arial" w:eastAsia="Arial" w:hAnsi="Arial"/>
          <w:sz w:val="22"/>
          <w:szCs w:val="22"/>
        </w:rPr>
        <w:t xml:space="preserve">  </w:t>
      </w:r>
    </w:p>
    <w:p>
      <w:pPr>
        <w:spacing w:after="80" w:before="8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Document Reference: PROMETHEUS-FSD-v1.0 · Classification: Internal Use — Confidential</w:t>
      </w:r>
      <w:r>
        <w:rPr>
          <w:rFonts w:ascii="Arial" w:cs="Arial" w:eastAsia="Arial" w:hAnsi="Arial"/>
          <w:sz w:val="22"/>
          <w:szCs w:val="22"/>
        </w:rPr>
        <w:t xml:space="preserve">  </w:t>
      </w:r>
    </w:p>
    <w:p>
      <w:pPr>
        <w:spacing w:after="80" w:before="8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© 2025–2026 Risk Technology · All rights reserved</w:t>
      </w:r>
    </w:p>
    <w:p>
      <w:pPr>
        <w:spacing w:after="60" w:before="6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1"/>
      </w:pBdr>
      <w:jc w:val="right"/>
    </w:pPr>
    <w:r>
      <w:rPr>
        <w:rFonts w:ascii="Arial" w:cs="Arial" w:eastAsia="Arial" w:hAnsi="Arial"/>
        <w:color w:val="666666"/>
        <w:sz w:val="18"/>
        <w:szCs w:val="18"/>
      </w:rPr>
      <w:t xml:space="preserve">CONFIDENTIAL — Internal Use Only    Page </w:t>
    </w:r>
    <w:pgNum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1"/>
      </w:pBdr>
    </w:pPr>
    <w:r>
      <w:rPr>
        <w:rFonts w:ascii="Arial" w:cs="Arial" w:eastAsia="Arial" w:hAnsi="Arial"/>
        <w:color w:val="666666"/>
        <w:sz w:val="18"/>
        <w:szCs w:val="18"/>
      </w:rPr>
      <w:t xml:space="preserve">PROMETHEUS Risk Platform  |  </w:t>
    </w:r>
    <w:r>
      <w:rPr>
        <w:rFonts w:ascii="Arial" w:cs="Arial" w:eastAsia="Arial" w:hAnsi="Arial"/>
        <w:b/>
        <w:bCs/>
        <w:color w:val="1F4E79"/>
        <w:sz w:val="18"/>
        <w:szCs w:val="18"/>
      </w:rPr>
      <w:t xml:space="preserve">PROMETHEUS RISK PLATFORM</w:t>
    </w:r>
    <w:r>
      <w:rPr>
        <w:rFonts w:ascii="Arial" w:cs="Arial" w:eastAsia="Arial" w:hAnsi="Arial"/>
        <w:color w:val="666666"/>
        <w:sz w:val="18"/>
        <w:szCs w:val="18"/>
      </w:rPr>
      <w:t xml:space="preserve">  |  Version 3.8 — Apr-27-2026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hd w:fill="1F4E79" w:val="clear"/>
      <w:spacing w:after="200" w:before="360"/>
      <w:outlineLvl w:val="0"/>
    </w:pPr>
    <w:rPr>
      <w:rFonts w:ascii="Arial" w:cs="Arial" w:eastAsia="Arial" w:hAnsi="Arial"/>
      <w:b/>
      <w:bCs/>
      <w:color w:val="FFFFFF"/>
      <w:sz w:val="32"/>
      <w:szCs w:val="32"/>
    </w:rPr>
  </w:style>
  <w:style w:type="paragraph" w:styleId="Heading2">
    <w:name w:val="Heading 2"/>
    <w:basedOn w:val="Normal"/>
    <w:next w:val="Normal"/>
    <w:qFormat/>
    <w:pPr>
      <w:pBdr>
        <w:bottom w:val="single" w:color="2E75B6" w:sz="6" w:space="2"/>
      </w:pBdr>
      <w:spacing w:after="120" w:before="280"/>
      <w:outlineLvl w:val="1"/>
    </w:pPr>
    <w:rPr>
      <w:rFonts w:ascii="Arial" w:cs="Arial" w:eastAsia="Arial" w:hAnsi="Arial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2026-04-27T08:46:32.352Z</dcterms:created>
  <dcterms:modified xsi:type="dcterms:W3CDTF">2026-04-27T08:46:32.352Z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