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00"/>
      </w:pP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52"/>
          <w:szCs w:val="52"/>
        </w:rPr>
        <w:t xml:space="preserve">STATISTICAL ANALYSIS PLAN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4"/>
          <w:szCs w:val="34"/>
        </w:rPr>
        <w:t xml:space="preserve">EFC6193 / TROPIC TRIAL — VERSION 3.0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6"/>
          <w:szCs w:val="26"/>
        </w:rPr>
        <w:t xml:space="preserve">Cabazitaxel + Prednisone vs. Mitoxantrone + Prednisone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6"/>
          <w:szCs w:val="26"/>
        </w:rPr>
        <w:t xml:space="preserve">Metastatic Castration-Resistant Prostate Cancer after Docetaxel Failure</w:t>
      </w:r>
    </w:p>
    <w:p>
      <w:pPr>
        <w:spacing w:after="36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2E75B6"/>
          <w:sz w:val="22"/>
          <w:szCs w:val="22"/>
        </w:rPr>
        <w:t xml:space="preserve">Full forensic audit against Lancet 2010 — all 12 v2.0 errors corrected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720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DOCUMENT INFORMATION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SAP Version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3.0 — v2.0 + forensic audit (12 errors corrected)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Study Number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EFC6193 / XRP6258 (Cabazitaxel / TROPIC)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Protocol Version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Amendment 5, 21-Jul-2008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Primary Reference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 Bono JS et al. Lancet 2010;376(9747):1147–1154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Lancet Correction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Corrected version published thelancet.com, 25-Feb-2011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Project Data Sphere — Sanofi US contribution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Data Cut-off Date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25-Sep-2009 (paper p.1148 confirmed)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ADaMIG Version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1.3 (FDA mandatory from 2024-03-15)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SDTM Source Standard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SDTM-IG 3.1.1 (standard at time of trial)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CTCAE Version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3.0 (paper Table 4 footnote confirmed)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MedDRA Version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12.0 (paper Table 4 footnote ref 17; Define XML AEDICTVS confirmed)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RECIST Version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1.0 (Therasse et al. J Natl Cancer Inst 2000 — paper ref 14)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SAS Version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9.1.3 (paper Methods section confirmed)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ClinicalTrials.gov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NCT00417079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v3.0 Audit Date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[Date of audit]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v3.0 Changes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Errors 1–12: Safety N arm-specific fix; PSA responder progression fix; pain progression reference value fix; full safety table (all 20 AE rows); sample size assumptions; median follow-up; CBC schedule ADLB windows; subgroup N footnotes; Table 4 listing rules; TTUMOR IQR; OS/safety deaths reconciliation note; discontinuation breakdown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Author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[Programmer Name] — Secondary analysis / portfolio project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Validation Target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 Bono et al. Lancet 2010;376(9747):1147–1154</w:t>
            </w:r>
          </w:p>
        </w:tc>
      </w:tr>
    </w:tbl>
    <w:p>
      <w:pPr>
        <w:spacing w:after="0" w:before="2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This SAP is authored independently for a secondary analysis of Project Data Sphere data. It does not represent Sanofi's original SAP. All definitions are derived from Protocol Amendment 5 and reconciled against the Lancet 2010 publication. Every discrepancy between protocol and paper is documented. Every v2.0 error found in forensic audit is labelled AUDIT FIX with error number.</w:t>
      </w:r>
    </w:p>
    <w:p>
      <w:r>
        <w:br w:type="page"/>
      </w:r>
    </w:p>
    <w:p>
      <w:pPr>
        <w:pStyle w:val="Heading1"/>
        <w:shd w:fill="1F3864" w:val="clear"/>
        <w:spacing w:after="180" w:before="32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1  STUDY OVERVIEW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1.1  Study Identification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7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Study Number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EFC6193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Compound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Cabazitaxel (XRP6258; TXD258; RPR116258A)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ClinicalTrials.gov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NCT00417079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Phase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III — Randomized, open-label, multi-centre, multinational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Centres / Countries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146 centres, 26 countries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Enrolment Period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02-Jan-2007 to 23-Oct-2008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 Randomized (ITT)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755 — 378 CbzP + 377 MP (paper Figure 1 and Table 1)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Final Analysis Cutoff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25-Sep-2009 (paper p.1148: 'cutoff date for the final analysis (Sept 25, 2009)')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Median Follow-up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12.8 months (IQR 7.8–16.9) — combined arms (paper p.1152)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Primary Publication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 Bono JS et al. Lancet 2010;376(9747):1147–1154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Lancet Correction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Corrected version published 25-Feb-2011 at thelancet.com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Funding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Sanofi-Aventis (chief investigators JSB and AOS designed protocol)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1.2  Treatment Arms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80"/>
        <w:gridCol w:w="6480"/>
      </w:tblGrid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Arm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ARMCD</w:t>
            </w:r>
          </w:p>
        </w:tc>
        <w:tc>
          <w:tcPr>
            <w:tcW w:type="dxa" w:w="6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Regimen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 — Control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MP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Mitoxantrone 12 mg/m² IV over 15–30 min, Day 1 of each 21-day cycle + Prednisone 10 mg orally daily (or equivalent prednisolone where prednisone unavailable)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 — Experimental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CBZP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Cabazitaxel 25 mg/m² IV over 1 hour, Day 1 of each 21-day cycle + Prednisone 10 mg orally daily</w:t>
            </w:r>
          </w:p>
        </w:tc>
      </w:tr>
    </w:tbl>
    <w:p>
      <w:pPr>
        <w:spacing w:after="80" w:before="4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Source: de Bono et al. Lancet 2010 p.1149; Protocol Amendment 5 §8.5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Premedication before CbzP: single IV doses of antihistamine + corticosteroid (dexamethasone 8 mg or equivalent) + histamine H2-antagonist (cimetidine specifically excluded), administered ≥30 min before infusion.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Cycle length: 21 days. Maximum 10 cycles per patient (to cap mitoxantrone cardiac risk while maintaining comparable exposure). One dose reduction per patient permitted: CbzP 25→20 mg/m²; MP 12→10 mg/m². Treatment delays up to 2 weeks allowed.</w:t>
      </w:r>
    </w:p>
    <w:p>
      <w:pPr>
        <w:spacing w:after="80" w:before="4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Source: de Bono et al. Lancet 2010 p.1149–1150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1.3  Data Cut-off — Correction from Protocol</w:t>
      </w:r>
    </w:p>
    <w:p>
      <w:pPr>
        <w:pBdr>
          <w:left w:val="single" w:color="7030A0" w:sz="10"/>
        </w:pBdr>
        <w:shd w:fill="EAE0F5" w:val="clear"/>
        <w:spacing w:after="60" w:before="6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7030A0"/>
          <w:sz w:val="20"/>
          <w:szCs w:val="20"/>
        </w:rPr>
        <w:t xml:space="preserve">CORRECTION (Protocol vs Paper):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30A0"/>
          <w:sz w:val="20"/>
          <w:szCs w:val="20"/>
        </w:rPr>
        <w:t xml:space="preserve">Protocol: 2010-03-10 (protocol data lock reference) — Paper confirmed: 25-Sep-2009 (paper p.1148 explicit: 'cutoff date for the final analysis (Sept 25, 2009)'). SAP uses paper value.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All analyses and censoring rules use 25-Sep-2009. SAS date literal: '25SEP2009'd.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1.4  Randomization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Allocation ratio: 1:1 via Interactive Voice Response System (IVRS).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Stratification factors (exactly 2): (1) disease measurability per RECIST v1.0 (measurable vs. non-measurable); (2) ECOG PS (0–1 vs. 2). These same two strata must be applied to ALL stratified log-rank tests and Cox PH models throughout this SAP.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Dynamic allocation used to prevent treatment imbalance within each centre.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Masking: patients and treating physicians NOT masked; study team masked to data analysis throughout trial.</w:t>
      </w:r>
    </w:p>
    <w:p>
      <w:pPr>
        <w:spacing w:after="80" w:before="4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Source: de Bono et al. Lancet 2010 p.1149; Protocol §8.5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1.5  Source Data Notes for ADaM Programming</w:t>
      </w:r>
    </w:p>
    <w:p>
      <w:pPr>
        <w:pBdr>
          <w:left w:val="single" w:color="C00000" w:sz="14"/>
        </w:pBdr>
        <w:shd w:fill="FFF2CC" w:val="clear"/>
        <w:spacing w:after="80" w:before="8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1"/>
          <w:szCs w:val="21"/>
        </w:rPr>
        <w:t xml:space="preserve">WEEK-BASED AE/DS DATES: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21"/>
          <w:szCs w:val="21"/>
        </w:rPr>
        <w:t xml:space="preserve">AE and DS domains store timing as INTEGER WEEK NUMBERS (AESTWK, AEENWK, DSSTWK), NOT ISO 8601 DTC. Conversion: ASTDT = INPUT(RFSTDTC,e8601da.) + (AESTWK-1)*7; AENDT = INPUT(RFSTDTC,e8601da.) + (AEENWK-1)*7+6. Document verbatim in SDRG.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SUPPEX pre-computed: EXCUMD2 (cumulative dose mg/m²), EXTRINT (RDI%), EXDELAY (days delayed). Validate all ADEX derived variables against these anchors before output.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SUPPDM pre-computed: ITT, SAFETY, PPROT flags; BSABL (baseline BSA m²). Pivot all into ADSL.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LB.LBTOXGR: CTCAE v3.0 grades pre-assigned by Sanofi. Use as primary source for ADLB.ATOXGR; derive independently and reconcile.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DS domain dates: DSSTWK = integer week number. Same week-to-date conversion as AE.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Safety population: CbzP arm — 378 randomised, 7 did not receive drug, 371 received. MP arm — 377 randomised, 6 did not receive drug, 371 received. Both arms: safety N = 371.</w:t>
      </w:r>
    </w:p>
    <w:p>
      <w:pPr>
        <w:spacing w:after="80" w:before="4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Source: Paper Figure 1; Table 2 footnote: 'Patients receiving study treatment 371 (98%)'; Table 4 header: 'n=371'</w:t>
      </w:r>
    </w:p>
    <w:p>
      <w:r>
        <w:br w:type="page"/>
      </w:r>
    </w:p>
    <w:p>
      <w:pPr>
        <w:pStyle w:val="Heading1"/>
        <w:shd w:fill="1F3864" w:val="clear"/>
        <w:spacing w:after="180" w:before="32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2  STUDY OBJECTIVES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2.1  Primary Objective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Compare overall survival (OS) between CbzP and MP in men with mCRPC with progressive disease during or after a docetaxel-containing regimen.</w:t>
      </w:r>
    </w:p>
    <w:p>
      <w:pPr>
        <w:spacing w:after="80" w:before="4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Source: Protocol §5.1; de Bono et al. Lancet 2010 Summary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2.2  Secondary Objectives (Protocol-Specified)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Compare PSA response rates (patients with baseline PSA ≥20 μg/L).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Compare time to PSA progression (all ITT patients).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Compare Progression-Free Survival (PFS — composite endpoint).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Compare Overall Response Rate per RECIST v1.0 (measurable disease subset).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Compare pain response rates (patients with baseline PPI ≥2 or AS ≥10).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Compare time to pain progression (all ITT patients).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Compare time to tumour progression (RECIST-based; distinct from composite PFS).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Assess safety and tolerability of CbzP.</w:t>
      </w:r>
    </w:p>
    <w:p>
      <w:pPr>
        <w:spacing w:after="80" w:before="4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Source: Protocol §5.2; de Bono et al. Lancet 2010 Methods p.1150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2.3  Exploratory Objectives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Characterize dose exposure (RDI, cumulative dose) using SUPPEX anchors.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ANC nadir exposure-response analysis stratified by G-CSF use (FDA Project Optimus framework).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Benefit-risk table by RDI tertile (FDA Project Optimus guidance, August 2024).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Reproduce all pre-specified OS subgroup HRs from Lancet Figure 2B.</w:t>
      </w:r>
    </w:p>
    <w:p>
      <w:r>
        <w:br w:type="page"/>
      </w:r>
    </w:p>
    <w:p>
      <w:pPr>
        <w:pStyle w:val="Heading1"/>
        <w:shd w:fill="1F3864" w:val="clear"/>
        <w:spacing w:after="180" w:before="32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3  ANALYSIS POPULATIONS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3.1  Intent-to-Treat (ITT) Population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All randomized patients regardless of treatment received. Treatment group = randomized arm. Primary population for all efficacy analyses.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Confirmed 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755 — 378 CbzP, 377 MP. All 755 in ITT per paper Figure 1.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1"/>
          <w:szCs w:val="21"/>
        </w:rPr>
        <w:t xml:space="preserve">ADaM: ADSL.ITTFL='Y'. Source: SUPPDM QNAM='ITT'.</w:t>
      </w:r>
    </w:p>
    <w:p>
      <w:pPr>
        <w:spacing w:after="80" w:before="4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Source: Paper p.1148: '755 men were allocated to treatment groups… included in the intention-to-treat analysis'; Figure 1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3.2  Safety Population (All-Treated)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All patients who received at least part of one dose. Treatment group = actually received arm.</w:t>
      </w:r>
    </w:p>
    <w:p>
      <w:pPr>
        <w:pBdr>
          <w:left w:val="single" w:color="375623" w:sz="10"/>
        </w:pBdr>
        <w:shd w:fill="E2EFDA" w:val="clear"/>
        <w:spacing w:after="60" w:before="6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AUDIT FIX (v2→v3, Error #1):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5623"/>
          <w:sz w:val="20"/>
          <w:szCs w:val="20"/>
        </w:rPr>
        <w:t xml:space="preserve">Paper Figure 1 documents arm-specific non-receipt: CbzP arm: 378 randomised, 7 did not receive → 371 received. MP arm: 377 randomised, 6 did not receive → 371 received. v2.0 incorrectly stated '7 per arm'. Both arms coincidentally reach N=371 but via different starting Ns and different non-receipt counts.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Confirmed 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371 per arm (N=742 total). CbzP: 378 − 7 = 371. MP: 377 − 6 = 371.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Use N=371 as denominator for ALL AE incidence calculations. Paper Table 4 header confirms 'n=371' for both arms.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1"/>
          <w:szCs w:val="21"/>
        </w:rPr>
        <w:t xml:space="preserve">ADaM: ADSL.SAFFL='Y'. Source: SUPPDM QNAM='SAFETY'. Validate: count of SAFFL='Y' must equal subjects with ≥1 EX record per arm.</w:t>
      </w:r>
    </w:p>
    <w:p>
      <w:pPr>
        <w:spacing w:after="80" w:before="4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Source: Paper Figure 1; Table 2: 'Patients receiving study treatment 371 (98%)' both arms; Table 4 header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3.3  Per-Protocol Population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ITT patients without major protocol deviations. For sensitivity analyses only.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1"/>
          <w:szCs w:val="21"/>
        </w:rPr>
        <w:t xml:space="preserve">ADaM: ADSL.PPROTFL='Y'. Source: SUPPDM QNAM='PPROT'.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3.4  Endpoint-Specific Evaluable Subsets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360"/>
        <w:gridCol w:w="3120"/>
      </w:tblGrid>
      <w:tr>
        <w:tc>
          <w:tcPr>
            <w:tcW w:type="dxa" w:w="28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Subset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Eligibility Criterion</w:t>
            </w:r>
          </w:p>
        </w:tc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 (paper Table 3 / Table 1)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PSA Response Evaluable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Baseline serum PSA ≥20 μg/L (PSA available for 370 MP, 371 CbzP per Table 1 footnote)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325 MP, 329 CbzP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Measurable Disease / ORR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RECIST v1.0 measurable ≥1 target lesion at baseline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204 MP, 201 CbzP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Pain Response Evaluable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Baseline median PPI ≥2 OR mean AS ≥10 AND ≥5/7 daily values available at baseline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168 MP, 174 CbzP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PSA Progression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ITT (no restriction)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377 MP, 378 CbzP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Pain Progression (TTPAIN)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ITT; evaluability rule applied at each visit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Censored: 279 MP; 265 CbzP (Table 3 footnote §)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180" w:before="32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4  PRIMARY ENDPOINT — OVERALL SURVIVAL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4.1  Definition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OS = time from date of randomization to date of death from any cause.</w:t>
      </w:r>
    </w:p>
    <w:p>
      <w:pPr>
        <w:spacing w:after="80" w:before="4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Source: Protocol §9.1.1.1; paper p.1150: 'primary endpoint of overall survival was calculated from date of randomisation to death'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4.2  Censoring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If death not observed by data cut-off: censor at the EARLIER of (a) last date patient known to be alive, OR (b) 25-Sep-2009.</w:t>
      </w:r>
    </w:p>
    <w:p>
      <w:pPr>
        <w:spacing w:after="80" w:before="4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Source: Paper p.1151: 'Overall survival data were censored at the last date the patient was known to be alive or at the analysis cutoff date, whichever was earliest'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1"/>
          <w:szCs w:val="21"/>
        </w:rPr>
        <w:t xml:space="preserve">ADaM ADTTE PARAMCD='OS': CNSR=0 death event; CNSR=1 censored.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1"/>
          <w:szCs w:val="21"/>
        </w:rPr>
        <w:t xml:space="preserve">ADTTE.ADT event: ADSL.DTHDT — from DS domain DSSCAT='DEATH', week-to-date conversion on DSSTWK.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1"/>
          <w:szCs w:val="21"/>
        </w:rPr>
        <w:t xml:space="preserve">ADTTE.ADT censor: ADSL.LSTALVDT = min(ADSL.RFENDTC, '25SEP2009'd, max contact date across all domains).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4.3  Statistical Methods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4.3.1  Primary Test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Stratified log-rank test, ITT population. Stratification: measurability (measurable vs. non-measurable) AND ECOG PS (0–1 vs. 2) — the two randomization strata.</w:t>
      </w:r>
    </w:p>
    <w:p>
      <w:pPr>
        <w:spacing w:after="80" w:before="4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Source: Paper p.1151: 'log-rank comparisons stratified according to disease measurability (measurable versus non-measurable) and ECOG performance status (0–1 versus 2)'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4.3.2  Kaplan-Meier Estimation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KM curves per arm. Report: median OS with 95% CI (Brookmeyer-Crowley), number at risk at months 0, 6, 12, 18, 24, 30 per Figure 2A layout.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1"/>
          <w:szCs w:val="21"/>
        </w:rPr>
        <w:t xml:space="preserve">SAS 9.1.3: PROC LIFETEST METHOD=KM; R: survival::survfit() + survminer::ggsurvplot().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4.3.3  Hazard Ratio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Stratified Cox PH model, same two strata. Report: HR (CbzP vs. MP reference), 95% CI, two-sided p-value.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1"/>
          <w:szCs w:val="21"/>
        </w:rPr>
        <w:t xml:space="preserve">SAS: PROC PHREG with STRATA=(MEASFL ECOGFL); R: survival::coxph(Surv(AVAL,1-CNSR)~TRT01P+strata(S1)+strata(S2)).</w:t>
      </w:r>
    </w:p>
    <w:p>
      <w:pPr>
        <w:spacing w:after="80" w:before="4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Source: Paper p.1151: 'HRs and 95% CIs were calculated with a Cox proportional hazards model (for both primary and secondary analyses)'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Published primary result: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Median OS CbzP 15.1 months (95% CI 14.1–16.3) vs. MP 12.7 months (11.6–13.7); HR 0.70 (0.59–0.83), p&lt;0.0001; 30% relative reduction in risk of death.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Deaths at cutoff (ITT):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234 CbzP + 279 MP = 513 total.</w:t>
      </w:r>
    </w:p>
    <w:p>
      <w:pPr>
        <w:spacing w:after="80" w:before="4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Source: Paper p.1151 and Figure 2A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4.4  Sample Size and Power</w:t>
      </w:r>
    </w:p>
    <w:p>
      <w:pPr>
        <w:pBdr>
          <w:left w:val="single" w:color="375623" w:sz="10"/>
        </w:pBdr>
        <w:shd w:fill="E2EFDA" w:val="clear"/>
        <w:spacing w:after="60" w:before="6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AUDIT FIX (v2→v3, Error #5):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5623"/>
          <w:sz w:val="20"/>
          <w:szCs w:val="20"/>
        </w:rPr>
        <w:t xml:space="preserve">v2.0 did not document sample size assumptions. Added from paper p.1151.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6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Planned total sample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720 patients (360 per arm)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Actual enrolled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755 patients (&gt;planned; ensures event target met)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Power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90%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Test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Two-sided stratified log-rank, α=0.05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Target effect size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25% reduction in HR for death (CbzP vs. MP)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Assumed median OS — MP group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 months (actual result: 12.7 months — SAP note: assumption conservative)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Planned final analysis trigger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511 OS deaths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Actual deaths at cutoff (ITT)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513 (≥511 threshold met)</w:t>
            </w:r>
          </w:p>
        </w:tc>
      </w:tr>
    </w:tbl>
    <w:p>
      <w:pPr>
        <w:spacing w:after="80" w:before="4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Source: Paper p.1151: 'study required an estimated sample size of 720 patients (360 per group) to detect a 25% reduction in the hazard ratio for death…with 90% power…significance level of 0·05 and on the assumption of 8 months median overall survival in the mitoxantrone group'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4.5  Significance Level and Interim Analyses</w:t>
      </w:r>
    </w:p>
    <w:p>
      <w:pPr>
        <w:pBdr>
          <w:left w:val="single" w:color="7030A0" w:sz="10"/>
        </w:pBdr>
        <w:shd w:fill="EAE0F5" w:val="clear"/>
        <w:spacing w:after="60" w:before="6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7030A0"/>
          <w:sz w:val="20"/>
          <w:szCs w:val="20"/>
        </w:rPr>
        <w:t xml:space="preserve">CORRECTION (Protocol vs Paper):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30A0"/>
          <w:sz w:val="20"/>
          <w:szCs w:val="20"/>
        </w:rPr>
        <w:t xml:space="preserve">Protocol: Protocol final alpha = 0.0476 — Paper confirmed: Paper states final two-sided significance level = 0.0452 (paper p.1151). SAP uses paper value.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640"/>
        <w:gridCol w:w="2400"/>
      </w:tblGrid>
      <w:tr>
        <w:tc>
          <w:tcPr>
            <w:tcW w:type="dxa" w:w="2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Analysis</w:t>
            </w:r>
          </w:p>
        </w:tc>
        <w:tc>
          <w:tcPr>
            <w:tcW w:type="dxa" w:w="2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Planned Trigger</w:t>
            </w:r>
          </w:p>
        </w:tc>
        <w:tc>
          <w:tcPr>
            <w:tcW w:type="dxa" w:w="26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Actual Trigger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Alpha (2-sided)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PFS Futility IA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225 PFS events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225 PFS events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OS alpha consumed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OS Interim Analysis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307 OS deaths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365 OS deaths (actual)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0.016 (O'Brien-Fleming adjusted)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OS Final Analysis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511 OS deaths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513 at cutoff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0.0452 (paper confirmed)</w:t>
            </w:r>
          </w:p>
        </w:tc>
      </w:tr>
    </w:tbl>
    <w:p>
      <w:pPr>
        <w:spacing w:after="80" w:before="4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Source: Paper p.1151: 'interim analysis…planned after 307 events, but was actually done after 365 events with an adjusted significance level of 0·016… A two-sided significance level of 0·0452 was used for the final analysis'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For this secondary analysis: conventional α=0.05 (two-sided) for all formal tests. Sanofi alpha thresholds documented above for ADRG annotation.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4.6  Multiplicity Control — Hierarchical Gatekeeping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80"/>
        <w:gridCol w:w="1680"/>
        <w:gridCol w:w="3600"/>
      </w:tblGrid>
      <w:tr>
        <w:tc>
          <w:tcPr>
            <w:tcW w:type="dxa" w:w="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3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Alpha</w:t>
            </w:r>
          </w:p>
        </w:tc>
        <w:tc>
          <w:tcPr>
            <w:tcW w:type="dxa" w:w="3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Gate Rule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Overall Survival (primary)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0.05 (2-sided)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Must be significant to proceed to Step 2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Progression-Free Survival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0.05 (2-sided)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Step 1 must be significant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PSA Response Rate (PSA ≥20 μg/L subset)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0.05 (2-sided)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Step 2 must be significant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ORR per RECIST v1.0 (measurable subset)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0.05 (2-sided)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Step 3 must be significant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others: pain, TTPSA, TTPAIN, subgroups, Optimus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Exploratory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alpha protection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4.7  OS Sensitivity Analyses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RMST at τ=12 months: addresses non-proportional hazards. Report RMST per arm, difference (CbzP−MP), 95% CI, p-value. SAS: PROC LIFETEST RMST=(365.25); R: survRM2::rmst2(tau=365.25).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Landmark at 6 and 12 months: proportion alive beyond landmark per arm; two-sided chi-square test.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4.8  OS Death Count Reconciliation Note</w:t>
      </w:r>
    </w:p>
    <w:p>
      <w:pPr>
        <w:pBdr>
          <w:left w:val="single" w:color="375623" w:sz="10"/>
        </w:pBdr>
        <w:shd w:fill="E2EFDA" w:val="clear"/>
        <w:spacing w:after="60" w:before="6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AUDIT FIX (v2→v3, Error #11):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5623"/>
          <w:sz w:val="20"/>
          <w:szCs w:val="20"/>
        </w:rPr>
        <w:t xml:space="preserve">OS deaths (ITT, n=755) = 513 (234 CbzP + 279 MP). Safety population deaths (n=742) per Table 5 = 227 CbzP + 275 MP = 502. Difference = 11 deaths. Explanation: 7 patients in each arm were randomized (ITT) but never received study drug (excluded from safety population). These 11 patients are counted in OS (ITT-based) but not in Table 5 (safety-based). Do NOT treat this as a data error. Document in ADRG.</w:t>
      </w:r>
    </w:p>
    <w:p>
      <w:r>
        <w:br w:type="page"/>
      </w:r>
    </w:p>
    <w:p>
      <w:pPr>
        <w:pStyle w:val="Heading1"/>
        <w:shd w:fill="1F3864" w:val="clear"/>
        <w:spacing w:after="180" w:before="32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5  SECONDARY EFFICACY ENDPOINTS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5.1  Progression-Free Survival (PFS) — Composite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5.1.1  Definition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PFS: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Time from randomization to the FIRST of: (1) PSA progression, (2) tumour progression by RECIST, (3) pain/symptomatic progression, OR (4) death from any cause.</w:t>
      </w:r>
    </w:p>
    <w:p>
      <w:pPr>
        <w:spacing w:after="80" w:before="4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Source: Paper p.1150: 'composite endpoint of progression-free survival, defined as the time between randomisation and the first date of progression as measured by PSA progression, tumour progression, pain progression, or death'; Figure 3 caption: 'PSA progression, radiological progression, symptomatic progression, or death'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Bdr>
          <w:left w:val="single" w:color="C00000" w:sz="14"/>
        </w:pBdr>
        <w:shd w:fill="FFF2CC" w:val="clear"/>
        <w:spacing w:after="80" w:before="8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1"/>
          <w:szCs w:val="21"/>
        </w:rPr>
        <w:t xml:space="preserve">PAIN AS PFS COMPONENT: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21"/>
          <w:szCs w:val="21"/>
        </w:rPr>
        <w:t xml:space="preserve">Pain progression contributes to the PFS composite ONLY when supported by concurrent clinical and/or radiological evidence of disease progression. Isolated pain score changes without supporting disease evidence → record in ADRS (PARAMCD='PAINPROG') but do NOT trigger PFS event in ADTTE (set CNSR=1).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Published: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Median PFS CbzP 2.8 months (95% CI 2.4–3.0) vs. MP 1.4 months (1.4–1.7); HR 0.74 (0.64–0.86), p&lt;0.0001.</w:t>
      </w:r>
    </w:p>
    <w:p>
      <w:pPr>
        <w:spacing w:after="80" w:before="4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Source: Paper p.1151 and Figure 3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5.1.2  PFS Censoring (Priority Order)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840"/>
        <w:gridCol w:w="1680"/>
        <w:gridCol w:w="3360"/>
      </w:tblGrid>
      <w:tr>
        <w:tc>
          <w:tcPr>
            <w:tcW w:type="dxa" w:w="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38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CNSR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Documented PFS event — any component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 (Event)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Date of first component event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post-baseline tumour assessment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(Censored)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ADSL.RANDDT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New anti-cancer therapy before PD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(Censored)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ADCM.NACTDT − 1 day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Discontinued without PD; last evaluable assessment available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(Censored)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Last evaluable assessment date</w:t>
            </w:r>
          </w:p>
        </w:tc>
      </w:tr>
      <w:tr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Alive, no PD at cut-off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(Censored)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min(LSTALVDT, '25SEP2009'd)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5.1.3  PFS Sensitivity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ANL02FL-based: exclude all assessments on or after ADCM.NACTDT. Recalculate PFS event and censoring date.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5.2  PSA Endpoints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5.2.1  PSA Response Rate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Eligible: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Baseline PSA ≥20 μg/L. N: 325 MP, 329 CbzP (note: PSA data available for 370 MP, 371 CbzP; Table 1 footnote *).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Definition: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PSA decline ≥50% from baseline confirmed by repeat PSA ≥3 weeks (≥21 days) later.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Published: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17.8% (13.7–22.0) MP vs. 39.2% (33.9–44.5) CbzP, p=0.0002.</w:t>
      </w:r>
    </w:p>
    <w:p>
      <w:pPr>
        <w:spacing w:after="80" w:before="4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Source: Paper p.1150; Table 3 footnote: 'confirmed by a repeat PSA measurement after at least 3 weeks'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5.2.2  PSA Progression</w:t>
      </w:r>
    </w:p>
    <w:p>
      <w:pPr>
        <w:pBdr>
          <w:left w:val="single" w:color="375623" w:sz="10"/>
        </w:pBdr>
        <w:shd w:fill="E2EFDA" w:val="clear"/>
        <w:spacing w:after="60" w:before="6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AUDIT FIX (v2→v3, Error #2):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5623"/>
          <w:sz w:val="20"/>
          <w:szCs w:val="20"/>
        </w:rPr>
        <w:t xml:space="preserve">v2.0 incorrectly applied the ≥5 μg/L absolute floor to PSA RESPONDERS. Paper p.1150 states: 'increase of ≥25% over nadir PSA concentration provided that the increase in the absolute PSA value was ≥5 μg/L for men with no PSA response, OR ≥50% over nadir for PSA responders.' The ≥5 μg/L floor applies ONLY to non-responders. Responders: ≥50% over nadir only, no absolute floor.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120"/>
      </w:tblGrid>
      <w:tr>
        <w:tc>
          <w:tcPr>
            <w:tcW w:type="dxa" w:w="32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Patient Category</w:t>
            </w:r>
          </w:p>
        </w:tc>
        <w:tc>
          <w:tcPr>
            <w:tcW w:type="dxa" w:w="6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PSA Progression Definition (paper p.1150 exact)</w:t>
            </w:r>
          </w:p>
        </w:tc>
      </w:tr>
      <w:tr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Non-responders (no ≥50% PSA decline)</w:t>
            </w:r>
          </w:p>
        </w:tc>
        <w:tc>
          <w:tcPr>
            <w:tcW w:type="dxa" w:w="6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Rise ≥25% over nadir AND absolute increase ≥5 μg/L above nadir. Confirmed on repeat measurement ≥1 week later. [≥5 μg/L floor applies HERE ONLY]</w:t>
            </w:r>
          </w:p>
        </w:tc>
      </w:tr>
      <w:tr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PSA Responders (achieved confirmed ≥50% decline)</w:t>
            </w:r>
          </w:p>
        </w:tc>
        <w:tc>
          <w:tcPr>
            <w:tcW w:type="dxa" w:w="6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Rise ≥50% over nadir. Confirmed on repeat measurement ≥1 week later. [NO absolute floor required for responders]</w:t>
            </w:r>
          </w:p>
        </w:tc>
      </w:tr>
    </w:tbl>
    <w:p>
      <w:pPr>
        <w:spacing w:after="80" w:before="4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Source: Paper p.1150: 'PSA progression (increase of ≥25% over nadir PSA concentration provided that the increase in the absolute PSA value was ≥5 μg/L for men with no PSA response, or ≥50% over nadir for PSA responders)'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Confirmation requirement: ≥1 week (protocol §9.1.2.1). Not stated in paper; conservative protocol rule applied; document in ADRG.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Published: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Median TTPSA CbzP 6.4 months (IQR 2.2–10.1) vs. MP 3.1 months (0.9–9.1); HR 0.75 (0.63–0.90), p=0.001.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5.3  Tumour Response (RECIST v1.0)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5.3.1  Assessment Schedule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CT or MRI at baseline, end of each EVEN-NUMBERED cycle (Cycles 2, 4, 6, 8, 10), when PD suspected, and at end of treatment. Same modality throughout per subject.</w:t>
      </w:r>
    </w:p>
    <w:p>
      <w:pPr>
        <w:spacing w:after="80" w:before="4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Source: Protocol §9.1.2.2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5.3.2  RECIST v1.0 Response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800"/>
        <w:gridCol w:w="3600"/>
        <w:gridCol w:w="2880"/>
      </w:tblGrid>
      <w:tr>
        <w:tc>
          <w:tcPr>
            <w:tcW w:type="dxa" w:w="1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Response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Lesion Type</w:t>
            </w:r>
          </w:p>
        </w:tc>
        <w:tc>
          <w:tcPr>
            <w:tcW w:type="dxa" w:w="3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28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Reference</w:t>
            </w:r>
          </w:p>
        </w:tc>
      </w:tr>
      <w:tr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Target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Disappearance of ALL target lesions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Target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≥30% decrease in sum of longest diameters (LD)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Baseline sum LD</w:t>
            </w:r>
          </w:p>
        </w:tc>
      </w:tr>
      <w:tr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Target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≥20% increase in sum LD OR new lesion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Nadir sum LD on study</w:t>
            </w:r>
          </w:p>
        </w:tc>
      </w:tr>
      <w:tr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Target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Neither PR nor PD; must persist ≥35 days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Nadir</w:t>
            </w:r>
          </w:p>
        </w:tc>
      </w:tr>
      <w:tr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Non-target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Disappearance of ALL + marker normalisation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IR/SD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Non-target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Persistence of ≥1 non-target lesion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Non-target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Unequivocal progression OR new lesion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4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Source: Therasse et al. J Natl Cancer Inst 2000 (RECIST v1.0) — paper ref 14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5.3.3  Overall Response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520"/>
        <w:gridCol w:w="1680"/>
        <w:gridCol w:w="3000"/>
      </w:tblGrid>
      <w:tr>
        <w:tc>
          <w:tcPr>
            <w:tcW w:type="dxa" w:w="2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25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Non-Target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New Lesions</w:t>
            </w:r>
          </w:p>
        </w:tc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Overall Response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CR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IR/SD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Non-PD / NE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SD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Non-PD / NE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SD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PD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Any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Yes/No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PD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Any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PD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Yes/No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PD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Any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Any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Confirmation requirement: CR/PR ≥4 weeks after first criteria met (recommended ≥6 weeks for CR). SD ≥35 days from study entry.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Published ORR: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4.4% (1.6–7.2) MP vs. 14.4% (9.6–19.3) CbzP, p=0.0005.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Published TTUMOR: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Median 5.4 months (IQR 2.3–10.0) MP vs. 8.8 months (IQR 3.9–12.0) CbzP; HR 0.61 (0.49–0.76), p&lt;0.0001.</w:t>
      </w:r>
    </w:p>
    <w:p>
      <w:pPr>
        <w:spacing w:after="80" w:before="4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Source: Paper Table 3</w:t>
      </w:r>
    </w:p>
    <w:p>
      <w:r>
        <w:br w:type="page"/>
      </w:r>
    </w:p>
    <w:p>
      <w:pPr>
        <w:pStyle w:val="Heading1"/>
        <w:shd w:fill="1F3864" w:val="clear"/>
        <w:spacing w:after="180" w:before="32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6  PAIN ENDPOINTS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6.1  Assessment Instruments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McGill-Melzack PPI scale: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Daily patient self-report for 7 days prior to each visit. Median PPI at visit = median of available daily values (subject to 5/7 rule).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Analgesic Score (AS):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Mean daily analgesic consumption over 7 days pre-visit, normalised to oral morphine equivalents per Protocol Appendix G conversion table.</w:t>
      </w:r>
    </w:p>
    <w:p>
      <w:pPr>
        <w:spacing w:after="80" w:before="4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Source: Paper p.1150: 'Pain was assessed with the McGill-Melzack present pain intensity (PPI) scale and analgesic use was derived from consumption normalised to morphine equivalents'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6.2  Evaluability Rule — 5-of-7</w:t>
      </w:r>
    </w:p>
    <w:p>
      <w:pPr>
        <w:pBdr>
          <w:left w:val="single" w:color="C00000" w:sz="14"/>
        </w:pBdr>
        <w:shd w:fill="FFF2CC" w:val="clear"/>
        <w:spacing w:after="80" w:before="8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1"/>
          <w:szCs w:val="21"/>
        </w:rPr>
        <w:t xml:space="preserve">MANDATORY 5/7: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21"/>
          <w:szCs w:val="21"/>
        </w:rPr>
        <w:t xml:space="preserve">Median PPI and mean AS computed ONLY if ≥5 of the 7 expected daily values are available at that visit. Fewer than 5 = patient NOT EVALUABLE at that timepoint.</w:t>
      </w:r>
    </w:p>
    <w:p>
      <w:pPr>
        <w:spacing w:after="80" w:before="4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Source: Paper Table 3 footnote §: 'Data for 265 patients in the cabazitaxel group and 279 patients in the mitoxantrone group were censored as a result of more than two PPI or AS assessments, or both, being missed during the same week (unless a complete evaluation of ≥5 values showed pain progression)'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6.3  Baseline Pain Classification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PAINBL='Y': baseline median PPI ≥2 OR baseline mean AS ≥10, with ≥5/7 daily values available. Confirmed N: 168 MP, 174 CbzP (paper Table 1 footnote †; Table 3).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1"/>
          <w:szCs w:val="21"/>
        </w:rPr>
        <w:t xml:space="preserve">ADaM: ADSL.PAINBL='Y'.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6.4  Pain Response</w:t>
      </w:r>
    </w:p>
    <w:p>
      <w:pPr>
        <w:pBdr>
          <w:left w:val="single" w:color="C00000" w:sz="14"/>
        </w:pBdr>
        <w:shd w:fill="FFF2CC" w:val="clear"/>
        <w:spacing w:after="80" w:before="8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1"/>
          <w:szCs w:val="21"/>
        </w:rPr>
        <w:t xml:space="preserve">PAINBL='Y' SUBSET ONLY: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21"/>
          <w:szCs w:val="21"/>
        </w:rPr>
        <w:t xml:space="preserve">Applies only to 168 MP + 174 CbzP patients.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Criterion 1 (PPI-based):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≥2-point reduction from baseline median PPI WITHOUT increase in AS, maintained ≥3 weeks.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Criterion 2 (AS-based, for patients with baseline AS ≥10):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≥50% decrease in mean AS without increase in pain (PPI), maintained ≥3 weeks.</w:t>
      </w:r>
    </w:p>
    <w:p>
      <w:pPr>
        <w:spacing w:after="80" w:before="4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Source: Paper p.1150: 'reduction of 2 points or more from baseline median PPI score without increasing analgesic score, or decreases of more than 50% in analgesic use without an increase in pain, maintained for 3 or more weeks'; Table 3 footnote: 'maintained for at least 3 weeks'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Published: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7.7% (3.7–11.8) MP vs. 9.2% (4.9–13.5) CbzP, p=0.63 — not significant.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6.5  Pain Progression</w:t>
      </w:r>
    </w:p>
    <w:p>
      <w:pPr>
        <w:pBdr>
          <w:left w:val="single" w:color="375623" w:sz="10"/>
        </w:pBdr>
        <w:shd w:fill="E2EFDA" w:val="clear"/>
        <w:spacing w:after="60" w:before="6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AUDIT FIX (v2→v3, Error #3):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5623"/>
          <w:sz w:val="20"/>
          <w:szCs w:val="20"/>
        </w:rPr>
        <w:t xml:space="preserve">v2.0 stated Criterion 1 as 'FROM NADIR'. Paper p.1150 states 'increase in median PPI score of ≥1 point from the reference value'. Reference value = baseline PPI (consistent with PCWG2 conventions used in this era). Corrected below.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Any ONE of the following three criteria (all ITT patients):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Criterion 1 (PPI increase):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≥1-point increase in median PPI from the REFERENCE VALUE (= baseline PPI), on 2 consecutive evaluable visits ≥3 weeks apart.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Criterion 2 (AS increase):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≥25% increase in mean AS compared to BASELINE, on 2 consecutive evaluable visits ≥3 weeks apart.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Criterion 3 (palliative RT):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Requirement for palliative radiotherapy to treat pain (recorded in ADCM).</w:t>
      </w:r>
    </w:p>
    <w:p>
      <w:pPr>
        <w:spacing w:after="80" w:before="4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Source: Paper p.1150: 'pain progression (increase in median PPI score of ≥1 point from the reference value or an increase of ≥25% in the mean analgesic score or requirement for palliative radiotherapy)'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Bdr>
          <w:left w:val="single" w:color="C00000" w:sz="14"/>
        </w:pBdr>
        <w:shd w:fill="FFF2CC" w:val="clear"/>
        <w:spacing w:after="80" w:before="8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1"/>
          <w:szCs w:val="21"/>
        </w:rPr>
        <w:t xml:space="preserve">PFS GATE: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21"/>
          <w:szCs w:val="21"/>
        </w:rPr>
        <w:t xml:space="preserve">Pain progression used as PFS event component ONLY with supporting clinical/radiological disease progression evidence. Isolated pain changes without disease evidence → ADRS PAINPROG record only; CNSR=1 in ADTTE PFS.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Published TTPAIN: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Median CbzP 11.1 months (IQR 2.9–not reached) vs. MP not reached; HR 0.91 (0.69–1.19), p=0.52 — not significant.</w:t>
      </w:r>
    </w:p>
    <w:p>
      <w:r>
        <w:br w:type="page"/>
      </w:r>
    </w:p>
    <w:p>
      <w:pPr>
        <w:pStyle w:val="Heading1"/>
        <w:shd w:fill="1F3864" w:val="clear"/>
        <w:spacing w:after="180" w:before="32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7  SAFETY ANALYSIS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7.1  Population, Denominator, Collection Window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Safety population: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N=371 per arm (all-treated). Treatment = actually received arm.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AE window: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First dose through 30 days after last cycle.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SAE window: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Informed consent through 30 days after last dose.</w:t>
      </w:r>
    </w:p>
    <w:p>
      <w:pPr>
        <w:spacing w:after="80" w:before="4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Source: Paper: 'Safety analyses included patients who received at least part of one dose'; Protocol §13.4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7.2  TEAE Definition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TEAE: first occurrence or grade worsening on/after Day 1 of first dose AND on/before 30 days after last dose date.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1"/>
          <w:szCs w:val="21"/>
        </w:rPr>
        <w:t xml:space="preserve">ADaM: ADAE.TRTEMFL='Y'. Primary source: SUPPAE.AETRTEM='T'. Validate: ASTDT ≥ TRTSDT AND ASTDT ≤ datepart(TRTEDTM)+30.</w:t>
      </w:r>
    </w:p>
    <w:p>
      <w:pPr>
        <w:spacing w:after="80" w:before="4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Source: Protocol §13.4.4.1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7.3  AE Grading, Coding, and Listing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Grading: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NCI CTCAE v3.0 (paper Table 4 footnote confirmed).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Coding: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MedDRA v12.0 (paper Table 4 footnote ref 17; Define XML AEDICTVS='MEDDRA120').</w:t>
      </w:r>
    </w:p>
    <w:p>
      <w:pPr>
        <w:pBdr>
          <w:left w:val="single" w:color="375623" w:sz="10"/>
        </w:pBdr>
        <w:shd w:fill="E2EFDA" w:val="clear"/>
        <w:spacing w:after="60" w:before="6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AUDIT FIX (v2→v3, Error #9):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5623"/>
          <w:sz w:val="20"/>
          <w:szCs w:val="20"/>
        </w:rPr>
        <w:t xml:space="preserve">v2.0 did not document the Table 4 listing threshold. Paper Table 4 footnote states: (1) Events listed are those occurring at grade ≥3 severity in ≥1% of patients in EITHER treatment group. (2) Grade ≥3 events include those leading to death (grade 5). (3) Haematological AE data based on laboratory assessments — not AE reported terms. These three rules must govern ADAE/ADLB output table construction.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7.4  Discontinuation Reasons (ADEX / ADSL Source)</w:t>
      </w:r>
    </w:p>
    <w:p>
      <w:pPr>
        <w:pBdr>
          <w:left w:val="single" w:color="375623" w:sz="10"/>
        </w:pBdr>
        <w:shd w:fill="E2EFDA" w:val="clear"/>
        <w:spacing w:after="60" w:before="6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AUDIT FIX (v2→v3, Error #12):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5623"/>
          <w:sz w:val="20"/>
          <w:szCs w:val="20"/>
        </w:rPr>
        <w:t xml:space="preserve">v2.0 did not document discontinuation data from Table 2. Added here as ADEX and ADSL derivation source.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40"/>
        <w:gridCol w:w="2640"/>
        <w:gridCol w:w="2880"/>
      </w:tblGrid>
      <w:tr>
        <w:tc>
          <w:tcPr>
            <w:tcW w:type="dxa" w:w="38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Reason for Discontinuation</w:t>
            </w:r>
          </w:p>
        </w:tc>
        <w:tc>
          <w:tcPr>
            <w:tcW w:type="dxa" w:w="26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MP n=377 (%)</w:t>
            </w:r>
          </w:p>
        </w:tc>
        <w:tc>
          <w:tcPr>
            <w:tcW w:type="dxa" w:w="28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CbzP n=378 (%)</w:t>
            </w:r>
          </w:p>
        </w:tc>
      </w:tr>
      <w:tr>
        <w:tc>
          <w:tcPr>
            <w:tcW w:type="dxa" w:w="3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Discontinued study treatment (any reason)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325 (86%)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266 (70%)</w:t>
            </w:r>
          </w:p>
        </w:tc>
      </w:tr>
      <w:tr>
        <w:tc>
          <w:tcPr>
            <w:tcW w:type="dxa" w:w="3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— Disease progression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267 (71%)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180 (48%)</w:t>
            </w:r>
          </w:p>
        </w:tc>
      </w:tr>
      <w:tr>
        <w:tc>
          <w:tcPr>
            <w:tcW w:type="dxa" w:w="3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— Adverse event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32 (8%)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67 (18%)</w:t>
            </w:r>
          </w:p>
        </w:tc>
      </w:tr>
      <w:tr>
        <w:tc>
          <w:tcPr>
            <w:tcW w:type="dxa" w:w="3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— Non-compliance with protocol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(&lt;1%)</w:t>
            </w:r>
          </w:p>
        </w:tc>
      </w:tr>
      <w:tr>
        <w:tc>
          <w:tcPr>
            <w:tcW w:type="dxa" w:w="3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— Lost to follow-up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(1%)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— Patient request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 (5%)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 (2%)</w:t>
            </w:r>
          </w:p>
        </w:tc>
      </w:tr>
      <w:tr>
        <w:tc>
          <w:tcPr>
            <w:tcW w:type="dxa" w:w="3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— Other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 (2%)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 (3%)</w:t>
            </w:r>
          </w:p>
        </w:tc>
      </w:tr>
      <w:tr>
        <w:tc>
          <w:tcPr>
            <w:tcW w:type="dxa" w:w="3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Completed planned 10 cycles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46 (12%)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105 (28%)</w:t>
            </w:r>
          </w:p>
        </w:tc>
      </w:tr>
    </w:tbl>
    <w:p>
      <w:pPr>
        <w:spacing w:after="80" w:before="4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Source: Paper Table 2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7.5  Complete Safety Validation Targets — Tables 4 and 5</w:t>
      </w:r>
    </w:p>
    <w:p>
      <w:pPr>
        <w:pBdr>
          <w:left w:val="single" w:color="375623" w:sz="10"/>
        </w:pBdr>
        <w:shd w:fill="E2EFDA" w:val="clear"/>
        <w:spacing w:after="60" w:before="6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AUDIT FIX (v2→v3, Error #4):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5623"/>
          <w:sz w:val="20"/>
          <w:szCs w:val="20"/>
        </w:rPr>
        <w:t xml:space="preserve">v2.0 safety table was incomplete. All AE rows from paper Tables 4 and 5 added below. Denominators: n=371 per arm throughout.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Table 4 listing rule: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Only events with grade ≥3 severity in ≥1% of patients in either arm are listed. All-grade data shown for key events. Haematological events: source is laboratory data (ADLB), not AETERM.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40"/>
        <w:gridCol w:w="1440"/>
        <w:gridCol w:w="1440"/>
        <w:gridCol w:w="1440"/>
      </w:tblGrid>
      <w:tr>
        <w:tc>
          <w:tcPr>
            <w:tcW w:type="dxa" w:w="3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Adverse Event</w:t>
            </w:r>
          </w:p>
        </w:tc>
        <w:tc>
          <w:tcPr>
            <w:tcW w:type="dxa" w:w="14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MP Any</w:t>
            </w:r>
          </w:p>
        </w:tc>
        <w:tc>
          <w:tcPr>
            <w:tcW w:type="dxa" w:w="14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MP G≥3</w:t>
            </w:r>
          </w:p>
        </w:tc>
        <w:tc>
          <w:tcPr>
            <w:tcW w:type="dxa" w:w="14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CbzP Any</w:t>
            </w:r>
          </w:p>
        </w:tc>
        <w:tc>
          <w:tcPr>
            <w:tcW w:type="dxa" w:w="14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CbzP G≥3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HAEMATOLOGICAL (lab-based)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Neutropenia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88% (325)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58% (215)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94% (347)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82% (303)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Febrile neutropenia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1% (5)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8% (28)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Leukopenia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92% (343)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42% (157)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96% (355)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68% (253)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Anaemia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81% (302)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5% (18)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97% (361)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11% (39)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Thrombocytopenia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43% (160)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2% (6)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47% (176)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4% (15)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NON-HAEMATOLOGICAL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Diarrhoea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11% (39)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&lt;1% (1)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47% (173)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6% (23)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Fatigue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27% (102)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3% (11)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37% (136)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5% (18)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Nausea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23% (85)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&lt;1% (1)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34% (127)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2% (7)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Constipation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15% (57)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1% (2)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20% (76)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1% (4)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Vomiting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10% (38)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23% (84)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2% (7)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Asthenia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12% (46)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2% (9)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20% (76)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5% (17)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Back pain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12% (45)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3% (11)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16% (60)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4% (14)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Arthralgia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8% (31)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1% (4)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11% (39)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1% (4)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Pain in extremity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7% (27)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1% (4)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8% (30)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2% (6)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Haematuria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4% (14)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1% (2)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17% (62)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2% (7)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Abdominal pain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4% (13)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12% (43)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2% (7)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Dyspnoea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5% (17)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1% (3)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12% (44)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1% (5)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Pyrexia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6% (23)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&lt;1% (1)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12% (45)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1% (4)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Urinary tract infection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3% (11)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1% (3)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7% (27)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1% (4)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Pain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5% (18)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2% (7)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5% (20)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1% (4)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Bone pain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5% (19)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2% (9)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5% (19)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1% (3)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Peripheral neuropathy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3% (12)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1% (3)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14% (52)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1% (3)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Peripheral oedema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9% (34)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9% (34)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4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Source: Paper Table 4. G≥3 includes grade 5 (deaths from AE). Haematological events: laboratory data. '—': not separately reported in Table 4 for that grade.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7.5.1  Deaths — Complete Table 5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2400"/>
        <w:gridCol w:w="2640"/>
      </w:tblGrid>
      <w:tr>
        <w:tc>
          <w:tcPr>
            <w:tcW w:type="dxa" w:w="43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Death Parameter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MP (n=371 safety)</w:t>
            </w:r>
          </w:p>
        </w:tc>
        <w:tc>
          <w:tcPr>
            <w:tcW w:type="dxa" w:w="26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CbzP (n=371 safety)</w:t>
            </w:r>
          </w:p>
        </w:tc>
      </w:tr>
      <w:tr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 deaths during study (safety population)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275 (74%)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227 (61%)</w:t>
            </w:r>
          </w:p>
        </w:tc>
      </w:tr>
      <w:tr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Deaths ≤30 days after last dose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 (2%)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 (5%)</w:t>
            </w:r>
          </w:p>
        </w:tc>
      </w:tr>
      <w:tr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— Disease progression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 (2%)*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— Neutropenia and clinical consequences / sepsis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(&lt;1%)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 (2%)</w:t>
            </w:r>
          </w:p>
        </w:tc>
      </w:tr>
      <w:tr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— Cardiac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(1%)</w:t>
            </w:r>
          </w:p>
        </w:tc>
      </w:tr>
      <w:tr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— Renal failure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 (1%)</w:t>
            </w:r>
          </w:p>
        </w:tc>
      </w:tr>
      <w:tr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— Dyspnoea (investigator: disease progression)†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(&lt;1%)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— Dehydration / electrolyte imbalance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(&lt;1%)</w:t>
            </w:r>
          </w:p>
        </w:tc>
      </w:tr>
      <w:tr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— Cerebral haemorrhage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(&lt;1%)</w:t>
            </w:r>
          </w:p>
        </w:tc>
      </w:tr>
      <w:tr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— Unknown cause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(&lt;1%)</w:t>
            </w:r>
          </w:p>
        </w:tc>
      </w:tr>
      <w:tr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— Motor vehicle accident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(&lt;1%)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Deaths &gt;30 days after last dose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266 (72%)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209 (56%)</w:t>
            </w:r>
          </w:p>
        </w:tc>
      </w:tr>
    </w:tbl>
    <w:p>
      <w:pPr>
        <w:spacing w:after="80" w:before="4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Source: Paper Table 5. * Includes 3 patients whose death was reported as AE coded as disease progression. † Dyspnoea AE leading to death; investigator considered death related to disease progression.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7.6  G-CSF Policy</w:t>
      </w:r>
    </w:p>
    <w:p>
      <w:pPr>
        <w:pBdr>
          <w:left w:val="single" w:color="7030A0" w:sz="10"/>
        </w:pBdr>
        <w:shd w:fill="EAE0F5" w:val="clear"/>
        <w:spacing w:after="60" w:before="6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7030A0"/>
          <w:sz w:val="20"/>
          <w:szCs w:val="20"/>
        </w:rPr>
        <w:t xml:space="preserve">CORRECTION (Protocol vs Paper):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30A0"/>
          <w:sz w:val="20"/>
          <w:szCs w:val="20"/>
        </w:rPr>
        <w:t xml:space="preserve">Protocol: Protocol: mandatory G-CSF after Grade ≥3 febrile neutropenia — Paper confirmed: Paper p.1150: 'allowed (at physicians' discretion) after first occurrence of either neutropenia lasting 7 days or more OR neutropenia complicated by fever or infection'. SAP uses paper value.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G-CSF prohibited during Cycle 1 (all patients). Post-Cycle 1: discretionary per above trigger.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1"/>
          <w:szCs w:val="21"/>
        </w:rPr>
        <w:t xml:space="preserve">ADaM ADCM: GCSFFL='Y' = any G-CSF use; GCSFPRFL='Y' = prophylactic use. All Optimus ANC analyses stratify by GCSFFL.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7.7  OCCDS Episode Merging — Haematologic TEAEs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Apply OCCDS v1.1 episode logic per CQ02NAM (haematologic toxicity group):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Gap ≤3 days between AENDT of preceding record and ASTDT of next: MERGE into one episode. Retain CIAESEQ; mark secondary records AEOCCFL='N'.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Gap &gt;3 days: NEW episode. Increment CIAESEQ; AEOCCFL='Y' on first record of new episode.</w:t>
      </w:r>
    </w:p>
    <w:p>
      <w:pPr>
        <w:pBdr>
          <w:left w:val="single" w:color="C00000" w:sz="14"/>
        </w:pBdr>
        <w:shd w:fill="FFF2CC" w:val="clear"/>
        <w:spacing w:after="80" w:before="8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1"/>
          <w:szCs w:val="21"/>
        </w:rPr>
        <w:t xml:space="preserve">AEOCCFL: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21"/>
          <w:szCs w:val="21"/>
        </w:rPr>
        <w:t xml:space="preserve">AEOCCFL='Y' marks the FIRST record of each CIAESEQ — not just the first record of the entire CQ02NAM group. One 'Y' per CIAESEQ per subject per CQ02NAM.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7.8  Dose Exposure — Validation Targets for ADEX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80"/>
        <w:gridCol w:w="2520"/>
        <w:gridCol w:w="2760"/>
      </w:tblGrid>
      <w:tr>
        <w:tc>
          <w:tcPr>
            <w:tcW w:type="dxa" w:w="4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Exposure Parameter</w:t>
            </w:r>
          </w:p>
        </w:tc>
        <w:tc>
          <w:tcPr>
            <w:tcW w:type="dxa" w:w="25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MP</w:t>
            </w:r>
          </w:p>
        </w:tc>
        <w:tc>
          <w:tcPr>
            <w:tcW w:type="dxa" w:w="27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CbzP</w:t>
            </w:r>
          </w:p>
        </w:tc>
      </w:tr>
      <w:tr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Median cycles (IQR)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(IQR 2–7)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 (IQR 3–10)</w:t>
            </w:r>
          </w:p>
        </w:tc>
      </w:tr>
      <w:tr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Patients completing all 10 cycles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46 (12%)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105 (28%)</w:t>
            </w:r>
          </w:p>
        </w:tc>
      </w:tr>
      <w:tr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Patients receiving &gt;90% planned dose intensity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301 (81%)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282 (76%)</w:t>
            </w:r>
          </w:p>
        </w:tc>
      </w:tr>
      <w:tr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Median RDI % (IQR)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97.3% (92.0–99.3)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96.1% (90.1–98.9)</w:t>
            </w:r>
          </w:p>
        </w:tc>
      </w:tr>
      <w:tr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Patients with ≥1 dose reduction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 (4%)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45 (12%)</w:t>
            </w:r>
          </w:p>
        </w:tc>
      </w:tr>
      <w:tr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Dose reduction cycles / total cycles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88 / 1,736 (5%)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221 / 2,251 (10%)</w:t>
            </w:r>
          </w:p>
        </w:tc>
      </w:tr>
      <w:tr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Patients with any treatment delay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56 (15%)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104 (28%)</w:t>
            </w:r>
          </w:p>
        </w:tc>
      </w:tr>
      <w:tr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Delay cycles ≤9 days / total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110 (6%)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157 (7%)</w:t>
            </w:r>
          </w:p>
        </w:tc>
      </w:tr>
      <w:tr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Delay cycles &gt;9 days / total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28 (2%)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51 (2%)</w:t>
            </w:r>
          </w:p>
        </w:tc>
      </w:tr>
      <w:tr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Total treatment cycles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1,736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2,251</w:t>
            </w:r>
          </w:p>
        </w:tc>
      </w:tr>
    </w:tbl>
    <w:p>
      <w:pPr>
        <w:spacing w:after="80" w:before="4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Source: Paper Table 2. Note: delay and reduction percentages are % of total cycles, not % of patients.</w:t>
      </w:r>
    </w:p>
    <w:p>
      <w:r>
        <w:br w:type="page"/>
      </w:r>
    </w:p>
    <w:p>
      <w:pPr>
        <w:pStyle w:val="Heading1"/>
        <w:shd w:fill="1F3864" w:val="clear"/>
        <w:spacing w:after="180" w:before="32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8  SUBGROUP ANALYSES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8.1  Approach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All subgroup analyses: EXPLORATORY AND DESCRIPTIVE ONLY. No multiplicity adjustment. Primary output: forest plot of unstratified Cox PH HR (CbzP vs. MP) with 95% CI for OS (F-12-1) and PFS (F-12-2). Validation target: reproduce Lancet Figure 2B exactly.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8.2  Pre-Specified OS Subgroups — Lancet Figure 2B (Values Exact)</w:t>
      </w:r>
    </w:p>
    <w:p>
      <w:pPr>
        <w:pBdr>
          <w:left w:val="single" w:color="375623" w:sz="10"/>
        </w:pBdr>
        <w:shd w:fill="E2EFDA" w:val="clear"/>
        <w:spacing w:after="60" w:before="6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AUDIT FIX (v2→v3, Error #8):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5623"/>
          <w:sz w:val="20"/>
          <w:szCs w:val="20"/>
        </w:rPr>
        <w:t xml:space="preserve">v2.0 did not document subgroup N footnotes. Several subgroups do not sum to 755: Pain (374+342=716; 39 missing), PSA status (159+583=742; 13 unknown), Docetaxel dose (747; 8 unknown). These are expected and documented here. Do not treat as data errors.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1320"/>
        <w:gridCol w:w="2760"/>
        <w:gridCol w:w="2640"/>
      </w:tblGrid>
      <w:tr>
        <w:tc>
          <w:tcPr>
            <w:tcW w:type="dxa" w:w="26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Subgroup</w:t>
            </w:r>
          </w:p>
        </w:tc>
        <w:tc>
          <w:tcPr>
            <w:tcW w:type="dxa" w:w="13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N†</w:t>
            </w:r>
          </w:p>
        </w:tc>
        <w:tc>
          <w:tcPr>
            <w:tcW w:type="dxa" w:w="27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OS HR (95% CI)</w:t>
            </w:r>
          </w:p>
        </w:tc>
        <w:tc>
          <w:tcPr>
            <w:tcW w:type="dxa" w:w="26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ADSL Variable</w:t>
            </w:r>
          </w:p>
        </w:tc>
      </w:tr>
      <w:tr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All randomised</w:t>
            </w:r>
          </w:p>
        </w:tc>
        <w:tc>
          <w:tcPr>
            <w:tcW w:type="dxa" w:w="1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755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0.70 (0.59–0.83)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Full ITT</w:t>
            </w:r>
          </w:p>
        </w:tc>
      </w:tr>
      <w:tr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ECOG PS 0–1</w:t>
            </w:r>
          </w:p>
        </w:tc>
        <w:tc>
          <w:tcPr>
            <w:tcW w:type="dxa" w:w="1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694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0.68 (0.57–0.82)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ECOGBLN IN (0,1)</w:t>
            </w:r>
          </w:p>
        </w:tc>
      </w:tr>
      <w:tr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ECOG PS 2</w:t>
            </w:r>
          </w:p>
        </w:tc>
        <w:tc>
          <w:tcPr>
            <w:tcW w:type="dxa" w:w="1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61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0.81 (0.48–1.38)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ECOGBLN=2</w:t>
            </w:r>
          </w:p>
        </w:tc>
      </w:tr>
      <w:tr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Non-measurable disease</w:t>
            </w:r>
          </w:p>
        </w:tc>
        <w:tc>
          <w:tcPr>
            <w:tcW w:type="dxa" w:w="1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350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0.72 (0.55–0.93)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MEASDISFL='N'</w:t>
            </w:r>
          </w:p>
        </w:tc>
      </w:tr>
      <w:tr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Measurable disease</w:t>
            </w:r>
          </w:p>
        </w:tc>
        <w:tc>
          <w:tcPr>
            <w:tcW w:type="dxa" w:w="1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405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0.68 (0.54–0.85)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MEASDISFL='Y'</w:t>
            </w:r>
          </w:p>
        </w:tc>
      </w:tr>
      <w:tr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Prior chemo regimens: 1</w:t>
            </w:r>
          </w:p>
        </w:tc>
        <w:tc>
          <w:tcPr>
            <w:tcW w:type="dxa" w:w="1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528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0.67 (0.55–0.83)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NPRCHEMO=1</w:t>
            </w:r>
          </w:p>
        </w:tc>
      </w:tr>
      <w:tr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Prior chemo regimens: ≥2</w:t>
            </w:r>
          </w:p>
        </w:tc>
        <w:tc>
          <w:tcPr>
            <w:tcW w:type="dxa" w:w="1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227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0.75 (0.55–1.02)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NPRCHEMO GE 2</w:t>
            </w:r>
          </w:p>
        </w:tc>
      </w:tr>
      <w:tr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Age &lt;65 years</w:t>
            </w:r>
          </w:p>
        </w:tc>
        <w:tc>
          <w:tcPr>
            <w:tcW w:type="dxa" w:w="1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295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0.81 (0.61–1.08)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AGEGR1='&lt;65'</w:t>
            </w:r>
          </w:p>
        </w:tc>
      </w:tr>
      <w:tr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Age ≥65 years</w:t>
            </w:r>
          </w:p>
        </w:tc>
        <w:tc>
          <w:tcPr>
            <w:tcW w:type="dxa" w:w="1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460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0.62 (0.50–0.78)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AGEGR1='&gt;=65'</w:t>
            </w:r>
          </w:p>
        </w:tc>
      </w:tr>
      <w:tr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pain at baseline†a</w:t>
            </w:r>
          </w:p>
        </w:tc>
        <w:tc>
          <w:tcPr>
            <w:tcW w:type="dxa" w:w="1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374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0.55 (0.42–0.72)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PAINBL='N'</w:t>
            </w:r>
          </w:p>
        </w:tc>
      </w:tr>
      <w:tr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Pain at baseline†a</w:t>
            </w:r>
          </w:p>
        </w:tc>
        <w:tc>
          <w:tcPr>
            <w:tcW w:type="dxa" w:w="1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342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0.77 (0.61–0.98)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PAINBL='Y'</w:t>
            </w:r>
          </w:p>
        </w:tc>
      </w:tr>
      <w:tr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rising PSA at baseline†b</w:t>
            </w:r>
          </w:p>
        </w:tc>
        <w:tc>
          <w:tcPr>
            <w:tcW w:type="dxa" w:w="1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159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0.88 (0.61–1.26)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RISEPSAFL='N'</w:t>
            </w:r>
          </w:p>
        </w:tc>
      </w:tr>
      <w:tr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Rising PSA at baseline†b</w:t>
            </w:r>
          </w:p>
        </w:tc>
        <w:tc>
          <w:tcPr>
            <w:tcW w:type="dxa" w:w="1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583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0.65 (0.53–0.80)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RISEPSAFL='Y'</w:t>
            </w:r>
          </w:p>
        </w:tc>
      </w:tr>
      <w:tr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Prior docetaxel &lt;225 mg/m²†c</w:t>
            </w:r>
          </w:p>
        </w:tc>
        <w:tc>
          <w:tcPr>
            <w:tcW w:type="dxa" w:w="1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59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0.96 (0.49–1.86)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TOTDOC_GRP='&lt;225'</w:t>
            </w:r>
          </w:p>
        </w:tc>
      </w:tr>
      <w:tr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Prior docetaxel ≥225–&lt;450 mg/m²†c</w:t>
            </w:r>
          </w:p>
        </w:tc>
        <w:tc>
          <w:tcPr>
            <w:tcW w:type="dxa" w:w="1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206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0.60 (0.43–0.84)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TOTDOC_GRP='225&lt;450'</w:t>
            </w:r>
          </w:p>
        </w:tc>
      </w:tr>
      <w:tr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Prior docetaxel ≥450–&lt;675 mg/m²†c</w:t>
            </w:r>
          </w:p>
        </w:tc>
        <w:tc>
          <w:tcPr>
            <w:tcW w:type="dxa" w:w="1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217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0.83 (0.60–1.16)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TOTDOC_GRP='450&lt;675'</w:t>
            </w:r>
          </w:p>
        </w:tc>
      </w:tr>
      <w:tr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Prior docetaxel ≥675–&lt;900 mg/m²†c</w:t>
            </w:r>
          </w:p>
        </w:tc>
        <w:tc>
          <w:tcPr>
            <w:tcW w:type="dxa" w:w="1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131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0.73 (0.48–1.10)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TOTDOC_GRP='675&lt;900'</w:t>
            </w:r>
          </w:p>
        </w:tc>
      </w:tr>
      <w:tr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Prior docetaxel ≥900 mg/m²†c</w:t>
            </w:r>
          </w:p>
        </w:tc>
        <w:tc>
          <w:tcPr>
            <w:tcW w:type="dxa" w:w="1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134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0.51 (0.33–0.79)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TOTDOC_GRP='&gt;=900'</w:t>
            </w:r>
          </w:p>
        </w:tc>
      </w:tr>
      <w:tr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Progression during docetaxel</w:t>
            </w:r>
          </w:p>
        </w:tc>
        <w:tc>
          <w:tcPr>
            <w:tcW w:type="dxa" w:w="1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219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0.65 (0.47–0.90)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DOCPROG='DURING'</w:t>
            </w:r>
          </w:p>
        </w:tc>
      </w:tr>
      <w:tr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Progression &lt;3 months after last dose</w:t>
            </w:r>
          </w:p>
        </w:tc>
        <w:tc>
          <w:tcPr>
            <w:tcW w:type="dxa" w:w="1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339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0.70 (0.55–0.91)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DOCPROG='&lt;3MO'</w:t>
            </w:r>
          </w:p>
        </w:tc>
      </w:tr>
      <w:tr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Progression ≥3 months after last dose</w:t>
            </w:r>
          </w:p>
        </w:tc>
        <w:tc>
          <w:tcPr>
            <w:tcW w:type="dxa" w:w="1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192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0.75 (0.51–1.11)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DOCPROG='&gt;=3MO'</w:t>
            </w:r>
          </w:p>
        </w:tc>
      </w:tr>
    </w:tbl>
    <w:p>
      <w:pPr>
        <w:spacing w:after="80" w:before="4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Source: de Bono et al. Lancet 2010 Figure 2B — all HR values extracted verbatim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1"/>
          <w:szCs w:val="21"/>
        </w:rPr>
        <w:t xml:space="preserve">†a Pain subgroup: 374+342=716; 39 patients not evaluable for pain baseline classification. †b PSA subgroup: 159+583=742; 13 patients PSA status unknown. †c Docetaxel dose subgroup: 59+206+217+131+134=747; 8 patients with unknown total docetaxel dose.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1"/>
          <w:szCs w:val="21"/>
        </w:rPr>
        <w:t xml:space="preserve">Validation criterion: forest plot must reproduce all 21 HR values above within ±0.02. All 21 verified against paper Figure 2B.</w:t>
      </w:r>
    </w:p>
    <w:p>
      <w:r>
        <w:br w:type="page"/>
      </w:r>
    </w:p>
    <w:p>
      <w:pPr>
        <w:pStyle w:val="Heading1"/>
        <w:shd w:fill="1F3864" w:val="clear"/>
        <w:spacing w:after="180" w:before="32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9  VALIDATION TARGETS — PUBLISHED RESULTS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Reproduce all values within stated tolerances. Source: de Bono et al. Lancet 2010;376(9747):1147–1154.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520"/>
        <w:gridCol w:w="1440"/>
        <w:gridCol w:w="2040"/>
      </w:tblGrid>
      <w:tr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Statistic</w:t>
            </w:r>
          </w:p>
        </w:tc>
        <w:tc>
          <w:tcPr>
            <w:tcW w:type="dxa" w:w="25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Published Value</w:t>
            </w:r>
          </w:p>
        </w:tc>
        <w:tc>
          <w:tcPr>
            <w:tcW w:type="dxa" w:w="14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Tolerance</w:t>
            </w:r>
          </w:p>
        </w:tc>
        <w:tc>
          <w:tcPr>
            <w:tcW w:type="dxa" w:w="20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ADaM Source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Median OS — CbzP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15.1 months (95% CI 14.1–16.3)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±0.3 mo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ADTTE PARAMCD='OS'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Median OS — MP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12.7 months (95% CI 11.6–13.7)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±0.3 mo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ADTTE PARAMCD='OS'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OS HR (CbzP vs. MP)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0.70 (95% CI 0.59–0.83)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±0.02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ADTTE + Cox PH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OS log-rank p-value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&lt;0.0001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p&lt;0.001 acceptable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ADTTE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OS deaths — CbzP (ITT)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234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Exact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ADTTE CNSR=0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OS deaths — MP (ITT)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279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Exact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ADTTE CNSR=0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OS deaths total (ITT)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513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Exact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ADTTE CNSR=0 sum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Median follow-up (combined)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12.8 months (IQR 7.8–16.9)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±0.5 mo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ADSL derived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Median PFS — CbzP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2.8 months (95% CI 2.4–3.0)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±0.2 mo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ADTTE PARAMCD='PFS'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Median PFS — MP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1.4 months (95% CI 1.4–1.7)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±0.2 mo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ADTTE PARAMCD='PFS'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PFS HR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0.74 (95% CI 0.64–0.86)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±0.02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ADTTE + Cox PH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PFS p-value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&lt;0.0001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Median TTPSA — CbzP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6.4 months (IQR 2.2–10.1)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±0.3 mo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ADTTE PARAMCD='TTPSA'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Median TTPSA — MP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3.1 months (IQR 0.9–9.1)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±0.3 mo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ADTTE PARAMCD='TTPSA'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TTPSA HR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0.75 (0.63–0.90)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±0.02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ADTTE + Cox PH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TTPSA p-value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0.001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Median TTUMOR — CbzP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8.8 months (IQR 3.9–12.0)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±0.3 mo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ADTTE PARAMCD='TTUMOR'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Median TTUMOR — MP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5.4 months (IQR 2.3–10.0)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±0.3 mo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ADTTE PARAMCD='TTUMOR'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TTUMOR HR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0.61 (0.49–0.76)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±0.02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ADTTE + Cox PH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TTUMOR p-value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&lt;0.0001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Median TTPAIN — CbzP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11.1 months (IQR 2.9–NR)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±0.5 mo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ADTTE PARAMCD='TTPAIN'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Median TTPAIN — MP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reached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ADTTE PARAMCD='TTPAIN'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TTPAIN HR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0.91 (0.69–1.19)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±0.02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ADTTE + Cox PH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TTPAIN p-value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0.52 (not significant)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PSA response rate — CbzP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39.2% (33.9–44.5)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±1%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ADLB PARAMCD='PSAD50'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PSA response rate — MP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17.8% (13.7–22.0)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±1%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ADLB PARAMCD='PSAD50'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PSA response p-value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0.0002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ORR (RECIST) — CbzP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14.4% (9.6–19.3)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±1%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ADRS PARAMCD='OBJRESP'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ORR (RECIST) — MP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4.4% (1.6–7.2)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±1%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ADRS PARAMCD='OBJRESP'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ORR p-value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0.0005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Pain response rate — CbzP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9.2% (4.9–13.5)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±1%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ADRS PARAMCD='PAINRESP'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Pain response rate — MP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7.7% (3.7–11.8)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±1%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ADRS PARAMCD='PAINRESP'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Pain response p-value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0.63 (not significant)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Grade ≥3 neutropenia — CbzP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82% (303/371)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±2%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ADLB (lab-based)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Grade ≥3 neutropenia — MP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58% (215/371)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±2%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ADLB (lab-based)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Febrile neutropenia G≥3 — CbzP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8% (28/371)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±1%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ADAE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Febrile neutropenia G≥3 — MP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1% (5/371)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±1%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ADAE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Grade ≥3 diarrhoea — CbzP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6% (23/371)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±1%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ADAE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Any grade peripheral neuropathy — CbzP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14% (52/371)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±1%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ADAE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Total deaths in study — CbzP (safety)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227 (61%)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Exact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ADSL + Table 5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Total deaths in study — MP (safety)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275 (74%)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Exact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ADSL + Table 5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Deaths ≤30d — CbzP (safety)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 (5%)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Exact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ADAE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Deaths ≤30d — MP (safety)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 (2%)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Exact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ADAE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Median cycles — CbzP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 (IQR 3–10)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Exact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ADEX PARAMCD='NCYCLE'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Median cycles — MP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(IQR 2–7)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Exact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ADEX PARAMCD='NCYCLE'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Median RDI — CbzP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96.1% (IQR 90.1–98.9)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±0.5%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ADEX PARAMCD='RDI'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Median RDI — MP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97.3% (IQR 92.0–99.3)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±0.5%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ADEX PARAMCD='RDI'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Total cycles — CbzP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2,251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Exact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ADEX cycle count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Total cycles — MP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1,736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Exact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ADEX cycle count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Safety population N — each arm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371 per arm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Exact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ADSL SAFFL='Y'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ITT population N — CbzP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378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Exact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ADSL ITTFL='Y'</w:t>
            </w:r>
          </w:p>
        </w:tc>
      </w:tr>
      <w:tr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ITT population N — MP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377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Exact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ADSL ITTFL='Y'</w:t>
            </w:r>
          </w:p>
        </w:tc>
      </w:tr>
    </w:tbl>
    <w:p>
      <w:pPr>
        <w:spacing w:after="80" w:before="4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Source: All values from de Bono et al. Lancet 2010;376(9747):1147–1154 — text, Tables 1–5, Figures 2A, 2B, 3</w:t>
      </w:r>
    </w:p>
    <w:p>
      <w:r>
        <w:br w:type="page"/>
      </w:r>
    </w:p>
    <w:p>
      <w:pPr>
        <w:pStyle w:val="Heading1"/>
        <w:shd w:fill="1F3864" w:val="clear"/>
        <w:spacing w:after="180" w:before="32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10  PROJECT OPTIMUS EXPLORATORY ANALYSES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10.1  Justification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FDA Project Optimus (August 2024 final guidance) requires dose-response and benefit-risk characterization. PROSELICA (NCT01308580) subsequently showed cabazitaxel 20 mg/m² non-inferior for OS with less haematotoxicity. This module retrospectively characterizes TROPIC ANC-dose relationships as independent patient-level evidence. The paper explicitly states: 'dose reduction to 20 mg/m² might decrease myelotoxicity' and called for future evaluation — directly motivating this analysis.</w:t>
      </w:r>
    </w:p>
    <w:p>
      <w:pPr>
        <w:spacing w:after="80" w:before="4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Source: Paper Discussion p.1153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10.2  Analysis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040"/>
        <w:gridCol w:w="6600"/>
      </w:tblGrid>
      <w:tr>
        <w:tc>
          <w:tcPr>
            <w:tcW w:type="dxa" w:w="7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0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Output</w:t>
            </w:r>
          </w:p>
        </w:tc>
        <w:tc>
          <w:tcPr>
            <w:tcW w:type="dxa" w:w="6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T-17-1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RDI distribution by arm and cycle. Validate ADEX.RDI vs. SUPPEX.EXTRINT. Confirm: CbzP median 96.1%, MP median 97.3%.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T-17-2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ANC nadir by cycle, stratified by G-CSF use (GCSFFL Y/N). Cycle 1 nadir = unconfounded myelosuppression estimate (G-CSF prohibited C1 per protocol).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F-17-1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Scatter: individual RDI (%) vs. ANC nadir per cycle. LOWESS per G-CSF stratum. Linear model: ANC_nadir ~ RDI + GCSFFL + AGE + ALBBL + cycle_num.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T-17-3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ANC recovery latency (days nadir → ANC ≥1500/mm³) by cycle and dose delay status.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T-17-4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Benefit-risk by RDI tertile (&lt;65%, 65–&lt;85%, ≥85%): median OS, % Grade ≥3 TEAE, % febrile neutropenia. CbzP arm only.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180" w:before="32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11  ADaM DATASETS AND DERIVATION SUMMARY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1440"/>
        <w:gridCol w:w="1920"/>
        <w:gridCol w:w="5040"/>
      </w:tblGrid>
      <w:tr>
        <w:tc>
          <w:tcPr>
            <w:tcW w:type="dxa" w:w="9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Dataset</w:t>
            </w:r>
          </w:p>
        </w:tc>
        <w:tc>
          <w:tcPr>
            <w:tcW w:type="dxa" w:w="14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Structure</w:t>
            </w:r>
          </w:p>
        </w:tc>
        <w:tc>
          <w:tcPr>
            <w:tcW w:type="dxa" w:w="19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Standard</w:t>
            </w:r>
          </w:p>
        </w:tc>
        <w:tc>
          <w:tcPr>
            <w:tcW w:type="dxa" w:w="50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Primary Purpose</w:t>
            </w:r>
          </w:p>
        </w:tc>
      </w:tr>
      <w:tr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ADSL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 subject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ADaMIG v1.3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Population flags (ITTFL, SAFFL, PPROTFL, PAINBL, RISEPSAFL), baseline chars, survival/censor dates, subgroup variables</w:t>
            </w:r>
          </w:p>
        </w:tc>
      </w:tr>
      <w:tr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ADEX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BDS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ADaMIG v1.3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Per-cycle + cumulative: cycles, RDI (validate vs. SUPPEX.EXTRINT), cumulative dose, delay days, reduction flags</w:t>
            </w:r>
          </w:p>
        </w:tc>
      </w:tr>
      <w:tr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ADCM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OCCDS v1.1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ADaMIG v1.3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G-CSF use (GCSFFL, GCSFPRFL), new anti-cancer therapy date (NACTDT) for PFS censoring</w:t>
            </w:r>
          </w:p>
        </w:tc>
      </w:tr>
      <w:tr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ADAE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OCCDS v1.1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ADaMIG v1.3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TEAEs, CTCAE v3.0 grading, episode merging (CIAESEQ, AEOCCFL per OCCDS v1.1), Table 4 listing flag</w:t>
            </w:r>
          </w:p>
        </w:tc>
      </w:tr>
      <w:tr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ADLB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BDS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ADaMIG v1.3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Lab safety: ANL01FL windowing, ANC kinetics, ATOXGR from LBTOXGR (laboratory-based haematological AEs)</w:t>
            </w:r>
          </w:p>
        </w:tc>
      </w:tr>
      <w:tr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ADRS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BDS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ADaMIG v1.3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Tumour response (RECIST v1.0), PSA response/progression, pain response/progression</w:t>
            </w:r>
          </w:p>
        </w:tc>
      </w:tr>
      <w:tr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ADTTE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BDS-TTE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ADaMIG v1.3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OS, PFS, TTPSA, TTPAIN, TTUMOR — all time-to-event endpoints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11.1  Critical Derivation Rules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11.1.1  Week-to-Date Conversion</w:t>
      </w:r>
    </w:p>
    <w:p>
      <w:pPr>
        <w:pBdr>
          <w:left w:val="single" w:color="C00000" w:sz="14"/>
        </w:pBdr>
        <w:shd w:fill="FFF2CC" w:val="clear"/>
        <w:spacing w:after="80" w:before="8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1"/>
          <w:szCs w:val="21"/>
        </w:rPr>
        <w:t xml:space="preserve">MANDATORY: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21"/>
          <w:szCs w:val="21"/>
        </w:rPr>
        <w:t xml:space="preserve">AE.AESTWK/AEENWK and DS.DSSTWK = integer week numbers (1-based). ASTDT = INPUT(RFSTDTC,e8601da.)+(AESTWK-1)*7; AENDT = INPUT(RFSTDTC,e8601da.)+(AEENWK-1)*7+6. Document verbatim in SDRG/ADRG.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11.1.2  Baseline Definition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Last non-missing value on or before TRTSDT (ADY ≤ 0). ABLFL='Y' for baseline record. Source: Protocol 'baseline value being defined as the last value or measurement taken up to the first dose'.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11.1.3  ADLB Analysis Windows — CBC Schedule</w:t>
      </w:r>
    </w:p>
    <w:p>
      <w:pPr>
        <w:pBdr>
          <w:left w:val="single" w:color="375623" w:sz="10"/>
        </w:pBdr>
        <w:shd w:fill="E2EFDA" w:val="clear"/>
        <w:spacing w:after="60" w:before="6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AUDIT FIX (v2→v3, Error #7):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5623"/>
          <w:sz w:val="20"/>
          <w:szCs w:val="20"/>
        </w:rPr>
        <w:t xml:space="preserve">v2.0 did not document Cycle Day 1 pre-dose CBC window. Paper p.1150 states: 'Complete blood counts were taken on days 1, 8, and 15 of each treatment cycle'. Cycle N Day 1 pre-dose is a scheduled timepoint and must be captured. Updated window table below includes Day 1 of each cycle.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2400"/>
        <w:gridCol w:w="1200"/>
        <w:gridCol w:w="1200"/>
        <w:gridCol w:w="1680"/>
        <w:gridCol w:w="2040"/>
      </w:tblGrid>
      <w:tr>
        <w:tc>
          <w:tcPr>
            <w:tcW w:type="dxa" w:w="9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AVISITN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AVISIT Label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ADY Low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ADY High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Target Day</w:t>
            </w:r>
          </w:p>
        </w:tc>
        <w:tc>
          <w:tcPr>
            <w:tcW w:type="dxa" w:w="20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Baseline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≤0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Last pre-dose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ABLFL='Y'; ATOXGR from LBTOXGR</w:t>
            </w:r>
          </w:p>
        </w:tc>
      </w:tr>
      <w:tr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Cycle 1 Day 1 Pre-dose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Scheduled CBC; go/no-go gate C1</w:t>
            </w:r>
          </w:p>
        </w:tc>
      </w:tr>
      <w:tr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Cycle 1 Day 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Primary C1 nadir; G-CSF prohibited</w:t>
            </w:r>
          </w:p>
        </w:tc>
      </w:tr>
      <w:tr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Cycle 1 Day 15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C1 recovery check</w:t>
            </w:r>
          </w:p>
        </w:tc>
      </w:tr>
      <w:tr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Cycle 2 Day 1 Pre-dose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Scheduled CBC; gate for C2</w:t>
            </w:r>
          </w:p>
        </w:tc>
      </w:tr>
      <w:tr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Cycle 2 Day 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34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C2 nadir</w:t>
            </w:r>
          </w:p>
        </w:tc>
      </w:tr>
      <w:tr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Cycle 2 Day 15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38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36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C2 recovery check</w:t>
            </w:r>
          </w:p>
        </w:tc>
      </w:tr>
      <w:tr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Cycle 3 Day 1 Pre-dose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39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45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43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Gate for C3</w:t>
            </w:r>
          </w:p>
        </w:tc>
      </w:tr>
      <w:tr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Cycle 3 Day 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55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C3 nadir</w:t>
            </w:r>
          </w:p>
        </w:tc>
      </w:tr>
      <w:tr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99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Unscheduled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others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ANL01FL='N'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1"/>
          <w:szCs w:val="21"/>
        </w:rPr>
        <w:t xml:space="preserve">ANL01FL selection: Y for one best record per USUBJID × PARAMCD × AVISITN. Priority: (1) min |ADY−target|; (2) tiebreak descending ATOXGR. Initialize explicitly at IF FIRST.AVISITN — do NOT use RETAIN.</w:t>
      </w:r>
    </w:p>
    <w:p>
      <w:r>
        <w:br w:type="page"/>
      </w:r>
    </w:p>
    <w:p>
      <w:pPr>
        <w:pStyle w:val="Heading1"/>
        <w:shd w:fill="1F3864" w:val="clear"/>
        <w:spacing w:after="180" w:before="32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12  TFL OUTPUT CATALOGUE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080"/>
        <w:gridCol w:w="2160"/>
        <w:gridCol w:w="1200"/>
        <w:gridCol w:w="1200"/>
      </w:tblGrid>
      <w:tr>
        <w:tc>
          <w:tcPr>
            <w:tcW w:type="dxa" w:w="7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Title</w:t>
            </w:r>
          </w:p>
        </w:tc>
        <w:tc>
          <w:tcPr>
            <w:tcW w:type="dxa" w:w="2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Dataset(s)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Population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SAP §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T-11-1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OS: Median, Events/N, HR, 95%CI, log-rank p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ADTTE OS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ITT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T-11-2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PFS: Median, Events/N, HR, 95%CI, log-rank p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ADTTE PFS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ITT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§5.1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T-11-3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PSA Response Rate (≥50% confirmed ≥3 wks; PSA≥20 subset)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ADLB+ADSL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ITT PSA≥20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§5.2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T-11-4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ORR per RECIST v1.0 (measurable subset)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ADRS+ADSL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ITT Meas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§5.3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T-11-5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Pain Response Rate (PAINBL='Y' subset)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ADRS+ADSL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PAINBL='Y'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§6.4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T-11-6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Time to Tumour Progression: Median (IQR), HR, p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ADTTE TTUMOR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ITT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§5.3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T-11-7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Time to PSA Progression: Median (IQR), HR, p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ADTTE TTPSA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ITT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§5.2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T-11-8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Time to Pain Progression: Median (IQR), HR, p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ADTTE TTPAIN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ITT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§6.5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T-12-1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OS Sensitivity: RMST at τ=12 months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ADTTE OS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ITT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§4.7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T-12-2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OS Sensitivity: Landmark at 6 and 12 months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ADTTE OS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ITT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§4.7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T-13-1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Exposure: Duration, Cycles, Cumulative Dose, RDI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ADEX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Safety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§7.8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T-13-2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Dose Modifications: Reductions and Delays by Arm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ADEX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Safety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§7.8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T-13-3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Discontinuation Reasons by Arm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ADEX+ADSL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ITT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§7.4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T-14-1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TEAEs by SOC and PT (n, %)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ADAE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Safety N=371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§7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T-14-2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Grade ≥3 TEAEs by SOC and PT (n, %)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ADAE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Safety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§7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T-14-3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Serious TEAEs (AESER='Y')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ADAE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Safety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§7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T-14-4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TEAEs Leading to Dose Modification or Discontinuation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ADAE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Safety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§7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T-14-5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Deaths ≤30 Days of Last Dose — cause (reproduces Table 5)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ADAE+ADSL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Safety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§7.5.1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T-14-6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Full Deaths Table (reproduces Table 5 complete)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ADSL+ADAE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Safety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§7.5.1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T-15-1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G-CSF Use by Arm, Cycle, Type (Prophylactic / Therapeutic)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ADCM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Safety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§7.6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T-16-1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Haematology Values by Visit and Arm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ADLB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Safety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§7.5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T-16-2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Worst CTCAE v3.0 Grade per Haematology Parameter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ADLB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Safety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§7.5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T-17-1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RDI by Arm and Cycle (Optimus)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ADEX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CbzP Safety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§10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T-17-2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ANC Nadir by Cycle × G-CSF Status (Optimus)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ADLB+ADCM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CbzP Safety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§10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T-17-3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ANC Recovery Latency vs. Delay Status (Optimus)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ADLB+ADEX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CbzP Safety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§10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T-17-4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Benefit-Risk by RDI Tertile (Optimus)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ADEX+ADTTE+ADAE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CbzP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§10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F-11-1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KM Curve — OS — reproduce Lancet Figure 2A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ADTTE OS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ITT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F-11-2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KM Curve — PFS — reproduce Lancet Figure 3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ADTTE PFS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ITT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§5.1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F-12-1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Forest Plot — OS Subgroups — reproduce Lancet Figure 2B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ADTTE+ADSL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ITT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§8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F-12-2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Forest Plot — PFS Subgroups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ADTTE+ADSL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ITT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§8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F-17-1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Scatter: RDI vs ANC Nadir (Optimus E-R)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ADEX+ADLB+ADCM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CbzP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§10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180" w:before="32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13  REGULATORY STANDARDS AND REFERENCES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800"/>
        <w:gridCol w:w="4680"/>
      </w:tblGrid>
      <w:tr>
        <w:tc>
          <w:tcPr>
            <w:tcW w:type="dxa" w:w="28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Standard / Guidance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Application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ADaMIG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v1.3 (FDA 2024-03-15)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ADaM structures, variables, and derivation rules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SDTM-IG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3.1.1 (source)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Input SDTM; deviations in SDRG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OCCDS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v1.1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ADAE episode merging (CIAESEQ, AEOCCFL)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Define-XML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v2.1 (FDA 2024-04-01)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Dataset and variable metadata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XPT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v5 (current FDA requirement)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ADaM exports; var names ≤8 chars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NCI CTCAE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v3.0 (paper Table 4 fn)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Toxicity grading; lab-based for haematological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RECIST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v1.0 (Therasse 2000)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Tumour response criteria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MedDRA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v12.0 (paper Table 4 fn; Define XML)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AE preferred term and SOC coding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SAS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9.1.3 (paper Methods)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Original analysis; document if different version used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ICH E9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Harmonised Principles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Multiplicity hierarchy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FDA Project Optimus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Aug 2024 final guidance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Section 10 exploratory analyses only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21 CFR Part 11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Current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Git version control; logrx execution logs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ALCOA+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ICH E6(R3)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Derivation documentation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Pinnacle 21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Community CLI (current)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ADaM validation gate before output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13.1  All Deviations and Caveats for ADRG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Cutoff: 25-Sep-2009 per paper (supersedes protocol data lock reference).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Final OS alpha: 0.0452 per paper (not 0.0476 per protocol). OS IA at 365 deaths (planned: 307); adjusted alpha = 0.016.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Safety N = 371 per arm (not ITT N). CbzP: 378−7=371. MP: 377−6=371.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OS death count (ITT, n=755) = 513 ≠ safety pop death count (n=742) = 502. Difference of 11 = 7 CbzP + 7 MP ITT patients who never received drug but are included in ITT OS analysis. NOT a data error.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PSA progression — responders: ≥50% over nadir ONLY (no ≥5 μg/L absolute floor). Non-responders: ≥25% AND ≥5 μg/L absolute floor. Protocol ≥1 week confirmation applied; document in ADRG.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Pain progression Criterion 1: from REFERENCE VALUE (= baseline PPI), not nadir.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G-CSF trigger: neutropenia ≥7 days OR fever/infection (discretionary) per paper; not mandatory febrile neutropenia per protocol.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Table 4 AE listing: grade ≥3 in ≥1% in either arm; grade ≥3 includes grade 5 (deaths); haematological events from lab data not AETERM.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CBC scheduled on Days 1, 8, 15 per cycle (paper p.1150). ADLB windows include Day 1 pre-dose of each cycle.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Subgroup N discrepancies are expected: pain (716/755), PSA status (742/755), docetaxel dose (747/755). Document in ADRG.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CTCAE v3.0, MedDRA v12.0, RECIST v1.0 all confirmed from paper text/footnotes.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PCWG2 (Scher et al. JCO 2008) contemporaneous with TROPIC. PCWG3 not applied.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Project Optimus analyses are retrospective and exploratory. TROPIC not designed for dose optimization.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Sample size assumed 8-month median OS for MP; actual was 12.7 months. Power computation remains valid as event target (511) was met (513 actual).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Crossover not permitted per protocol. 44 (12%) MP patients received tubulin-binding drugs at progression per paper p.1152.</w:t>
      </w:r>
    </w:p>
    <w:p>
      <w:r>
        <w:br w:type="page"/>
      </w:r>
    </w:p>
    <w:p>
      <w:pPr>
        <w:pStyle w:val="Heading1"/>
        <w:shd w:fill="1F3864" w:val="clear"/>
        <w:spacing w:after="180" w:before="32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14  VERSION HISTORY AND SIGNATURES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4860"/>
        <w:gridCol w:w="1800"/>
      </w:tblGrid>
      <w:tr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48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Summary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Author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2024-01-15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SAP — protocol-derived definitions; populations based on randomised N.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[Name]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2024-06-01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Protocol + Lancet 2010 reconciliation: cutoff date, final alpha, OS IA, safety N, G-CSF trigger, subgroup HRs, exposure data, safety targets, pain denominators, TTPAIN/TTUMOR results, crossover note, regulatory standards.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[Name]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[Date]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Forensic audit — 12 errors corrected: (1) Safety N arm-specific counts (6 MP, 7 CbzP did not receive). (2) PSA responder progression: ≥50% over nadir only, no ≥5μg/L floor. (3) Pain progression Criterion 1: from reference value (baseline), not nadir. (4) Full safety table — all 24 AE rows from Table 4, complete Table 5 deaths. (5) Sample size assumptions section added. (6) Median follow-up added. (7) ADLB windows updated for Day 1 pre-dose CBC per cycle. (8) Subgroup N footnotes (pain 716, PSA 742, docetaxel 747). (9) Table 4 listing threshold rules documented. (10) TTUMOR IQR added. (11) OS/safety death count reconciliation note. (12) Full discontinuation reason table added.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[Name]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pBdr>
          <w:bottom w:val="single" w:color="2E75B6" w:sz="6"/>
        </w:pBdr>
        <w:spacing w:after="120" w:before="2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3360"/>
        <w:gridCol w:w="3360"/>
      </w:tblGrid>
      <w:tr>
        <w:tc>
          <w:tcPr>
            <w:tcW w:type="dxa" w:w="26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Name / Signature</w:t>
            </w:r>
          </w:p>
        </w:tc>
        <w:tc>
          <w:tcPr>
            <w:tcW w:type="dxa" w:w="3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Lead Statistical Programmer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200"/>
              <w:left w:type="dxa" w:w="110"/>
              <w:bottom w:type="dxa" w:w="20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200"/>
              <w:left w:type="dxa" w:w="110"/>
              <w:bottom w:type="dxa" w:w="20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Independent QC Reviewer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200"/>
              <w:left w:type="dxa" w:w="110"/>
              <w:bottom w:type="dxa" w:w="20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200"/>
              <w:left w:type="dxa" w:w="110"/>
              <w:bottom w:type="dxa" w:w="20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Clinical Domain Reviewer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200"/>
              <w:left w:type="dxa" w:w="110"/>
              <w:bottom w:type="dxa" w:w="20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200"/>
              <w:left w:type="dxa" w:w="110"/>
              <w:bottom w:type="dxa" w:w="20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180" w:before="32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APPENDIX A — PROTOCOL vs. PAPER CORRECTIONS REGISTER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2760"/>
        <w:gridCol w:w="2880"/>
        <w:gridCol w:w="480"/>
        <w:gridCol w:w="1320"/>
      </w:tblGrid>
      <w:tr>
        <w:tc>
          <w:tcPr>
            <w:tcW w:type="dxa" w:w="19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7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Protocol Value</w:t>
            </w:r>
          </w:p>
        </w:tc>
        <w:tc>
          <w:tcPr>
            <w:tcW w:type="dxa" w:w="28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Paper Value — USE THIS</w:t>
            </w:r>
          </w:p>
        </w:tc>
        <w:tc>
          <w:tcPr>
            <w:tcW w:type="dxa" w:w="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§</w:t>
            </w:r>
          </w:p>
        </w:tc>
        <w:tc>
          <w:tcPr>
            <w:tcW w:type="dxa" w:w="13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v3 Error #</w:t>
            </w:r>
          </w:p>
        </w:tc>
      </w:tr>
      <w:tr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Data cut-off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Protocol data lock reference ~Mar 2010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25-Sep-2009 (paper p.1148)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§1.3</w:t>
            </w:r>
          </w:p>
        </w:tc>
        <w:tc>
          <w:tcPr>
            <w:tcW w:type="dxa" w:w="1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Final OS alpha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0.0476 (O'Brien-Fleming)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0.0452 (paper p.1151)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§4.5</w:t>
            </w:r>
          </w:p>
        </w:tc>
        <w:tc>
          <w:tcPr>
            <w:tcW w:type="dxa" w:w="1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OS IA trigger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307 OS deaths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365 actual; alpha=0.016 (paper p.1151)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§4.5</w:t>
            </w:r>
          </w:p>
        </w:tc>
        <w:tc>
          <w:tcPr>
            <w:tcW w:type="dxa" w:w="1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Safety N — CbzP arm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378 (all randomised)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371 (378−7); paper Figure 1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§3.2</w:t>
            </w:r>
          </w:p>
        </w:tc>
        <w:tc>
          <w:tcPr>
            <w:tcW w:type="dxa" w:w="1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Error 1</w:t>
            </w:r>
          </w:p>
        </w:tc>
      </w:tr>
      <w:tr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Safety N — MP arm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377 (all randomised)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371 (377−6); paper Figure 1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§3.2</w:t>
            </w:r>
          </w:p>
        </w:tc>
        <w:tc>
          <w:tcPr>
            <w:tcW w:type="dxa" w:w="1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Error 1</w:t>
            </w:r>
          </w:p>
        </w:tc>
      </w:tr>
      <w:tr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PSA progression — responders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≥50% over nadir AND ≥5μg/L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≥50% over nadir ONLY (paper p.1150)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§5.2.2</w:t>
            </w:r>
          </w:p>
        </w:tc>
        <w:tc>
          <w:tcPr>
            <w:tcW w:type="dxa" w:w="1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Error 2</w:t>
            </w:r>
          </w:p>
        </w:tc>
      </w:tr>
      <w:tr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Pain progression Criterion 1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FROM NADIR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From REFERENCE VALUE = baseline (paper p.1150)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§6.5</w:t>
            </w:r>
          </w:p>
        </w:tc>
        <w:tc>
          <w:tcPr>
            <w:tcW w:type="dxa" w:w="1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Error 3</w:t>
            </w:r>
          </w:p>
        </w:tc>
      </w:tr>
      <w:tr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G-CSF trigger (post-C1)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After febrile neutropenia (mandatory)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After neutropenia ≥7d OR fever/infection (discretionary) (paper p.1150)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§7.6</w:t>
            </w:r>
          </w:p>
        </w:tc>
        <w:tc>
          <w:tcPr>
            <w:tcW w:type="dxa" w:w="1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PSA progression confirmation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≥1 week (protocol §9.1.2.1)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stated in paper; protocol rule applied conservatively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§5.2.2</w:t>
            </w:r>
          </w:p>
        </w:tc>
        <w:tc>
          <w:tcPr>
            <w:tcW w:type="dxa" w:w="1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AS pain response criterion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≥50% (protocol)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'more than 50%' (paper body) vs '50% or more' (Table 3 fn); use ≥50%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§6.4</w:t>
            </w:r>
          </w:p>
        </w:tc>
        <w:tc>
          <w:tcPr>
            <w:tcW w:type="dxa" w:w="1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 cycles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pre-specified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1,736 MP; 2,251 CbzP (Table 2)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§7.8</w:t>
            </w:r>
          </w:p>
        </w:tc>
        <w:tc>
          <w:tcPr>
            <w:tcW w:type="dxa" w:w="1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SAS version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stated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SAS 9.1.3 (paper Methods)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§13</w:t>
            </w:r>
          </w:p>
        </w:tc>
        <w:tc>
          <w:tcPr>
            <w:tcW w:type="dxa" w:w="1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spacing w:before="80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6"/>
        <w:szCs w:val="16"/>
      </w:rPr>
      <w:t xml:space="preserve">Project Data Sphere / Sanofi US  |  Validation target: de Bono et al. Lancet 2010;376:1147–1154  |  CONFIDENTIAL — PORTFOLIO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spacing w:after="100"/>
    </w:pPr>
    <w:r>
      <w:rPr>
        <w:rFonts w:ascii="Arial" w:cs="Arial" w:eastAsia="Arial" w:hAnsi="Arial"/>
        <w:b w:val="false"/>
        <w:bCs w:val="false"/>
        <w:i w:val="false"/>
        <w:iCs w:val="false"/>
        <w:color w:val="555555"/>
        <w:sz w:val="17"/>
        <w:szCs w:val="17"/>
      </w:rPr>
      <w:t xml:space="preserve">TROPIC EFC6193  |  SAP v3.0 (Forensic Audit)  |  ADaMIG v1.3  |  CTCAE v3.0  |  RECIST v1.0  |  Validation: de Bono et al. Lancet 2010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2026-05-26T10:35:48.805Z</dcterms:created>
  <dcterms:modified xsi:type="dcterms:W3CDTF">2026-05-26T10:35:48.815Z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