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48"/>
        </w:rPr>
        <w:t>STATISTICAL ANALYSIS PLAN</w:t>
      </w:r>
    </w:p>
    <w:p>
      <w:pPr>
        <w:jc w:val="center"/>
      </w:pPr>
      <w:r>
        <w:rPr>
          <w:rFonts w:ascii="Calibri" w:hAnsi="Calibri"/>
          <w:b/>
          <w:color w:val="1F1F1F"/>
          <w:sz w:val="30"/>
        </w:rPr>
        <w:t>TROPIC / EFC6193 - Industry-Grade Clinical Programming Baseline</w:t>
      </w:r>
    </w:p>
    <w:p>
      <w:pPr>
        <w:jc w:val="center"/>
      </w:pPr>
      <w:r>
        <w:rPr>
          <w:rFonts w:ascii="Calibri" w:hAnsi="Calibri"/>
          <w:i/>
          <w:color w:val="595959"/>
          <w:sz w:val="23"/>
        </w:rPr>
        <w:t>Cabazitaxel + Prednisone vs Mitoxantrone + Prednisone in Metastatic Castration-Resistant Prostate Cancer</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top"/>
            <w:shd w:fill="1F4E79"/>
          </w:tcPr>
          <w:p>
            <w:pPr>
              <w:spacing w:before="0" w:after="20" w:line="240" w:lineRule="auto"/>
            </w:pPr>
            <w:r/>
            <w:r>
              <w:rPr>
                <w:rFonts w:ascii="Calibri" w:hAnsi="Calibri"/>
                <w:b/>
                <w:color w:val="FFFFFF"/>
                <w:sz w:val="17"/>
              </w:rPr>
              <w:t>Document attribute</w:t>
            </w:r>
          </w:p>
        </w:tc>
        <w:tc>
          <w:tcPr>
            <w:tcW w:type="dxa" w:w="6840"/>
            <w:vAlign w:val="top"/>
            <w:shd w:fill="1F4E79"/>
          </w:tcPr>
          <w:p>
            <w:pPr>
              <w:spacing w:before="0" w:after="20" w:line="240" w:lineRule="auto"/>
            </w:pPr>
            <w:r/>
            <w:r>
              <w:rPr>
                <w:rFonts w:ascii="Calibri" w:hAnsi="Calibri"/>
                <w:b/>
                <w:color w:val="FFFFFF"/>
                <w:sz w:val="17"/>
              </w:rPr>
              <w:t>Value</w:t>
            </w:r>
          </w:p>
        </w:tc>
      </w:tr>
      <w:tr>
        <w:tc>
          <w:tcPr>
            <w:tcW w:type="dxa" w:w="2520"/>
            <w:vAlign w:val="top"/>
          </w:tcPr>
          <w:p>
            <w:pPr>
              <w:spacing w:before="0" w:after="20" w:line="240" w:lineRule="auto"/>
            </w:pPr>
            <w:r/>
            <w:r>
              <w:rPr>
                <w:rFonts w:ascii="Calibri" w:hAnsi="Calibri"/>
                <w:b w:val="0"/>
                <w:color w:val="1F1F1F"/>
                <w:sz w:val="17"/>
              </w:rPr>
              <w:t>Version</w:t>
            </w:r>
          </w:p>
        </w:tc>
        <w:tc>
          <w:tcPr>
            <w:tcW w:type="dxa" w:w="6840"/>
            <w:vAlign w:val="top"/>
          </w:tcPr>
          <w:p>
            <w:pPr>
              <w:spacing w:before="0" w:after="20" w:line="240" w:lineRule="auto"/>
            </w:pPr>
            <w:r/>
            <w:r>
              <w:rPr>
                <w:rFonts w:ascii="Calibri" w:hAnsi="Calibri"/>
                <w:b w:val="0"/>
                <w:color w:val="1F1F1F"/>
                <w:sz w:val="17"/>
              </w:rPr>
              <w:t>4.0 controlled draft</w:t>
            </w:r>
          </w:p>
        </w:tc>
      </w:tr>
      <w:tr>
        <w:tc>
          <w:tcPr>
            <w:tcW w:type="dxa" w:w="2520"/>
            <w:vAlign w:val="top"/>
          </w:tcPr>
          <w:p>
            <w:pPr>
              <w:spacing w:before="0" w:after="20" w:line="240" w:lineRule="auto"/>
            </w:pPr>
            <w:r/>
            <w:r>
              <w:rPr>
                <w:rFonts w:ascii="Calibri" w:hAnsi="Calibri"/>
                <w:b w:val="0"/>
                <w:color w:val="1F1F1F"/>
                <w:sz w:val="17"/>
              </w:rPr>
              <w:t>Date</w:t>
            </w:r>
          </w:p>
        </w:tc>
        <w:tc>
          <w:tcPr>
            <w:tcW w:type="dxa" w:w="6840"/>
            <w:vAlign w:val="top"/>
          </w:tcPr>
          <w:p>
            <w:pPr>
              <w:spacing w:before="0" w:after="20" w:line="240" w:lineRule="auto"/>
            </w:pPr>
            <w:r/>
            <w:r>
              <w:rPr>
                <w:rFonts w:ascii="Calibri" w:hAnsi="Calibri"/>
                <w:b w:val="0"/>
                <w:color w:val="1F1F1F"/>
                <w:sz w:val="17"/>
              </w:rPr>
              <w:t>2026-06-25</w:t>
            </w:r>
          </w:p>
        </w:tc>
      </w:tr>
      <w:tr>
        <w:tc>
          <w:tcPr>
            <w:tcW w:type="dxa" w:w="2520"/>
            <w:vAlign w:val="top"/>
          </w:tcPr>
          <w:p>
            <w:pPr>
              <w:spacing w:before="0" w:after="20" w:line="240" w:lineRule="auto"/>
            </w:pPr>
            <w:r/>
            <w:r>
              <w:rPr>
                <w:rFonts w:ascii="Calibri" w:hAnsi="Calibri"/>
                <w:b w:val="0"/>
                <w:color w:val="1F1F1F"/>
                <w:sz w:val="17"/>
              </w:rPr>
              <w:t>Status</w:t>
            </w:r>
          </w:p>
        </w:tc>
        <w:tc>
          <w:tcPr>
            <w:tcW w:type="dxa" w:w="6840"/>
            <w:vAlign w:val="top"/>
          </w:tcPr>
          <w:p>
            <w:pPr>
              <w:spacing w:before="0" w:after="20" w:line="240" w:lineRule="auto"/>
            </w:pPr>
            <w:r/>
            <w:r>
              <w:rPr>
                <w:rFonts w:ascii="Calibri" w:hAnsi="Calibri"/>
                <w:b w:val="0"/>
                <w:color w:val="1F1F1F"/>
                <w:sz w:val="17"/>
              </w:rPr>
              <w:t>Sponsor-approvable SAP draft for remediation and programming control; not sponsor-approved until signed.</w:t>
            </w:r>
          </w:p>
        </w:tc>
      </w:tr>
      <w:tr>
        <w:tc>
          <w:tcPr>
            <w:tcW w:type="dxa" w:w="2520"/>
            <w:vAlign w:val="top"/>
          </w:tcPr>
          <w:p>
            <w:pPr>
              <w:spacing w:before="0" w:after="20" w:line="240" w:lineRule="auto"/>
            </w:pPr>
            <w:r/>
            <w:r>
              <w:rPr>
                <w:rFonts w:ascii="Calibri" w:hAnsi="Calibri"/>
                <w:b w:val="0"/>
                <w:color w:val="1F1F1F"/>
                <w:sz w:val="17"/>
              </w:rPr>
              <w:t>Study</w:t>
            </w:r>
          </w:p>
        </w:tc>
        <w:tc>
          <w:tcPr>
            <w:tcW w:type="dxa" w:w="6840"/>
            <w:vAlign w:val="top"/>
          </w:tcPr>
          <w:p>
            <w:pPr>
              <w:spacing w:before="0" w:after="20" w:line="240" w:lineRule="auto"/>
            </w:pPr>
            <w:r/>
            <w:r>
              <w:rPr>
                <w:rFonts w:ascii="Calibri" w:hAnsi="Calibri"/>
                <w:b w:val="0"/>
                <w:color w:val="1F1F1F"/>
                <w:sz w:val="17"/>
              </w:rPr>
              <w:t>EFC6193 / TROPIC / NCT00417079</w:t>
            </w:r>
          </w:p>
        </w:tc>
      </w:tr>
      <w:tr>
        <w:tc>
          <w:tcPr>
            <w:tcW w:type="dxa" w:w="2520"/>
            <w:vAlign w:val="top"/>
          </w:tcPr>
          <w:p>
            <w:pPr>
              <w:spacing w:before="0" w:after="20" w:line="240" w:lineRule="auto"/>
            </w:pPr>
            <w:r/>
            <w:r>
              <w:rPr>
                <w:rFonts w:ascii="Calibri" w:hAnsi="Calibri"/>
                <w:b w:val="0"/>
                <w:color w:val="1F1F1F"/>
                <w:sz w:val="17"/>
              </w:rPr>
              <w:t>Primary data limitation</w:t>
            </w:r>
          </w:p>
        </w:tc>
        <w:tc>
          <w:tcPr>
            <w:tcW w:type="dxa" w:w="6840"/>
            <w:vAlign w:val="top"/>
          </w:tcPr>
          <w:p>
            <w:pPr>
              <w:spacing w:before="0" w:after="20" w:line="240" w:lineRule="auto"/>
            </w:pPr>
            <w:r/>
            <w:r>
              <w:rPr>
                <w:rFonts w:ascii="Calibri" w:hAnsi="Calibri"/>
                <w:b w:val="0"/>
                <w:color w:val="1F1F1F"/>
                <w:sz w:val="17"/>
              </w:rPr>
              <w:t>Current repo contains real MP patient-level data and reconstructed/synthetic CbzP data. Full two-arm confirmatory inference requires complete authoritative two-arm patient-level data.</w:t>
            </w:r>
          </w:p>
        </w:tc>
      </w:tr>
      <w:tr>
        <w:tc>
          <w:tcPr>
            <w:tcW w:type="dxa" w:w="2520"/>
            <w:vAlign w:val="top"/>
          </w:tcPr>
          <w:p>
            <w:pPr>
              <w:spacing w:before="0" w:after="20" w:line="240" w:lineRule="auto"/>
            </w:pPr>
            <w:r/>
            <w:r>
              <w:rPr>
                <w:rFonts w:ascii="Calibri" w:hAnsi="Calibri"/>
                <w:b w:val="0"/>
                <w:color w:val="1F1F1F"/>
                <w:sz w:val="17"/>
              </w:rPr>
              <w:t>Document purpose</w:t>
            </w:r>
          </w:p>
        </w:tc>
        <w:tc>
          <w:tcPr>
            <w:tcW w:type="dxa" w:w="6840"/>
            <w:vAlign w:val="top"/>
          </w:tcPr>
          <w:p>
            <w:pPr>
              <w:spacing w:before="0" w:after="20" w:line="240" w:lineRule="auto"/>
            </w:pPr>
            <w:r/>
            <w:r>
              <w:rPr>
                <w:rFonts w:ascii="Calibri" w:hAnsi="Calibri"/>
                <w:b w:val="0"/>
                <w:color w:val="1F1F1F"/>
                <w:sz w:val="17"/>
              </w:rPr>
              <w:t>Define the statistical and programming authority needed to rebuild the pipeline as a serious 2026 clinical programming work product.</w:t>
            </w:r>
          </w:p>
        </w:tc>
      </w:tr>
    </w:tbl>
    <w:p/>
    <w:tbl>
      <w:tblPr>
        <w:tblW w:type="auto" w:w="0"/>
        <w:jc w:val="center"/>
        <w:tblLook w:firstColumn="1" w:firstRow="1" w:lastColumn="0" w:lastRow="0" w:noHBand="0" w:noVBand="1" w:val="04A0"/>
      </w:tblPr>
      <w:tblGrid>
        <w:gridCol w:w="10166"/>
      </w:tblGrid>
      <w:tr>
        <w:tc>
          <w:tcPr>
            <w:tcW w:type="dxa" w:w="10166"/>
            <w:shd w:fill="FCE4D6"/>
            <w:vAlign w:val="top"/>
          </w:tcPr>
          <w:p>
            <w:pPr>
              <w:spacing w:before="0" w:after="20" w:line="240" w:lineRule="auto"/>
            </w:pPr>
            <w:r/>
            <w:r>
              <w:rPr>
                <w:rFonts w:ascii="Calibri" w:hAnsi="Calibri"/>
                <w:b/>
                <w:color w:val="9C0006"/>
                <w:sz w:val="17"/>
              </w:rPr>
              <w:t>Control statement: This SAP is intentionally stricter than the current repo. Programs, TFLs, Define-XML, reviewer guides and eCTD outputs must conform to this SAP and its release gates. Generated artifacts cannot retroactively establish prespecification.</w:t>
            </w:r>
          </w:p>
        </w:tc>
      </w:tr>
    </w:tbl>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vAlign w:val="top"/>
            <w:shd w:fill="1F4E79"/>
          </w:tcPr>
          <w:p>
            <w:pPr>
              <w:spacing w:before="0" w:after="20" w:line="240" w:lineRule="auto"/>
            </w:pPr>
            <w:r/>
            <w:r>
              <w:rPr>
                <w:rFonts w:ascii="Calibri" w:hAnsi="Calibri"/>
                <w:b/>
                <w:color w:val="FFFFFF"/>
                <w:sz w:val="17"/>
              </w:rPr>
              <w:t>Approval role</w:t>
            </w:r>
          </w:p>
        </w:tc>
        <w:tc>
          <w:tcPr>
            <w:tcW w:type="dxa" w:w="3096"/>
            <w:vAlign w:val="top"/>
            <w:shd w:fill="1F4E79"/>
          </w:tcPr>
          <w:p>
            <w:pPr>
              <w:spacing w:before="0" w:after="20" w:line="240" w:lineRule="auto"/>
            </w:pPr>
            <w:r/>
            <w:r>
              <w:rPr>
                <w:rFonts w:ascii="Calibri" w:hAnsi="Calibri"/>
                <w:b/>
                <w:color w:val="FFFFFF"/>
                <w:sz w:val="17"/>
              </w:rPr>
              <w:t>Name / signature</w:t>
            </w:r>
          </w:p>
        </w:tc>
        <w:tc>
          <w:tcPr>
            <w:tcW w:type="dxa" w:w="1440"/>
            <w:vAlign w:val="top"/>
            <w:shd w:fill="1F4E79"/>
          </w:tcPr>
          <w:p>
            <w:pPr>
              <w:spacing w:before="0" w:after="20" w:line="240" w:lineRule="auto"/>
            </w:pPr>
            <w:r/>
            <w:r>
              <w:rPr>
                <w:rFonts w:ascii="Calibri" w:hAnsi="Calibri"/>
                <w:b/>
                <w:color w:val="FFFFFF"/>
                <w:sz w:val="17"/>
              </w:rPr>
              <w:t>Date</w:t>
            </w:r>
          </w:p>
        </w:tc>
        <w:tc>
          <w:tcPr>
            <w:tcW w:type="dxa" w:w="2520"/>
            <w:vAlign w:val="top"/>
            <w:shd w:fill="1F4E79"/>
          </w:tcPr>
          <w:p>
            <w:pPr>
              <w:spacing w:before="0" w:after="20" w:line="240" w:lineRule="auto"/>
            </w:pPr>
            <w:r/>
            <w:r>
              <w:rPr>
                <w:rFonts w:ascii="Calibri" w:hAnsi="Calibri"/>
                <w:b/>
                <w:color w:val="FFFFFF"/>
                <w:sz w:val="17"/>
              </w:rPr>
              <w:t>Decision</w:t>
            </w:r>
          </w:p>
        </w:tc>
      </w:tr>
      <w:tr>
        <w:tc>
          <w:tcPr>
            <w:tcW w:type="dxa" w:w="2304"/>
            <w:vAlign w:val="top"/>
          </w:tcPr>
          <w:p>
            <w:pPr>
              <w:spacing w:before="0" w:after="20" w:line="240" w:lineRule="auto"/>
            </w:pPr>
            <w:r/>
            <w:r>
              <w:rPr>
                <w:rFonts w:ascii="Calibri" w:hAnsi="Calibri"/>
                <w:b w:val="0"/>
                <w:color w:val="1F1F1F"/>
                <w:sz w:val="17"/>
              </w:rPr>
              <w:t>Lead Statistician</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r>
        <w:tc>
          <w:tcPr>
            <w:tcW w:type="dxa" w:w="2304"/>
            <w:vAlign w:val="top"/>
          </w:tcPr>
          <w:p>
            <w:pPr>
              <w:spacing w:before="0" w:after="20" w:line="240" w:lineRule="auto"/>
            </w:pPr>
            <w:r/>
            <w:r>
              <w:rPr>
                <w:rFonts w:ascii="Calibri" w:hAnsi="Calibri"/>
                <w:b w:val="0"/>
                <w:color w:val="1F1F1F"/>
                <w:sz w:val="17"/>
              </w:rPr>
              <w:t>Lead Statistical Programmer</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r>
        <w:tc>
          <w:tcPr>
            <w:tcW w:type="dxa" w:w="2304"/>
            <w:vAlign w:val="top"/>
          </w:tcPr>
          <w:p>
            <w:pPr>
              <w:spacing w:before="0" w:after="20" w:line="240" w:lineRule="auto"/>
            </w:pPr>
            <w:r/>
            <w:r>
              <w:rPr>
                <w:rFonts w:ascii="Calibri" w:hAnsi="Calibri"/>
                <w:b w:val="0"/>
                <w:color w:val="1F1F1F"/>
                <w:sz w:val="17"/>
              </w:rPr>
              <w:t>Independent QC Programmer</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r>
        <w:tc>
          <w:tcPr>
            <w:tcW w:type="dxa" w:w="2304"/>
            <w:vAlign w:val="top"/>
          </w:tcPr>
          <w:p>
            <w:pPr>
              <w:spacing w:before="0" w:after="20" w:line="240" w:lineRule="auto"/>
            </w:pPr>
            <w:r/>
            <w:r>
              <w:rPr>
                <w:rFonts w:ascii="Calibri" w:hAnsi="Calibri"/>
                <w:b w:val="0"/>
                <w:color w:val="1F1F1F"/>
                <w:sz w:val="17"/>
              </w:rPr>
              <w:t>Clinical Domain Lead</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r>
        <w:tc>
          <w:tcPr>
            <w:tcW w:type="dxa" w:w="2304"/>
            <w:vAlign w:val="top"/>
          </w:tcPr>
          <w:p>
            <w:pPr>
              <w:spacing w:before="0" w:after="20" w:line="240" w:lineRule="auto"/>
            </w:pPr>
            <w:r/>
            <w:r>
              <w:rPr>
                <w:rFonts w:ascii="Calibri" w:hAnsi="Calibri"/>
                <w:b w:val="0"/>
                <w:color w:val="1F1F1F"/>
                <w:sz w:val="17"/>
              </w:rPr>
              <w:t>Data Standards Lead</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r>
        <w:tc>
          <w:tcPr>
            <w:tcW w:type="dxa" w:w="2304"/>
            <w:vAlign w:val="top"/>
          </w:tcPr>
          <w:p>
            <w:pPr>
              <w:spacing w:before="0" w:after="20" w:line="240" w:lineRule="auto"/>
            </w:pPr>
            <w:r/>
            <w:r>
              <w:rPr>
                <w:rFonts w:ascii="Calibri" w:hAnsi="Calibri"/>
                <w:b w:val="0"/>
                <w:color w:val="1F1F1F"/>
                <w:sz w:val="17"/>
              </w:rPr>
              <w:t>Quality / Validation Representative</w:t>
            </w:r>
          </w:p>
        </w:tc>
        <w:tc>
          <w:tcPr>
            <w:tcW w:type="dxa" w:w="3096"/>
            <w:vAlign w:val="top"/>
          </w:tcPr>
          <w:p>
            <w:pPr>
              <w:spacing w:before="0" w:after="20" w:line="240" w:lineRule="auto"/>
            </w:pPr>
            <w:r/>
            <w:r>
              <w:rPr>
                <w:rFonts w:ascii="Calibri" w:hAnsi="Calibri"/>
                <w:b w:val="0"/>
                <w:color w:val="1F1F1F"/>
                <w:sz w:val="17"/>
              </w:rPr>
            </w:r>
          </w:p>
        </w:tc>
        <w:tc>
          <w:tcPr>
            <w:tcW w:type="dxa" w:w="1440"/>
            <w:vAlign w:val="top"/>
          </w:tcPr>
          <w:p>
            <w:pPr>
              <w:spacing w:before="0" w:after="20" w:line="240" w:lineRule="auto"/>
            </w:pPr>
            <w:r/>
            <w:r>
              <w:rPr>
                <w:rFonts w:ascii="Calibri" w:hAnsi="Calibri"/>
                <w:b w:val="0"/>
                <w:color w:val="1F1F1F"/>
                <w:sz w:val="17"/>
              </w:rPr>
            </w:r>
          </w:p>
        </w:tc>
        <w:tc>
          <w:tcPr>
            <w:tcW w:type="dxa" w:w="2520"/>
            <w:vAlign w:val="top"/>
          </w:tcPr>
          <w:p>
            <w:pPr>
              <w:spacing w:before="0" w:after="20" w:line="240" w:lineRule="auto"/>
            </w:pPr>
            <w:r/>
            <w:r>
              <w:rPr>
                <w:rFonts w:ascii="Calibri" w:hAnsi="Calibri"/>
                <w:b w:val="0"/>
                <w:color w:val="1F1F1F"/>
                <w:sz w:val="17"/>
              </w:rPr>
              <w:t>Approve / Revise / Reject</w:t>
            </w:r>
          </w:p>
        </w:tc>
      </w:tr>
    </w:tbl>
    <w:p/>
    <w:p>
      <w:r>
        <w:br w:type="page"/>
      </w:r>
    </w:p>
    <w:p>
      <w:pPr>
        <w:pStyle w:val="Heading1"/>
      </w:pPr>
      <w:r>
        <w:t>Table of contents</w:t>
      </w:r>
    </w:p>
    <w:p>
      <w:pPr>
        <w:pStyle w:val="ListBullet"/>
        <w:spacing w:after="40"/>
      </w:pPr>
      <w:r>
        <w:t>1. Administrative control and document status</w:t>
      </w:r>
    </w:p>
    <w:p>
      <w:pPr>
        <w:pStyle w:val="ListBullet"/>
        <w:spacing w:after="40"/>
      </w:pPr>
      <w:r>
        <w:t>2. Evidence authority and source hierarchy</w:t>
      </w:r>
    </w:p>
    <w:p>
      <w:pPr>
        <w:pStyle w:val="ListBullet"/>
        <w:spacing w:after="40"/>
      </w:pPr>
      <w:r>
        <w:t>3. Study overview</w:t>
      </w:r>
    </w:p>
    <w:p>
      <w:pPr>
        <w:pStyle w:val="ListBullet"/>
        <w:spacing w:after="40"/>
      </w:pPr>
      <w:r>
        <w:t>4. Data provenance and analysis layers</w:t>
      </w:r>
    </w:p>
    <w:p>
      <w:pPr>
        <w:pStyle w:val="ListBullet"/>
        <w:spacing w:after="40"/>
      </w:pPr>
      <w:r>
        <w:t>5. Analysis populations</w:t>
      </w:r>
    </w:p>
    <w:p>
      <w:pPr>
        <w:pStyle w:val="ListBullet"/>
        <w:spacing w:after="40"/>
      </w:pPr>
      <w:r>
        <w:t>6. General statistical principles</w:t>
      </w:r>
    </w:p>
    <w:p>
      <w:pPr>
        <w:pStyle w:val="ListBullet"/>
        <w:spacing w:after="40"/>
      </w:pPr>
      <w:r>
        <w:t>7. Estimand framework</w:t>
      </w:r>
    </w:p>
    <w:p>
      <w:pPr>
        <w:pStyle w:val="ListBullet"/>
        <w:spacing w:after="40"/>
      </w:pPr>
      <w:r>
        <w:t>8. Multiplicity and Type I error control</w:t>
      </w:r>
    </w:p>
    <w:p>
      <w:pPr>
        <w:pStyle w:val="ListBullet"/>
        <w:spacing w:after="40"/>
      </w:pPr>
      <w:r>
        <w:t>9. Primary efficacy analysis - overall survival</w:t>
      </w:r>
    </w:p>
    <w:p>
      <w:pPr>
        <w:pStyle w:val="ListBullet"/>
        <w:spacing w:after="40"/>
      </w:pPr>
      <w:r>
        <w:t>10. Secondary efficacy analyses</w:t>
      </w:r>
    </w:p>
    <w:p>
      <w:pPr>
        <w:pStyle w:val="ListBullet"/>
        <w:spacing w:after="40"/>
      </w:pPr>
      <w:r>
        <w:t>11. Safety analyses</w:t>
      </w:r>
    </w:p>
    <w:p>
      <w:pPr>
        <w:pStyle w:val="ListBullet"/>
        <w:spacing w:after="40"/>
      </w:pPr>
      <w:r>
        <w:t>12. Exposure, dose modification and Project Optimus exploratory analyses</w:t>
      </w:r>
    </w:p>
    <w:p>
      <w:pPr>
        <w:pStyle w:val="ListBullet"/>
        <w:spacing w:after="40"/>
      </w:pPr>
      <w:r>
        <w:t>13. Subgroup, sensitivity and supplementary analyses</w:t>
      </w:r>
    </w:p>
    <w:p>
      <w:pPr>
        <w:pStyle w:val="ListBullet"/>
        <w:spacing w:after="40"/>
      </w:pPr>
      <w:r>
        <w:t>14. Data handling, missing data, partial dates and visit windows</w:t>
      </w:r>
    </w:p>
    <w:p>
      <w:pPr>
        <w:pStyle w:val="ListBullet"/>
        <w:spacing w:after="40"/>
      </w:pPr>
      <w:r>
        <w:t>15. CDISC implementation and metadata traceability</w:t>
      </w:r>
    </w:p>
    <w:p>
      <w:pPr>
        <w:pStyle w:val="ListBullet"/>
        <w:spacing w:after="40"/>
      </w:pPr>
      <w:r>
        <w:t>16. Programming, independent QC and release gates</w:t>
      </w:r>
    </w:p>
    <w:p>
      <w:pPr>
        <w:pStyle w:val="ListBullet"/>
        <w:spacing w:after="40"/>
      </w:pPr>
      <w:r>
        <w:t>17. TFL catalog and shell control</w:t>
      </w:r>
    </w:p>
    <w:p>
      <w:pPr>
        <w:pStyle w:val="ListBullet"/>
        <w:spacing w:after="40"/>
      </w:pPr>
      <w:r>
        <w:t>18. Known limitations and remediation controls</w:t>
      </w:r>
    </w:p>
    <w:p>
      <w:pPr>
        <w:pStyle w:val="ListBullet"/>
        <w:spacing w:after="40"/>
      </w:pPr>
      <w:r>
        <w:t>19. References</w:t>
      </w:r>
    </w:p>
    <w:p>
      <w:pPr>
        <w:pStyle w:val="ListBullet"/>
        <w:spacing w:after="40"/>
      </w:pPr>
      <w:r>
        <w:t>Appendix A. Source register</w:t>
      </w:r>
    </w:p>
    <w:p>
      <w:pPr>
        <w:pStyle w:val="ListBullet"/>
        <w:spacing w:after="40"/>
      </w:pPr>
      <w:r>
        <w:t>Appendix B. Endpoint algorithm details</w:t>
      </w:r>
    </w:p>
    <w:p>
      <w:pPr>
        <w:pStyle w:val="ListBullet"/>
        <w:spacing w:after="40"/>
      </w:pPr>
      <w:r>
        <w:t>Appendix C. ADaM dataset and metadata requirements</w:t>
      </w:r>
    </w:p>
    <w:p>
      <w:pPr>
        <w:pStyle w:val="ListBullet"/>
        <w:spacing w:after="40"/>
      </w:pPr>
      <w:r>
        <w:t>Appendix D. Full TFL catalog</w:t>
      </w:r>
    </w:p>
    <w:p>
      <w:pPr>
        <w:pStyle w:val="ListBullet"/>
        <w:spacing w:after="40"/>
      </w:pPr>
      <w:r>
        <w:t>Appendix E. Published validation targets</w:t>
      </w:r>
    </w:p>
    <w:p>
      <w:pPr>
        <w:pStyle w:val="ListBullet"/>
        <w:spacing w:after="40"/>
      </w:pPr>
      <w:r>
        <w:t>Appendix F. Safety, death and exposure publication targets</w:t>
      </w:r>
    </w:p>
    <w:p>
      <w:pPr>
        <w:pStyle w:val="ListBullet"/>
        <w:spacing w:after="40"/>
      </w:pPr>
      <w:r>
        <w:t>Appendix G. Subgroup target register</w:t>
      </w:r>
    </w:p>
    <w:p>
      <w:pPr>
        <w:pStyle w:val="ListBullet"/>
        <w:spacing w:after="40"/>
      </w:pPr>
      <w:r>
        <w:t>Appendix H. Visit-window and protocol-correction registers</w:t>
      </w:r>
    </w:p>
    <w:p>
      <w:pPr>
        <w:pStyle w:val="ListBullet"/>
        <w:spacing w:after="40"/>
      </w:pPr>
      <w:r>
        <w:t>Appendix I. Full ADaM variable specification summary</w:t>
      </w:r>
    </w:p>
    <w:p>
      <w:pPr>
        <w:pStyle w:val="ListBullet"/>
        <w:spacing w:after="40"/>
      </w:pPr>
      <w:r>
        <w:t>Appendix J. Critical audit closure checklist</w:t>
      </w:r>
    </w:p>
    <w:p>
      <w:r>
        <w:br w:type="page"/>
      </w:r>
    </w:p>
    <w:p>
      <w:pPr>
        <w:pStyle w:val="Heading1"/>
      </w:pPr>
      <w:r>
        <w:t>1. Administrative control and document status</w:t>
      </w:r>
    </w:p>
    <w:p>
      <w:pPr>
        <w:spacing w:after="80"/>
      </w:pPr>
      <w:r>
        <w:t>This document is the controlling Statistical Analysis Plan (SAP) draft for rebuilding the TROPIC clinical programming pipeline as a serious regulated-workflow artifact. It is not the original Sanofi SAP and does not assert sponsor approval. It is designed to be approvable after sponsor/statistical review, source-data reconciliation, and closure of release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top"/>
            <w:shd w:fill="1F4E79"/>
          </w:tcPr>
          <w:p>
            <w:pPr>
              <w:spacing w:before="0" w:after="20" w:line="240" w:lineRule="auto"/>
            </w:pPr>
            <w:r/>
            <w:r>
              <w:rPr>
                <w:rFonts w:ascii="Calibri" w:hAnsi="Calibri"/>
                <w:b/>
                <w:color w:val="FFFFFF"/>
                <w:sz w:val="16"/>
              </w:rPr>
              <w:t>Control item</w:t>
            </w:r>
          </w:p>
        </w:tc>
        <w:tc>
          <w:tcPr>
            <w:tcW w:type="dxa" w:w="7200"/>
            <w:vAlign w:val="top"/>
            <w:shd w:fill="1F4E79"/>
          </w:tcPr>
          <w:p>
            <w:pPr>
              <w:spacing w:before="0" w:after="20" w:line="240" w:lineRule="auto"/>
            </w:pPr>
            <w:r/>
            <w:r>
              <w:rPr>
                <w:rFonts w:ascii="Calibri" w:hAnsi="Calibri"/>
                <w:b/>
                <w:color w:val="FFFFFF"/>
                <w:sz w:val="16"/>
              </w:rPr>
              <w:t>Requirement</w:t>
            </w:r>
          </w:p>
        </w:tc>
      </w:tr>
      <w:tr>
        <w:tc>
          <w:tcPr>
            <w:tcW w:type="dxa" w:w="2160"/>
            <w:vAlign w:val="top"/>
          </w:tcPr>
          <w:p>
            <w:pPr>
              <w:spacing w:before="0" w:after="20" w:line="240" w:lineRule="auto"/>
            </w:pPr>
            <w:r/>
            <w:r>
              <w:rPr>
                <w:rFonts w:ascii="Calibri" w:hAnsi="Calibri"/>
                <w:b w:val="0"/>
                <w:color w:val="1F1F1F"/>
                <w:sz w:val="16"/>
              </w:rPr>
              <w:t>Change control</w:t>
            </w:r>
          </w:p>
        </w:tc>
        <w:tc>
          <w:tcPr>
            <w:tcW w:type="dxa" w:w="7200"/>
            <w:vAlign w:val="top"/>
          </w:tcPr>
          <w:p>
            <w:pPr>
              <w:spacing w:before="0" w:after="20" w:line="240" w:lineRule="auto"/>
            </w:pPr>
            <w:r/>
            <w:r>
              <w:rPr>
                <w:rFonts w:ascii="Calibri" w:hAnsi="Calibri"/>
                <w:b w:val="0"/>
                <w:color w:val="1F1F1F"/>
                <w:sz w:val="16"/>
              </w:rPr>
              <w:t>Any change after approval requires a versioned SAP amendment, rationale, affected outputs, affected ADaM/Define metadata, and signer approval.</w:t>
            </w:r>
          </w:p>
        </w:tc>
      </w:tr>
      <w:tr>
        <w:tc>
          <w:tcPr>
            <w:tcW w:type="dxa" w:w="2160"/>
            <w:vAlign w:val="top"/>
          </w:tcPr>
          <w:p>
            <w:pPr>
              <w:spacing w:before="0" w:after="20" w:line="240" w:lineRule="auto"/>
            </w:pPr>
            <w:r/>
            <w:r>
              <w:rPr>
                <w:rFonts w:ascii="Calibri" w:hAnsi="Calibri"/>
                <w:b w:val="0"/>
                <w:color w:val="1F1F1F"/>
                <w:sz w:val="16"/>
              </w:rPr>
              <w:t>Traceability</w:t>
            </w:r>
          </w:p>
        </w:tc>
        <w:tc>
          <w:tcPr>
            <w:tcW w:type="dxa" w:w="7200"/>
            <w:vAlign w:val="top"/>
          </w:tcPr>
          <w:p>
            <w:pPr>
              <w:spacing w:before="0" w:after="20" w:line="240" w:lineRule="auto"/>
            </w:pPr>
            <w:r/>
            <w:r>
              <w:rPr>
                <w:rFonts w:ascii="Calibri" w:hAnsi="Calibri"/>
                <w:b w:val="0"/>
                <w:color w:val="1F1F1F"/>
                <w:sz w:val="16"/>
              </w:rPr>
              <w:t>Every analysis result must trace to SAP section, TFL shell, ADaM dataset/variable(s), SDTM/source predecessor(s), program, QC program and run manifest.</w:t>
            </w:r>
          </w:p>
        </w:tc>
      </w:tr>
      <w:tr>
        <w:tc>
          <w:tcPr>
            <w:tcW w:type="dxa" w:w="2160"/>
            <w:vAlign w:val="top"/>
          </w:tcPr>
          <w:p>
            <w:pPr>
              <w:spacing w:before="0" w:after="20" w:line="240" w:lineRule="auto"/>
            </w:pPr>
            <w:r/>
            <w:r>
              <w:rPr>
                <w:rFonts w:ascii="Calibri" w:hAnsi="Calibri"/>
                <w:b w:val="0"/>
                <w:color w:val="1F1F1F"/>
                <w:sz w:val="16"/>
              </w:rPr>
              <w:t>Evidence standard</w:t>
            </w:r>
          </w:p>
        </w:tc>
        <w:tc>
          <w:tcPr>
            <w:tcW w:type="dxa" w:w="7200"/>
            <w:vAlign w:val="top"/>
          </w:tcPr>
          <w:p>
            <w:pPr>
              <w:spacing w:before="0" w:after="20" w:line="240" w:lineRule="auto"/>
            </w:pPr>
            <w:r/>
            <w:r>
              <w:rPr>
                <w:rFonts w:ascii="Calibri" w:hAnsi="Calibri"/>
                <w:b w:val="0"/>
                <w:color w:val="1F1F1F"/>
                <w:sz w:val="16"/>
              </w:rPr>
              <w:t>No claim is accepted without a file, page/section, dataset, program or validator report reference.</w:t>
            </w:r>
          </w:p>
        </w:tc>
      </w:tr>
      <w:tr>
        <w:tc>
          <w:tcPr>
            <w:tcW w:type="dxa" w:w="2160"/>
            <w:vAlign w:val="top"/>
          </w:tcPr>
          <w:p>
            <w:pPr>
              <w:spacing w:before="0" w:after="20" w:line="240" w:lineRule="auto"/>
            </w:pPr>
            <w:r/>
            <w:r>
              <w:rPr>
                <w:rFonts w:ascii="Calibri" w:hAnsi="Calibri"/>
                <w:b w:val="0"/>
                <w:color w:val="1F1F1F"/>
                <w:sz w:val="16"/>
              </w:rPr>
              <w:t>Submission readiness</w:t>
            </w:r>
          </w:p>
        </w:tc>
        <w:tc>
          <w:tcPr>
            <w:tcW w:type="dxa" w:w="7200"/>
            <w:vAlign w:val="top"/>
          </w:tcPr>
          <w:p>
            <w:pPr>
              <w:spacing w:before="0" w:after="20" w:line="240" w:lineRule="auto"/>
            </w:pPr>
            <w:r/>
            <w:r>
              <w:rPr>
                <w:rFonts w:ascii="Calibri" w:hAnsi="Calibri"/>
                <w:b w:val="0"/>
                <w:color w:val="1F1F1F"/>
                <w:sz w:val="16"/>
              </w:rPr>
              <w:t>The current repository is not submission-ready until audit Critical findings F-001 through F-005 are closed and Major findings are either closed or formally risk-accepted.</w:t>
            </w:r>
          </w:p>
        </w:tc>
      </w:tr>
      <w:tr>
        <w:tc>
          <w:tcPr>
            <w:tcW w:type="dxa" w:w="2160"/>
            <w:vAlign w:val="top"/>
          </w:tcPr>
          <w:p>
            <w:pPr>
              <w:spacing w:before="0" w:after="20" w:line="240" w:lineRule="auto"/>
            </w:pPr>
            <w:r/>
            <w:r>
              <w:rPr>
                <w:rFonts w:ascii="Calibri" w:hAnsi="Calibri"/>
                <w:b w:val="0"/>
                <w:color w:val="1F1F1F"/>
                <w:sz w:val="16"/>
              </w:rPr>
              <w:t>Portfolio constraint</w:t>
            </w:r>
          </w:p>
        </w:tc>
        <w:tc>
          <w:tcPr>
            <w:tcW w:type="dxa" w:w="7200"/>
            <w:vAlign w:val="top"/>
          </w:tcPr>
          <w:p>
            <w:pPr>
              <w:spacing w:before="0" w:after="20" w:line="240" w:lineRule="auto"/>
            </w:pPr>
            <w:r/>
            <w:r>
              <w:rPr>
                <w:rFonts w:ascii="Calibri" w:hAnsi="Calibri"/>
                <w:b w:val="0"/>
                <w:color w:val="1F1F1F"/>
                <w:sz w:val="16"/>
              </w:rPr>
              <w:t>The repository may remain public/portfolio-oriented, but clinical claims must be controlled as non-confirmatory unless supported by authoritative complete data and approval.</w:t>
            </w:r>
          </w:p>
        </w:tc>
      </w:tr>
    </w:tbl>
    <w:p/>
    <w:p>
      <w:pPr>
        <w:pStyle w:val="Heading2"/>
      </w:pPr>
      <w:r>
        <w:t>1.1 Roles and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top"/>
            <w:shd w:fill="1F4E79"/>
          </w:tcPr>
          <w:p>
            <w:pPr>
              <w:spacing w:before="0" w:after="20" w:line="240" w:lineRule="auto"/>
            </w:pPr>
            <w:r/>
            <w:r>
              <w:rPr>
                <w:rFonts w:ascii="Calibri" w:hAnsi="Calibri"/>
                <w:b/>
                <w:color w:val="FFFFFF"/>
                <w:sz w:val="16"/>
              </w:rPr>
              <w:t>Role</w:t>
            </w:r>
          </w:p>
        </w:tc>
        <w:tc>
          <w:tcPr>
            <w:tcW w:type="dxa" w:w="7128"/>
            <w:vAlign w:val="top"/>
            <w:shd w:fill="1F4E79"/>
          </w:tcPr>
          <w:p>
            <w:pPr>
              <w:spacing w:before="0" w:after="20" w:line="240" w:lineRule="auto"/>
            </w:pPr>
            <w:r/>
            <w:r>
              <w:rPr>
                <w:rFonts w:ascii="Calibri" w:hAnsi="Calibri"/>
                <w:b/>
                <w:color w:val="FFFFFF"/>
                <w:sz w:val="16"/>
              </w:rPr>
              <w:t>Accountability</w:t>
            </w:r>
          </w:p>
        </w:tc>
      </w:tr>
      <w:tr>
        <w:tc>
          <w:tcPr>
            <w:tcW w:type="dxa" w:w="2232"/>
            <w:vAlign w:val="top"/>
          </w:tcPr>
          <w:p>
            <w:pPr>
              <w:spacing w:before="0" w:after="20" w:line="240" w:lineRule="auto"/>
            </w:pPr>
            <w:r/>
            <w:r>
              <w:rPr>
                <w:rFonts w:ascii="Calibri" w:hAnsi="Calibri"/>
                <w:b w:val="0"/>
                <w:color w:val="1F1F1F"/>
                <w:sz w:val="16"/>
              </w:rPr>
              <w:t>Lead Statistician</w:t>
            </w:r>
          </w:p>
        </w:tc>
        <w:tc>
          <w:tcPr>
            <w:tcW w:type="dxa" w:w="7128"/>
            <w:vAlign w:val="top"/>
          </w:tcPr>
          <w:p>
            <w:pPr>
              <w:spacing w:before="0" w:after="20" w:line="240" w:lineRule="auto"/>
            </w:pPr>
            <w:r/>
            <w:r>
              <w:rPr>
                <w:rFonts w:ascii="Calibri" w:hAnsi="Calibri"/>
                <w:b w:val="0"/>
                <w:color w:val="1F1F1F"/>
                <w:sz w:val="16"/>
              </w:rPr>
              <w:t>Owns SAP scientific content, estimands, multiplicity, statistical models, interpretation and final approval.</w:t>
            </w:r>
          </w:p>
        </w:tc>
      </w:tr>
      <w:tr>
        <w:tc>
          <w:tcPr>
            <w:tcW w:type="dxa" w:w="2232"/>
            <w:vAlign w:val="top"/>
          </w:tcPr>
          <w:p>
            <w:pPr>
              <w:spacing w:before="0" w:after="20" w:line="240" w:lineRule="auto"/>
            </w:pPr>
            <w:r/>
            <w:r>
              <w:rPr>
                <w:rFonts w:ascii="Calibri" w:hAnsi="Calibri"/>
                <w:b w:val="0"/>
                <w:color w:val="1F1F1F"/>
                <w:sz w:val="16"/>
              </w:rPr>
              <w:t>Lead Statistical Programmer</w:t>
            </w:r>
          </w:p>
        </w:tc>
        <w:tc>
          <w:tcPr>
            <w:tcW w:type="dxa" w:w="7128"/>
            <w:vAlign w:val="top"/>
          </w:tcPr>
          <w:p>
            <w:pPr>
              <w:spacing w:before="0" w:after="20" w:line="240" w:lineRule="auto"/>
            </w:pPr>
            <w:r/>
            <w:r>
              <w:rPr>
                <w:rFonts w:ascii="Calibri" w:hAnsi="Calibri"/>
                <w:b w:val="0"/>
                <w:color w:val="1F1F1F"/>
                <w:sz w:val="16"/>
              </w:rPr>
              <w:t>Owns production programming implementation, ADaM/TFL standards alignment, run manifest and programmer sign-off.</w:t>
            </w:r>
          </w:p>
        </w:tc>
      </w:tr>
      <w:tr>
        <w:tc>
          <w:tcPr>
            <w:tcW w:type="dxa" w:w="2232"/>
            <w:vAlign w:val="top"/>
          </w:tcPr>
          <w:p>
            <w:pPr>
              <w:spacing w:before="0" w:after="20" w:line="240" w:lineRule="auto"/>
            </w:pPr>
            <w:r/>
            <w:r>
              <w:rPr>
                <w:rFonts w:ascii="Calibri" w:hAnsi="Calibri"/>
                <w:b w:val="0"/>
                <w:color w:val="1F1F1F"/>
                <w:sz w:val="16"/>
              </w:rPr>
              <w:t>Independent QC Programmer</w:t>
            </w:r>
          </w:p>
        </w:tc>
        <w:tc>
          <w:tcPr>
            <w:tcW w:type="dxa" w:w="7128"/>
            <w:vAlign w:val="top"/>
          </w:tcPr>
          <w:p>
            <w:pPr>
              <w:spacing w:before="0" w:after="20" w:line="240" w:lineRule="auto"/>
            </w:pPr>
            <w:r/>
            <w:r>
              <w:rPr>
                <w:rFonts w:ascii="Calibri" w:hAnsi="Calibri"/>
                <w:b w:val="0"/>
                <w:color w:val="1F1F1F"/>
                <w:sz w:val="16"/>
              </w:rPr>
              <w:t>Owns independent derivation and result reproduction, discrepancy triage and QC sign-off.</w:t>
            </w:r>
          </w:p>
        </w:tc>
      </w:tr>
      <w:tr>
        <w:tc>
          <w:tcPr>
            <w:tcW w:type="dxa" w:w="2232"/>
            <w:vAlign w:val="top"/>
          </w:tcPr>
          <w:p>
            <w:pPr>
              <w:spacing w:before="0" w:after="20" w:line="240" w:lineRule="auto"/>
            </w:pPr>
            <w:r/>
            <w:r>
              <w:rPr>
                <w:rFonts w:ascii="Calibri" w:hAnsi="Calibri"/>
                <w:b w:val="0"/>
                <w:color w:val="1F1F1F"/>
                <w:sz w:val="16"/>
              </w:rPr>
              <w:t>Clinical Domain Lead</w:t>
            </w:r>
          </w:p>
        </w:tc>
        <w:tc>
          <w:tcPr>
            <w:tcW w:type="dxa" w:w="7128"/>
            <w:vAlign w:val="top"/>
          </w:tcPr>
          <w:p>
            <w:pPr>
              <w:spacing w:before="0" w:after="20" w:line="240" w:lineRule="auto"/>
            </w:pPr>
            <w:r/>
            <w:r>
              <w:rPr>
                <w:rFonts w:ascii="Calibri" w:hAnsi="Calibri"/>
                <w:b w:val="0"/>
                <w:color w:val="1F1F1F"/>
                <w:sz w:val="16"/>
              </w:rPr>
              <w:t>Confirms endpoint clinical meaning, event adjudication assumptions, safety groupings and medically important caveats.</w:t>
            </w:r>
          </w:p>
        </w:tc>
      </w:tr>
      <w:tr>
        <w:tc>
          <w:tcPr>
            <w:tcW w:type="dxa" w:w="2232"/>
            <w:vAlign w:val="top"/>
          </w:tcPr>
          <w:p>
            <w:pPr>
              <w:spacing w:before="0" w:after="20" w:line="240" w:lineRule="auto"/>
            </w:pPr>
            <w:r/>
            <w:r>
              <w:rPr>
                <w:rFonts w:ascii="Calibri" w:hAnsi="Calibri"/>
                <w:b w:val="0"/>
                <w:color w:val="1F1F1F"/>
                <w:sz w:val="16"/>
              </w:rPr>
              <w:t>Data Standards Lead</w:t>
            </w:r>
          </w:p>
        </w:tc>
        <w:tc>
          <w:tcPr>
            <w:tcW w:type="dxa" w:w="7128"/>
            <w:vAlign w:val="top"/>
          </w:tcPr>
          <w:p>
            <w:pPr>
              <w:spacing w:before="0" w:after="20" w:line="240" w:lineRule="auto"/>
            </w:pPr>
            <w:r/>
            <w:r>
              <w:rPr>
                <w:rFonts w:ascii="Calibri" w:hAnsi="Calibri"/>
                <w:b w:val="0"/>
                <w:color w:val="1F1F1F"/>
                <w:sz w:val="16"/>
              </w:rPr>
              <w:t>Owns CDISC conformance, Define-XML/ARM, controlled terminology and metadata/data concordance.</w:t>
            </w:r>
          </w:p>
        </w:tc>
      </w:tr>
      <w:tr>
        <w:tc>
          <w:tcPr>
            <w:tcW w:type="dxa" w:w="2232"/>
            <w:vAlign w:val="top"/>
          </w:tcPr>
          <w:p>
            <w:pPr>
              <w:spacing w:before="0" w:after="20" w:line="240" w:lineRule="auto"/>
            </w:pPr>
            <w:r/>
            <w:r>
              <w:rPr>
                <w:rFonts w:ascii="Calibri" w:hAnsi="Calibri"/>
                <w:b w:val="0"/>
                <w:color w:val="1F1F1F"/>
                <w:sz w:val="16"/>
              </w:rPr>
              <w:t>Quality / Validation Representative</w:t>
            </w:r>
          </w:p>
        </w:tc>
        <w:tc>
          <w:tcPr>
            <w:tcW w:type="dxa" w:w="7128"/>
            <w:vAlign w:val="top"/>
          </w:tcPr>
          <w:p>
            <w:pPr>
              <w:spacing w:before="0" w:after="20" w:line="240" w:lineRule="auto"/>
            </w:pPr>
            <w:r/>
            <w:r>
              <w:rPr>
                <w:rFonts w:ascii="Calibri" w:hAnsi="Calibri"/>
                <w:b w:val="0"/>
                <w:color w:val="1F1F1F"/>
                <w:sz w:val="16"/>
              </w:rPr>
              <w:t>Owns process validation evidence, Part 11 control assessment, audit-trail retention and release readiness.</w:t>
            </w:r>
          </w:p>
        </w:tc>
      </w:tr>
    </w:tbl>
    <w:p/>
    <w:p>
      <w:pPr>
        <w:pStyle w:val="Heading2"/>
      </w:pPr>
      <w:r>
        <w:t>1.2 Document deliverable set controlled by this SAP</w:t>
      </w:r>
    </w:p>
    <w:p>
      <w:pPr>
        <w:pStyle w:val="ListBullet"/>
        <w:spacing w:after="40"/>
      </w:pPr>
      <w:r>
        <w:t>ADaM production datasets and transport files.</w:t>
      </w:r>
    </w:p>
    <w:p>
      <w:pPr>
        <w:pStyle w:val="ListBullet"/>
        <w:spacing w:after="40"/>
      </w:pPr>
      <w:r>
        <w:t>Independent R/pharmaverse validation datasets and reconciliation outputs.</w:t>
      </w:r>
    </w:p>
    <w:p>
      <w:pPr>
        <w:pStyle w:val="ListBullet"/>
        <w:spacing w:after="40"/>
      </w:pPr>
      <w:r>
        <w:t>Tables, figures and listings in the controlled TFL catalog.</w:t>
      </w:r>
    </w:p>
    <w:p>
      <w:pPr>
        <w:pStyle w:val="ListBullet"/>
        <w:spacing w:after="40"/>
      </w:pPr>
      <w:r>
        <w:t>Define-XML v2.1 with ARM and value-level metadata.</w:t>
      </w:r>
    </w:p>
    <w:p>
      <w:pPr>
        <w:pStyle w:val="ListBullet"/>
        <w:spacing w:after="40"/>
      </w:pPr>
      <w:r>
        <w:t>ADRG, SDRG, traceability matrix, conformance reports and eCTD study-data package.</w:t>
      </w:r>
    </w:p>
    <w:p>
      <w:pPr>
        <w:pStyle w:val="ListBullet"/>
        <w:spacing w:after="40"/>
      </w:pPr>
      <w:r>
        <w:t>Run manifest tying source data, programs, logs, outputs, validator results and hashes to one reproducible execution.</w:t>
      </w:r>
    </w:p>
    <w:p>
      <w:pPr>
        <w:pStyle w:val="Heading1"/>
      </w:pPr>
      <w:r>
        <w:t>2. Evidence authority and source hierarchy</w:t>
      </w:r>
    </w:p>
    <w:p>
      <w:pPr>
        <w:spacing w:after="80"/>
      </w:pPr>
      <w:r>
        <w:t>The SAP resolves conflicts using an explicit source hierarchy. Protocol and publication evidence are clinical/statistical sources; generated code and documents are implementation evidence only.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vAlign w:val="top"/>
            <w:shd w:fill="1F4E79"/>
          </w:tcPr>
          <w:p>
            <w:pPr>
              <w:spacing w:before="0" w:after="20" w:line="240" w:lineRule="auto"/>
            </w:pPr>
            <w:r/>
            <w:r>
              <w:rPr>
                <w:rFonts w:ascii="Calibri" w:hAnsi="Calibri"/>
                <w:b/>
                <w:color w:val="FFFFFF"/>
                <w:sz w:val="16"/>
              </w:rPr>
              <w:t>Rank</w:t>
            </w:r>
          </w:p>
        </w:tc>
        <w:tc>
          <w:tcPr>
            <w:tcW w:type="dxa" w:w="3168"/>
            <w:vAlign w:val="top"/>
            <w:shd w:fill="1F4E79"/>
          </w:tcPr>
          <w:p>
            <w:pPr>
              <w:spacing w:before="0" w:after="20" w:line="240" w:lineRule="auto"/>
            </w:pPr>
            <w:r/>
            <w:r>
              <w:rPr>
                <w:rFonts w:ascii="Calibri" w:hAnsi="Calibri"/>
                <w:b/>
                <w:color w:val="FFFFFF"/>
                <w:sz w:val="16"/>
              </w:rPr>
              <w:t>Source authority</w:t>
            </w:r>
          </w:p>
        </w:tc>
        <w:tc>
          <w:tcPr>
            <w:tcW w:type="dxa" w:w="5472"/>
            <w:vAlign w:val="top"/>
            <w:shd w:fill="1F4E79"/>
          </w:tcPr>
          <w:p>
            <w:pPr>
              <w:spacing w:before="0" w:after="20" w:line="240" w:lineRule="auto"/>
            </w:pPr>
            <w:r/>
            <w:r>
              <w:rPr>
                <w:rFonts w:ascii="Calibri" w:hAnsi="Calibri"/>
                <w:b/>
                <w:color w:val="FFFFFF"/>
                <w:sz w:val="16"/>
              </w:rPr>
              <w:t>Governance use</w:t>
            </w:r>
          </w:p>
        </w:tc>
      </w:tr>
      <w:tr>
        <w:tc>
          <w:tcPr>
            <w:tcW w:type="dxa" w:w="720"/>
            <w:vAlign w:val="top"/>
          </w:tcPr>
          <w:p>
            <w:pPr>
              <w:spacing w:before="0" w:after="20" w:line="240" w:lineRule="auto"/>
            </w:pPr>
            <w:r/>
            <w:r>
              <w:rPr>
                <w:rFonts w:ascii="Calibri" w:hAnsi="Calibri"/>
                <w:b w:val="0"/>
                <w:color w:val="1F1F1F"/>
                <w:sz w:val="16"/>
              </w:rPr>
              <w:t>1</w:t>
            </w:r>
          </w:p>
        </w:tc>
        <w:tc>
          <w:tcPr>
            <w:tcW w:type="dxa" w:w="3168"/>
            <w:vAlign w:val="top"/>
          </w:tcPr>
          <w:p>
            <w:pPr>
              <w:spacing w:before="0" w:after="20" w:line="240" w:lineRule="auto"/>
            </w:pPr>
            <w:r/>
            <w:r>
              <w:rPr>
                <w:rFonts w:ascii="Calibri" w:hAnsi="Calibri"/>
                <w:b w:val="0"/>
                <w:color w:val="1F1F1F"/>
                <w:sz w:val="16"/>
              </w:rPr>
              <w:t>Protocol Amendment 5, 21-Jul-2008</w:t>
            </w:r>
          </w:p>
        </w:tc>
        <w:tc>
          <w:tcPr>
            <w:tcW w:type="dxa" w:w="5472"/>
            <w:vAlign w:val="top"/>
          </w:tcPr>
          <w:p>
            <w:pPr>
              <w:spacing w:before="0" w:after="20" w:line="240" w:lineRule="auto"/>
            </w:pPr>
            <w:r/>
            <w:r>
              <w:rPr>
                <w:rFonts w:ascii="Calibri" w:hAnsi="Calibri"/>
                <w:b w:val="0"/>
                <w:color w:val="1F1F1F"/>
                <w:sz w:val="16"/>
              </w:rPr>
              <w:t>Trial objectives, design, populations, endpoint concepts, randomization strata, treatment schedules, sample size assumptions and planned primary analysis.</w:t>
            </w:r>
          </w:p>
        </w:tc>
      </w:tr>
      <w:tr>
        <w:tc>
          <w:tcPr>
            <w:tcW w:type="dxa" w:w="720"/>
            <w:vAlign w:val="top"/>
          </w:tcPr>
          <w:p>
            <w:pPr>
              <w:spacing w:before="0" w:after="20" w:line="240" w:lineRule="auto"/>
            </w:pPr>
            <w:r/>
            <w:r>
              <w:rPr>
                <w:rFonts w:ascii="Calibri" w:hAnsi="Calibri"/>
                <w:b w:val="0"/>
                <w:color w:val="1F1F1F"/>
                <w:sz w:val="16"/>
              </w:rPr>
              <w:t>2</w:t>
            </w:r>
          </w:p>
        </w:tc>
        <w:tc>
          <w:tcPr>
            <w:tcW w:type="dxa" w:w="3168"/>
            <w:vAlign w:val="top"/>
          </w:tcPr>
          <w:p>
            <w:pPr>
              <w:spacing w:before="0" w:after="20" w:line="240" w:lineRule="auto"/>
            </w:pPr>
            <w:r/>
            <w:r>
              <w:rPr>
                <w:rFonts w:ascii="Calibri" w:hAnsi="Calibri"/>
                <w:b w:val="0"/>
                <w:color w:val="1F1F1F"/>
                <w:sz w:val="16"/>
              </w:rPr>
              <w:t>Corrected de Bono et al. Lancet 2010 publication</w:t>
            </w:r>
          </w:p>
        </w:tc>
        <w:tc>
          <w:tcPr>
            <w:tcW w:type="dxa" w:w="5472"/>
            <w:vAlign w:val="top"/>
          </w:tcPr>
          <w:p>
            <w:pPr>
              <w:spacing w:before="0" w:after="20" w:line="240" w:lineRule="auto"/>
            </w:pPr>
            <w:r/>
            <w:r>
              <w:rPr>
                <w:rFonts w:ascii="Calibri" w:hAnsi="Calibri"/>
                <w:b w:val="0"/>
                <w:color w:val="1F1F1F"/>
                <w:sz w:val="16"/>
              </w:rPr>
              <w:t>Public final-analysis cut-off, published ITT/safety counts, efficacy/safety results, and trial-era terminology confirmation.</w:t>
            </w:r>
          </w:p>
        </w:tc>
      </w:tr>
      <w:tr>
        <w:tc>
          <w:tcPr>
            <w:tcW w:type="dxa" w:w="720"/>
            <w:vAlign w:val="top"/>
          </w:tcPr>
          <w:p>
            <w:pPr>
              <w:spacing w:before="0" w:after="20" w:line="240" w:lineRule="auto"/>
            </w:pPr>
            <w:r/>
            <w:r>
              <w:rPr>
                <w:rFonts w:ascii="Calibri" w:hAnsi="Calibri"/>
                <w:b w:val="0"/>
                <w:color w:val="1F1F1F"/>
                <w:sz w:val="16"/>
              </w:rPr>
              <w:t>3</w:t>
            </w:r>
          </w:p>
        </w:tc>
        <w:tc>
          <w:tcPr>
            <w:tcW w:type="dxa" w:w="3168"/>
            <w:vAlign w:val="top"/>
          </w:tcPr>
          <w:p>
            <w:pPr>
              <w:spacing w:before="0" w:after="20" w:line="240" w:lineRule="auto"/>
            </w:pPr>
            <w:r/>
            <w:r>
              <w:rPr>
                <w:rFonts w:ascii="Calibri" w:hAnsi="Calibri"/>
                <w:b w:val="0"/>
                <w:color w:val="1F1F1F"/>
                <w:sz w:val="16"/>
              </w:rPr>
              <w:t>Patient-level source data made available through PDS/Sanofi</w:t>
            </w:r>
          </w:p>
        </w:tc>
        <w:tc>
          <w:tcPr>
            <w:tcW w:type="dxa" w:w="5472"/>
            <w:vAlign w:val="top"/>
          </w:tcPr>
          <w:p>
            <w:pPr>
              <w:spacing w:before="0" w:after="20" w:line="240" w:lineRule="auto"/>
            </w:pPr>
            <w:r/>
            <w:r>
              <w:rPr>
                <w:rFonts w:ascii="Calibri" w:hAnsi="Calibri"/>
                <w:b w:val="0"/>
                <w:color w:val="1F1F1F"/>
                <w:sz w:val="16"/>
              </w:rPr>
              <w:t>Actual data source for repo-executable real MP analyses and source timing limitations.</w:t>
            </w:r>
          </w:p>
        </w:tc>
      </w:tr>
      <w:tr>
        <w:tc>
          <w:tcPr>
            <w:tcW w:type="dxa" w:w="720"/>
            <w:vAlign w:val="top"/>
          </w:tcPr>
          <w:p>
            <w:pPr>
              <w:spacing w:before="0" w:after="20" w:line="240" w:lineRule="auto"/>
            </w:pPr>
            <w:r/>
            <w:r>
              <w:rPr>
                <w:rFonts w:ascii="Calibri" w:hAnsi="Calibri"/>
                <w:b w:val="0"/>
                <w:color w:val="1F1F1F"/>
                <w:sz w:val="16"/>
              </w:rPr>
              <w:t>4</w:t>
            </w:r>
          </w:p>
        </w:tc>
        <w:tc>
          <w:tcPr>
            <w:tcW w:type="dxa" w:w="3168"/>
            <w:vAlign w:val="top"/>
          </w:tcPr>
          <w:p>
            <w:pPr>
              <w:spacing w:before="0" w:after="20" w:line="240" w:lineRule="auto"/>
            </w:pPr>
            <w:r/>
            <w:r>
              <w:rPr>
                <w:rFonts w:ascii="Calibri" w:hAnsi="Calibri"/>
                <w:b w:val="0"/>
                <w:color w:val="1F1F1F"/>
                <w:sz w:val="16"/>
              </w:rPr>
              <w:t>CRF and source define metadata</w:t>
            </w:r>
          </w:p>
        </w:tc>
        <w:tc>
          <w:tcPr>
            <w:tcW w:type="dxa" w:w="5472"/>
            <w:vAlign w:val="top"/>
          </w:tcPr>
          <w:p>
            <w:pPr>
              <w:spacing w:before="0" w:after="20" w:line="240" w:lineRule="auto"/>
            </w:pPr>
            <w:r/>
            <w:r>
              <w:rPr>
                <w:rFonts w:ascii="Calibri" w:hAnsi="Calibri"/>
                <w:b w:val="0"/>
                <w:color w:val="1F1F1F"/>
                <w:sz w:val="16"/>
              </w:rPr>
              <w:t>Collection context and source-domain interpretation.</w:t>
            </w:r>
          </w:p>
        </w:tc>
      </w:tr>
      <w:tr>
        <w:tc>
          <w:tcPr>
            <w:tcW w:type="dxa" w:w="720"/>
            <w:vAlign w:val="top"/>
          </w:tcPr>
          <w:p>
            <w:pPr>
              <w:spacing w:before="0" w:after="20" w:line="240" w:lineRule="auto"/>
            </w:pPr>
            <w:r/>
            <w:r>
              <w:rPr>
                <w:rFonts w:ascii="Calibri" w:hAnsi="Calibri"/>
                <w:b w:val="0"/>
                <w:color w:val="1F1F1F"/>
                <w:sz w:val="16"/>
              </w:rPr>
              <w:t>5</w:t>
            </w:r>
          </w:p>
        </w:tc>
        <w:tc>
          <w:tcPr>
            <w:tcW w:type="dxa" w:w="3168"/>
            <w:vAlign w:val="top"/>
          </w:tcPr>
          <w:p>
            <w:pPr>
              <w:spacing w:before="0" w:after="20" w:line="240" w:lineRule="auto"/>
            </w:pPr>
            <w:r/>
            <w:r>
              <w:rPr>
                <w:rFonts w:ascii="Calibri" w:hAnsi="Calibri"/>
                <w:b w:val="0"/>
                <w:color w:val="1F1F1F"/>
                <w:sz w:val="16"/>
              </w:rPr>
              <w:t>This SAP v4.0 after approval</w:t>
            </w:r>
          </w:p>
        </w:tc>
        <w:tc>
          <w:tcPr>
            <w:tcW w:type="dxa" w:w="5472"/>
            <w:vAlign w:val="top"/>
          </w:tcPr>
          <w:p>
            <w:pPr>
              <w:spacing w:before="0" w:after="20" w:line="240" w:lineRule="auto"/>
            </w:pPr>
            <w:r/>
            <w:r>
              <w:rPr>
                <w:rFonts w:ascii="Calibri" w:hAnsi="Calibri"/>
                <w:b w:val="0"/>
                <w:color w:val="1F1F1F"/>
                <w:sz w:val="16"/>
              </w:rPr>
              <w:t>Programming and analysis control for this project.</w:t>
            </w:r>
          </w:p>
        </w:tc>
      </w:tr>
      <w:tr>
        <w:tc>
          <w:tcPr>
            <w:tcW w:type="dxa" w:w="720"/>
            <w:vAlign w:val="top"/>
          </w:tcPr>
          <w:p>
            <w:pPr>
              <w:spacing w:before="0" w:after="20" w:line="240" w:lineRule="auto"/>
            </w:pPr>
            <w:r/>
            <w:r>
              <w:rPr>
                <w:rFonts w:ascii="Calibri" w:hAnsi="Calibri"/>
                <w:b w:val="0"/>
                <w:color w:val="1F1F1F"/>
                <w:sz w:val="16"/>
              </w:rPr>
              <w:t>6</w:t>
            </w:r>
          </w:p>
        </w:tc>
        <w:tc>
          <w:tcPr>
            <w:tcW w:type="dxa" w:w="3168"/>
            <w:vAlign w:val="top"/>
          </w:tcPr>
          <w:p>
            <w:pPr>
              <w:spacing w:before="0" w:after="20" w:line="240" w:lineRule="auto"/>
            </w:pPr>
            <w:r/>
            <w:r>
              <w:rPr>
                <w:rFonts w:ascii="Calibri" w:hAnsi="Calibri"/>
                <w:b w:val="0"/>
                <w:color w:val="1F1F1F"/>
                <w:sz w:val="16"/>
              </w:rPr>
              <w:t>ADaM spec, Define-XML, reviewer guides, programs and TFLs</w:t>
            </w:r>
          </w:p>
        </w:tc>
        <w:tc>
          <w:tcPr>
            <w:tcW w:type="dxa" w:w="5472"/>
            <w:vAlign w:val="top"/>
          </w:tcPr>
          <w:p>
            <w:pPr>
              <w:spacing w:before="0" w:after="20" w:line="240" w:lineRule="auto"/>
            </w:pPr>
            <w:r/>
            <w:r>
              <w:rPr>
                <w:rFonts w:ascii="Calibri" w:hAnsi="Calibri"/>
                <w:b w:val="0"/>
                <w:color w:val="1F1F1F"/>
                <w:sz w:val="16"/>
              </w:rPr>
              <w:t>Implementation artifacts; must conform to approved SAP and source evidence.</w:t>
            </w:r>
          </w:p>
        </w:tc>
      </w:tr>
    </w:tbl>
    <w:p/>
    <w:p>
      <w:pPr>
        <w:spacing w:before="0" w:after="100"/>
      </w:pPr>
      <w:r>
        <w:rPr>
          <w:rFonts w:ascii="Calibri" w:hAnsi="Calibri"/>
          <w:b/>
          <w:color w:val="595959"/>
          <w:sz w:val="15"/>
        </w:rPr>
        <w:t xml:space="preserve">Evidence source: </w:t>
      </w:r>
      <w:r>
        <w:rPr>
          <w:rFonts w:ascii="Calibri" w:hAnsi="Calibri"/>
          <w:color w:val="595959"/>
          <w:sz w:val="15"/>
        </w:rPr>
        <w:t>Protocol PDF pages 3, 10-12; Lancet PDF pages 1, 4-5, 8; audit/AUDIT_REPORT.md; official FDA/CDISC/ICH sources listed in References.</w:t>
      </w:r>
    </w:p>
    <w:p>
      <w:pPr>
        <w:pStyle w:val="Heading1"/>
      </w:pPr>
      <w:r>
        <w:t>3. Study overview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top"/>
            <w:shd w:fill="1F4E79"/>
          </w:tcPr>
          <w:p>
            <w:pPr>
              <w:spacing w:before="0" w:after="20" w:line="240" w:lineRule="auto"/>
            </w:pPr>
            <w:r/>
            <w:r>
              <w:rPr>
                <w:rFonts w:ascii="Calibri" w:hAnsi="Calibri"/>
                <w:b/>
                <w:color w:val="FFFFFF"/>
                <w:sz w:val="16"/>
              </w:rPr>
              <w:t>Item</w:t>
            </w:r>
          </w:p>
        </w:tc>
        <w:tc>
          <w:tcPr>
            <w:tcW w:type="dxa" w:w="7416"/>
            <w:vAlign w:val="top"/>
            <w:shd w:fill="1F4E79"/>
          </w:tcPr>
          <w:p>
            <w:pPr>
              <w:spacing w:before="0" w:after="20" w:line="240" w:lineRule="auto"/>
            </w:pPr>
            <w:r/>
            <w:r>
              <w:rPr>
                <w:rFonts w:ascii="Calibri" w:hAnsi="Calibri"/>
                <w:b/>
                <w:color w:val="FFFFFF"/>
                <w:sz w:val="16"/>
              </w:rPr>
              <w:t>Specification</w:t>
            </w:r>
          </w:p>
        </w:tc>
      </w:tr>
      <w:tr>
        <w:tc>
          <w:tcPr>
            <w:tcW w:type="dxa" w:w="1944"/>
            <w:vAlign w:val="top"/>
          </w:tcPr>
          <w:p>
            <w:pPr>
              <w:spacing w:before="0" w:after="20" w:line="240" w:lineRule="auto"/>
            </w:pPr>
            <w:r/>
            <w:r>
              <w:rPr>
                <w:rFonts w:ascii="Calibri" w:hAnsi="Calibri"/>
                <w:b w:val="0"/>
                <w:color w:val="1F1F1F"/>
                <w:sz w:val="16"/>
              </w:rPr>
              <w:t>Study identifier</w:t>
            </w:r>
          </w:p>
        </w:tc>
        <w:tc>
          <w:tcPr>
            <w:tcW w:type="dxa" w:w="7416"/>
            <w:vAlign w:val="top"/>
          </w:tcPr>
          <w:p>
            <w:pPr>
              <w:spacing w:before="0" w:after="20" w:line="240" w:lineRule="auto"/>
            </w:pPr>
            <w:r/>
            <w:r>
              <w:rPr>
                <w:rFonts w:ascii="Calibri" w:hAnsi="Calibri"/>
                <w:b w:val="0"/>
                <w:color w:val="1F1F1F"/>
                <w:sz w:val="16"/>
              </w:rPr>
              <w:t>EFC6193 / TROPIC / NCT00417079</w:t>
            </w:r>
          </w:p>
        </w:tc>
      </w:tr>
      <w:tr>
        <w:tc>
          <w:tcPr>
            <w:tcW w:type="dxa" w:w="1944"/>
            <w:vAlign w:val="top"/>
          </w:tcPr>
          <w:p>
            <w:pPr>
              <w:spacing w:before="0" w:after="20" w:line="240" w:lineRule="auto"/>
            </w:pPr>
            <w:r/>
            <w:r>
              <w:rPr>
                <w:rFonts w:ascii="Calibri" w:hAnsi="Calibri"/>
                <w:b w:val="0"/>
                <w:color w:val="1F1F1F"/>
                <w:sz w:val="16"/>
              </w:rPr>
              <w:t>Design</w:t>
            </w:r>
          </w:p>
        </w:tc>
        <w:tc>
          <w:tcPr>
            <w:tcW w:type="dxa" w:w="7416"/>
            <w:vAlign w:val="top"/>
          </w:tcPr>
          <w:p>
            <w:pPr>
              <w:spacing w:before="0" w:after="20" w:line="240" w:lineRule="auto"/>
            </w:pPr>
            <w:r/>
            <w:r>
              <w:rPr>
                <w:rFonts w:ascii="Calibri" w:hAnsi="Calibri"/>
                <w:b w:val="0"/>
                <w:color w:val="1F1F1F"/>
                <w:sz w:val="16"/>
              </w:rPr>
              <w:t>Phase III, randomized, open-label, multi-center, multinational trial.</w:t>
            </w:r>
          </w:p>
        </w:tc>
      </w:tr>
      <w:tr>
        <w:tc>
          <w:tcPr>
            <w:tcW w:type="dxa" w:w="1944"/>
            <w:vAlign w:val="top"/>
          </w:tcPr>
          <w:p>
            <w:pPr>
              <w:spacing w:before="0" w:after="20" w:line="240" w:lineRule="auto"/>
            </w:pPr>
            <w:r/>
            <w:r>
              <w:rPr>
                <w:rFonts w:ascii="Calibri" w:hAnsi="Calibri"/>
                <w:b w:val="0"/>
                <w:color w:val="1F1F1F"/>
                <w:sz w:val="16"/>
              </w:rPr>
              <w:t>Indication</w:t>
            </w:r>
          </w:p>
        </w:tc>
        <w:tc>
          <w:tcPr>
            <w:tcW w:type="dxa" w:w="7416"/>
            <w:vAlign w:val="top"/>
          </w:tcPr>
          <w:p>
            <w:pPr>
              <w:spacing w:before="0" w:after="20" w:line="240" w:lineRule="auto"/>
            </w:pPr>
            <w:r/>
            <w:r>
              <w:rPr>
                <w:rFonts w:ascii="Calibri" w:hAnsi="Calibri"/>
                <w:b w:val="0"/>
                <w:color w:val="1F1F1F"/>
                <w:sz w:val="16"/>
              </w:rPr>
              <w:t>Metastatic castration-resistant prostate cancer after docetaxel-containing therapy.</w:t>
            </w:r>
          </w:p>
        </w:tc>
      </w:tr>
      <w:tr>
        <w:tc>
          <w:tcPr>
            <w:tcW w:type="dxa" w:w="1944"/>
            <w:vAlign w:val="top"/>
          </w:tcPr>
          <w:p>
            <w:pPr>
              <w:spacing w:before="0" w:after="20" w:line="240" w:lineRule="auto"/>
            </w:pPr>
            <w:r/>
            <w:r>
              <w:rPr>
                <w:rFonts w:ascii="Calibri" w:hAnsi="Calibri"/>
                <w:b w:val="0"/>
                <w:color w:val="1F1F1F"/>
                <w:sz w:val="16"/>
              </w:rPr>
              <w:t>Treatment arms</w:t>
            </w:r>
          </w:p>
        </w:tc>
        <w:tc>
          <w:tcPr>
            <w:tcW w:type="dxa" w:w="7416"/>
            <w:vAlign w:val="top"/>
          </w:tcPr>
          <w:p>
            <w:pPr>
              <w:spacing w:before="0" w:after="20" w:line="240" w:lineRule="auto"/>
            </w:pPr>
            <w:r/>
            <w:r>
              <w:rPr>
                <w:rFonts w:ascii="Calibri" w:hAnsi="Calibri"/>
                <w:b w:val="0"/>
                <w:color w:val="1F1F1F"/>
                <w:sz w:val="16"/>
              </w:rPr>
              <w:t>MP: mitoxantrone 12 mg/m^2 IV Day 1 every 21 days plus prednisone 10 mg daily. CbzP: cabazitaxel 25 mg/m^2 IV Day 1 every 21 days plus prednisone 10 mg daily.</w:t>
            </w:r>
          </w:p>
        </w:tc>
      </w:tr>
      <w:tr>
        <w:tc>
          <w:tcPr>
            <w:tcW w:type="dxa" w:w="1944"/>
            <w:vAlign w:val="top"/>
          </w:tcPr>
          <w:p>
            <w:pPr>
              <w:spacing w:before="0" w:after="20" w:line="240" w:lineRule="auto"/>
            </w:pPr>
            <w:r/>
            <w:r>
              <w:rPr>
                <w:rFonts w:ascii="Calibri" w:hAnsi="Calibri"/>
                <w:b w:val="0"/>
                <w:color w:val="1F1F1F"/>
                <w:sz w:val="16"/>
              </w:rPr>
              <w:t>Randomization</w:t>
            </w:r>
          </w:p>
        </w:tc>
        <w:tc>
          <w:tcPr>
            <w:tcW w:type="dxa" w:w="7416"/>
            <w:vAlign w:val="top"/>
          </w:tcPr>
          <w:p>
            <w:pPr>
              <w:spacing w:before="0" w:after="20" w:line="240" w:lineRule="auto"/>
            </w:pPr>
            <w:r/>
            <w:r>
              <w:rPr>
                <w:rFonts w:ascii="Calibri" w:hAnsi="Calibri"/>
                <w:b w:val="0"/>
                <w:color w:val="1F1F1F"/>
                <w:sz w:val="16"/>
              </w:rPr>
              <w:t>1:1 IVRS randomization stratified by disease measurability per RECIST and ECOG performance status (0-1 versus 2).</w:t>
            </w:r>
          </w:p>
        </w:tc>
      </w:tr>
      <w:tr>
        <w:tc>
          <w:tcPr>
            <w:tcW w:type="dxa" w:w="1944"/>
            <w:vAlign w:val="top"/>
          </w:tcPr>
          <w:p>
            <w:pPr>
              <w:spacing w:before="0" w:after="20" w:line="240" w:lineRule="auto"/>
            </w:pPr>
            <w:r/>
            <w:r>
              <w:rPr>
                <w:rFonts w:ascii="Calibri" w:hAnsi="Calibri"/>
                <w:b w:val="0"/>
                <w:color w:val="1F1F1F"/>
                <w:sz w:val="16"/>
              </w:rPr>
              <w:t>ITT randomized</w:t>
            </w:r>
          </w:p>
        </w:tc>
        <w:tc>
          <w:tcPr>
            <w:tcW w:type="dxa" w:w="7416"/>
            <w:vAlign w:val="top"/>
          </w:tcPr>
          <w:p>
            <w:pPr>
              <w:spacing w:before="0" w:after="20" w:line="240" w:lineRule="auto"/>
            </w:pPr>
            <w:r/>
            <w:r>
              <w:rPr>
                <w:rFonts w:ascii="Calibri" w:hAnsi="Calibri"/>
                <w:b w:val="0"/>
                <w:color w:val="1F1F1F"/>
                <w:sz w:val="16"/>
              </w:rPr>
              <w:t>Published ITT: 755 total, 377 MP and 378 CbzP.</w:t>
            </w:r>
          </w:p>
        </w:tc>
      </w:tr>
      <w:tr>
        <w:tc>
          <w:tcPr>
            <w:tcW w:type="dxa" w:w="1944"/>
            <w:vAlign w:val="top"/>
          </w:tcPr>
          <w:p>
            <w:pPr>
              <w:spacing w:before="0" w:after="20" w:line="240" w:lineRule="auto"/>
            </w:pPr>
            <w:r/>
            <w:r>
              <w:rPr>
                <w:rFonts w:ascii="Calibri" w:hAnsi="Calibri"/>
                <w:b w:val="0"/>
                <w:color w:val="1F1F1F"/>
                <w:sz w:val="16"/>
              </w:rPr>
              <w:t>Safety treated</w:t>
            </w:r>
          </w:p>
        </w:tc>
        <w:tc>
          <w:tcPr>
            <w:tcW w:type="dxa" w:w="7416"/>
            <w:vAlign w:val="top"/>
          </w:tcPr>
          <w:p>
            <w:pPr>
              <w:spacing w:before="0" w:after="20" w:line="240" w:lineRule="auto"/>
            </w:pPr>
            <w:r/>
            <w:r>
              <w:rPr>
                <w:rFonts w:ascii="Calibri" w:hAnsi="Calibri"/>
                <w:b w:val="0"/>
                <w:color w:val="1F1F1F"/>
                <w:sz w:val="16"/>
              </w:rPr>
              <w:t>Published safety: 371 per arm.</w:t>
            </w:r>
          </w:p>
        </w:tc>
      </w:tr>
      <w:tr>
        <w:tc>
          <w:tcPr>
            <w:tcW w:type="dxa" w:w="1944"/>
            <w:vAlign w:val="top"/>
          </w:tcPr>
          <w:p>
            <w:pPr>
              <w:spacing w:before="0" w:after="20" w:line="240" w:lineRule="auto"/>
            </w:pPr>
            <w:r/>
            <w:r>
              <w:rPr>
                <w:rFonts w:ascii="Calibri" w:hAnsi="Calibri"/>
                <w:b w:val="0"/>
                <w:color w:val="1F1F1F"/>
                <w:sz w:val="16"/>
              </w:rPr>
              <w:t>Final public cut-off</w:t>
            </w:r>
          </w:p>
        </w:tc>
        <w:tc>
          <w:tcPr>
            <w:tcW w:type="dxa" w:w="7416"/>
            <w:vAlign w:val="top"/>
          </w:tcPr>
          <w:p>
            <w:pPr>
              <w:spacing w:before="0" w:after="20" w:line="240" w:lineRule="auto"/>
            </w:pPr>
            <w:r/>
            <w:r>
              <w:rPr>
                <w:rFonts w:ascii="Calibri" w:hAnsi="Calibri"/>
                <w:b w:val="0"/>
                <w:color w:val="1F1F1F"/>
                <w:sz w:val="16"/>
              </w:rPr>
              <w:t>25-Sep-2009.</w:t>
            </w:r>
          </w:p>
        </w:tc>
      </w:tr>
      <w:tr>
        <w:tc>
          <w:tcPr>
            <w:tcW w:type="dxa" w:w="1944"/>
            <w:vAlign w:val="top"/>
          </w:tcPr>
          <w:p>
            <w:pPr>
              <w:spacing w:before="0" w:after="20" w:line="240" w:lineRule="auto"/>
            </w:pPr>
            <w:r/>
            <w:r>
              <w:rPr>
                <w:rFonts w:ascii="Calibri" w:hAnsi="Calibri"/>
                <w:b w:val="0"/>
                <w:color w:val="1F1F1F"/>
                <w:sz w:val="16"/>
              </w:rPr>
              <w:t>Primary endpoint</w:t>
            </w:r>
          </w:p>
        </w:tc>
        <w:tc>
          <w:tcPr>
            <w:tcW w:type="dxa" w:w="7416"/>
            <w:vAlign w:val="top"/>
          </w:tcPr>
          <w:p>
            <w:pPr>
              <w:spacing w:before="0" w:after="20" w:line="240" w:lineRule="auto"/>
            </w:pPr>
            <w:r/>
            <w:r>
              <w:rPr>
                <w:rFonts w:ascii="Calibri" w:hAnsi="Calibri"/>
                <w:b w:val="0"/>
                <w:color w:val="1F1F1F"/>
                <w:sz w:val="16"/>
              </w:rPr>
              <w:t>Overall survival.</w:t>
            </w:r>
          </w:p>
        </w:tc>
      </w:tr>
      <w:tr>
        <w:tc>
          <w:tcPr>
            <w:tcW w:type="dxa" w:w="1944"/>
            <w:vAlign w:val="top"/>
          </w:tcPr>
          <w:p>
            <w:pPr>
              <w:spacing w:before="0" w:after="20" w:line="240" w:lineRule="auto"/>
            </w:pPr>
            <w:r/>
            <w:r>
              <w:rPr>
                <w:rFonts w:ascii="Calibri" w:hAnsi="Calibri"/>
                <w:b w:val="0"/>
                <w:color w:val="1F1F1F"/>
                <w:sz w:val="16"/>
              </w:rPr>
              <w:t>Secondary endpoints</w:t>
            </w:r>
          </w:p>
        </w:tc>
        <w:tc>
          <w:tcPr>
            <w:tcW w:type="dxa" w:w="7416"/>
            <w:vAlign w:val="top"/>
          </w:tcPr>
          <w:p>
            <w:pPr>
              <w:spacing w:before="0" w:after="20" w:line="240" w:lineRule="auto"/>
            </w:pPr>
            <w:r/>
            <w:r>
              <w:rPr>
                <w:rFonts w:ascii="Calibri" w:hAnsi="Calibri"/>
                <w:b w:val="0"/>
                <w:color w:val="1F1F1F"/>
                <w:sz w:val="16"/>
              </w:rPr>
              <w:t>PFS, PSA response/progression, ORR, pain response/progression, safety and tolerability.</w:t>
            </w:r>
          </w:p>
        </w:tc>
      </w:tr>
    </w:tbl>
    <w:p/>
    <w:p>
      <w:pPr>
        <w:pStyle w:val="Heading2"/>
      </w:pPr>
      <w:r>
        <w:t>3.1 Treatment regimens and key administration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top"/>
            <w:shd w:fill="1F4E79"/>
          </w:tcPr>
          <w:p>
            <w:pPr>
              <w:spacing w:before="0" w:after="20" w:line="240" w:lineRule="auto"/>
            </w:pPr>
            <w:r/>
            <w:r>
              <w:rPr>
                <w:rFonts w:ascii="Calibri" w:hAnsi="Calibri"/>
                <w:b/>
                <w:color w:val="FFFFFF"/>
                <w:sz w:val="16"/>
              </w:rPr>
              <w:t>Arm</w:t>
            </w:r>
          </w:p>
        </w:tc>
        <w:tc>
          <w:tcPr>
            <w:tcW w:type="dxa" w:w="4320"/>
            <w:vAlign w:val="top"/>
            <w:shd w:fill="1F4E79"/>
          </w:tcPr>
          <w:p>
            <w:pPr>
              <w:spacing w:before="0" w:after="20" w:line="240" w:lineRule="auto"/>
            </w:pPr>
            <w:r/>
            <w:r>
              <w:rPr>
                <w:rFonts w:ascii="Calibri" w:hAnsi="Calibri"/>
                <w:b/>
                <w:color w:val="FFFFFF"/>
                <w:sz w:val="16"/>
              </w:rPr>
              <w:t>Regimen</w:t>
            </w:r>
          </w:p>
        </w:tc>
        <w:tc>
          <w:tcPr>
            <w:tcW w:type="dxa" w:w="3888"/>
            <w:vAlign w:val="top"/>
            <w:shd w:fill="1F4E79"/>
          </w:tcPr>
          <w:p>
            <w:pPr>
              <w:spacing w:before="0" w:after="20" w:line="240" w:lineRule="auto"/>
            </w:pPr>
            <w:r/>
            <w:r>
              <w:rPr>
                <w:rFonts w:ascii="Calibri" w:hAnsi="Calibri"/>
                <w:b/>
                <w:color w:val="FFFFFF"/>
                <w:sz w:val="16"/>
              </w:rPr>
              <w:t>Operational programming notes</w:t>
            </w:r>
          </w:p>
        </w:tc>
      </w:tr>
      <w:tr>
        <w:tc>
          <w:tcPr>
            <w:tcW w:type="dxa" w:w="1152"/>
            <w:vAlign w:val="top"/>
          </w:tcPr>
          <w:p>
            <w:pPr>
              <w:spacing w:before="0" w:after="20" w:line="240" w:lineRule="auto"/>
            </w:pPr>
            <w:r/>
            <w:r>
              <w:rPr>
                <w:rFonts w:ascii="Calibri" w:hAnsi="Calibri"/>
                <w:b w:val="0"/>
                <w:color w:val="1F1F1F"/>
                <w:sz w:val="16"/>
              </w:rPr>
              <w:t>MP</w:t>
            </w:r>
          </w:p>
        </w:tc>
        <w:tc>
          <w:tcPr>
            <w:tcW w:type="dxa" w:w="4320"/>
            <w:vAlign w:val="top"/>
          </w:tcPr>
          <w:p>
            <w:pPr>
              <w:spacing w:before="0" w:after="20" w:line="240" w:lineRule="auto"/>
            </w:pPr>
            <w:r/>
            <w:r>
              <w:rPr>
                <w:rFonts w:ascii="Calibri" w:hAnsi="Calibri"/>
                <w:b w:val="0"/>
                <w:color w:val="1F1F1F"/>
                <w:sz w:val="16"/>
              </w:rPr>
              <w:t>Mitoxantrone 12 mg/m^2 IV over 15-30 minutes on Day 1 of each 21-day cycle plus prednisone 10 mg orally daily.</w:t>
            </w:r>
          </w:p>
        </w:tc>
        <w:tc>
          <w:tcPr>
            <w:tcW w:type="dxa" w:w="3888"/>
            <w:vAlign w:val="top"/>
          </w:tcPr>
          <w:p>
            <w:pPr>
              <w:spacing w:before="0" w:after="20" w:line="240" w:lineRule="auto"/>
            </w:pPr>
            <w:r/>
            <w:r>
              <w:rPr>
                <w:rFonts w:ascii="Calibri" w:hAnsi="Calibri"/>
                <w:b w:val="0"/>
                <w:color w:val="1F1F1F"/>
                <w:sz w:val="16"/>
              </w:rPr>
              <w:t>Maximum 10 cycles. Dose reductions and delays summarized from EX/SUPPEX. Safety summaries use actual treatment received.</w:t>
            </w:r>
          </w:p>
        </w:tc>
      </w:tr>
      <w:tr>
        <w:tc>
          <w:tcPr>
            <w:tcW w:type="dxa" w:w="1152"/>
            <w:vAlign w:val="top"/>
          </w:tcPr>
          <w:p>
            <w:pPr>
              <w:spacing w:before="0" w:after="20" w:line="240" w:lineRule="auto"/>
            </w:pPr>
            <w:r/>
            <w:r>
              <w:rPr>
                <w:rFonts w:ascii="Calibri" w:hAnsi="Calibri"/>
                <w:b w:val="0"/>
                <w:color w:val="1F1F1F"/>
                <w:sz w:val="16"/>
              </w:rPr>
              <w:t>CbzP</w:t>
            </w:r>
          </w:p>
        </w:tc>
        <w:tc>
          <w:tcPr>
            <w:tcW w:type="dxa" w:w="4320"/>
            <w:vAlign w:val="top"/>
          </w:tcPr>
          <w:p>
            <w:pPr>
              <w:spacing w:before="0" w:after="20" w:line="240" w:lineRule="auto"/>
            </w:pPr>
            <w:r/>
            <w:r>
              <w:rPr>
                <w:rFonts w:ascii="Calibri" w:hAnsi="Calibri"/>
                <w:b w:val="0"/>
                <w:color w:val="1F1F1F"/>
                <w:sz w:val="16"/>
              </w:rPr>
              <w:t>Cabazitaxel 25 mg/m^2 IV over 1 hour on Day 1 of each 21-day cycle plus prednisone 10 mg orally daily.</w:t>
            </w:r>
          </w:p>
        </w:tc>
        <w:tc>
          <w:tcPr>
            <w:tcW w:type="dxa" w:w="3888"/>
            <w:vAlign w:val="top"/>
          </w:tcPr>
          <w:p>
            <w:pPr>
              <w:spacing w:before="0" w:after="20" w:line="240" w:lineRule="auto"/>
            </w:pPr>
            <w:r/>
            <w:r>
              <w:rPr>
                <w:rFonts w:ascii="Calibri" w:hAnsi="Calibri"/>
                <w:b w:val="0"/>
                <w:color w:val="1F1F1F"/>
                <w:sz w:val="16"/>
              </w:rPr>
              <w:t>Premedication with antihistamine, corticosteroid and H2 antagonist. In current repo, CbzP patient-level records are reconstructed/synthetic unless complete source IPD is supplied.</w:t>
            </w:r>
          </w:p>
        </w:tc>
      </w:tr>
    </w:tbl>
    <w:p/>
    <w:p>
      <w:pPr>
        <w:pStyle w:val="Heading2"/>
      </w:pPr>
      <w:r>
        <w:t>3.2 Assessment schedule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top"/>
            <w:shd w:fill="1F4E79"/>
          </w:tcPr>
          <w:p>
            <w:pPr>
              <w:spacing w:before="0" w:after="20" w:line="240" w:lineRule="auto"/>
            </w:pPr>
            <w:r/>
            <w:r>
              <w:rPr>
                <w:rFonts w:ascii="Calibri" w:hAnsi="Calibri"/>
                <w:b/>
                <w:color w:val="FFFFFF"/>
                <w:sz w:val="16"/>
              </w:rPr>
              <w:t>Assessment area</w:t>
            </w:r>
          </w:p>
        </w:tc>
        <w:tc>
          <w:tcPr>
            <w:tcW w:type="dxa" w:w="3960"/>
            <w:vAlign w:val="top"/>
            <w:shd w:fill="1F4E79"/>
          </w:tcPr>
          <w:p>
            <w:pPr>
              <w:spacing w:before="0" w:after="20" w:line="240" w:lineRule="auto"/>
            </w:pPr>
            <w:r/>
            <w:r>
              <w:rPr>
                <w:rFonts w:ascii="Calibri" w:hAnsi="Calibri"/>
                <w:b/>
                <w:color w:val="FFFFFF"/>
                <w:sz w:val="16"/>
              </w:rPr>
              <w:t>Schedule / source basis</w:t>
            </w:r>
          </w:p>
        </w:tc>
        <w:tc>
          <w:tcPr>
            <w:tcW w:type="dxa" w:w="3600"/>
            <w:vAlign w:val="top"/>
            <w:shd w:fill="1F4E79"/>
          </w:tcPr>
          <w:p>
            <w:pPr>
              <w:spacing w:before="0" w:after="20" w:line="240" w:lineRule="auto"/>
            </w:pPr>
            <w:r/>
            <w:r>
              <w:rPr>
                <w:rFonts w:ascii="Calibri" w:hAnsi="Calibri"/>
                <w:b/>
                <w:color w:val="FFFFFF"/>
                <w:sz w:val="16"/>
              </w:rPr>
              <w:t>Analysis implication</w:t>
            </w:r>
          </w:p>
        </w:tc>
      </w:tr>
      <w:tr>
        <w:tc>
          <w:tcPr>
            <w:tcW w:type="dxa" w:w="1800"/>
            <w:vAlign w:val="top"/>
          </w:tcPr>
          <w:p>
            <w:pPr>
              <w:spacing w:before="0" w:after="20" w:line="240" w:lineRule="auto"/>
            </w:pPr>
            <w:r/>
            <w:r>
              <w:rPr>
                <w:rFonts w:ascii="Calibri" w:hAnsi="Calibri"/>
                <w:b w:val="0"/>
                <w:color w:val="1F1F1F"/>
                <w:sz w:val="16"/>
              </w:rPr>
              <w:t>Survival</w:t>
            </w:r>
          </w:p>
        </w:tc>
        <w:tc>
          <w:tcPr>
            <w:tcW w:type="dxa" w:w="3960"/>
            <w:vAlign w:val="top"/>
          </w:tcPr>
          <w:p>
            <w:pPr>
              <w:spacing w:before="0" w:after="20" w:line="240" w:lineRule="auto"/>
            </w:pPr>
            <w:r/>
            <w:r>
              <w:rPr>
                <w:rFonts w:ascii="Calibri" w:hAnsi="Calibri"/>
                <w:b w:val="0"/>
                <w:color w:val="1F1F1F"/>
                <w:sz w:val="16"/>
              </w:rPr>
              <w:t>Follow-up through final analysis cut-off and last known alive/death information.</w:t>
            </w:r>
          </w:p>
        </w:tc>
        <w:tc>
          <w:tcPr>
            <w:tcW w:type="dxa" w:w="3600"/>
            <w:vAlign w:val="top"/>
          </w:tcPr>
          <w:p>
            <w:pPr>
              <w:spacing w:before="0" w:after="20" w:line="240" w:lineRule="auto"/>
            </w:pPr>
            <w:r/>
            <w:r>
              <w:rPr>
                <w:rFonts w:ascii="Calibri" w:hAnsi="Calibri"/>
                <w:b w:val="0"/>
                <w:color w:val="1F1F1F"/>
                <w:sz w:val="16"/>
              </w:rPr>
              <w:t>OS censoring and event status must retain source date and cut-off logic.</w:t>
            </w:r>
          </w:p>
        </w:tc>
      </w:tr>
      <w:tr>
        <w:tc>
          <w:tcPr>
            <w:tcW w:type="dxa" w:w="1800"/>
            <w:vAlign w:val="top"/>
          </w:tcPr>
          <w:p>
            <w:pPr>
              <w:spacing w:before="0" w:after="20" w:line="240" w:lineRule="auto"/>
            </w:pPr>
            <w:r/>
            <w:r>
              <w:rPr>
                <w:rFonts w:ascii="Calibri" w:hAnsi="Calibri"/>
                <w:b w:val="0"/>
                <w:color w:val="1F1F1F"/>
                <w:sz w:val="16"/>
              </w:rPr>
              <w:t>Tumour imaging</w:t>
            </w:r>
          </w:p>
        </w:tc>
        <w:tc>
          <w:tcPr>
            <w:tcW w:type="dxa" w:w="3960"/>
            <w:vAlign w:val="top"/>
          </w:tcPr>
          <w:p>
            <w:pPr>
              <w:spacing w:before="0" w:after="20" w:line="240" w:lineRule="auto"/>
            </w:pPr>
            <w:r/>
            <w:r>
              <w:rPr>
                <w:rFonts w:ascii="Calibri" w:hAnsi="Calibri"/>
                <w:b w:val="0"/>
                <w:color w:val="1F1F1F"/>
                <w:sz w:val="16"/>
              </w:rPr>
              <w:t>Baseline, end of even-numbered treatment cycles, suspected progression and end of treatment.</w:t>
            </w:r>
          </w:p>
        </w:tc>
        <w:tc>
          <w:tcPr>
            <w:tcW w:type="dxa" w:w="3600"/>
            <w:vAlign w:val="top"/>
          </w:tcPr>
          <w:p>
            <w:pPr>
              <w:spacing w:before="0" w:after="20" w:line="240" w:lineRule="auto"/>
            </w:pPr>
            <w:r/>
            <w:r>
              <w:rPr>
                <w:rFonts w:ascii="Calibri" w:hAnsi="Calibri"/>
                <w:b w:val="0"/>
                <w:color w:val="1F1F1F"/>
                <w:sz w:val="16"/>
              </w:rPr>
              <w:t>RECIST v1.0 response and TTUMOR/PFS component dates.</w:t>
            </w:r>
          </w:p>
        </w:tc>
      </w:tr>
      <w:tr>
        <w:tc>
          <w:tcPr>
            <w:tcW w:type="dxa" w:w="1800"/>
            <w:vAlign w:val="top"/>
          </w:tcPr>
          <w:p>
            <w:pPr>
              <w:spacing w:before="0" w:after="20" w:line="240" w:lineRule="auto"/>
            </w:pPr>
            <w:r/>
            <w:r>
              <w:rPr>
                <w:rFonts w:ascii="Calibri" w:hAnsi="Calibri"/>
                <w:b w:val="0"/>
                <w:color w:val="1F1F1F"/>
                <w:sz w:val="16"/>
              </w:rPr>
              <w:t>PSA</w:t>
            </w:r>
          </w:p>
        </w:tc>
        <w:tc>
          <w:tcPr>
            <w:tcW w:type="dxa" w:w="3960"/>
            <w:vAlign w:val="top"/>
          </w:tcPr>
          <w:p>
            <w:pPr>
              <w:spacing w:before="0" w:after="20" w:line="240" w:lineRule="auto"/>
            </w:pPr>
            <w:r/>
            <w:r>
              <w:rPr>
                <w:rFonts w:ascii="Calibri" w:hAnsi="Calibri"/>
                <w:b w:val="0"/>
                <w:color w:val="1F1F1F"/>
                <w:sz w:val="16"/>
              </w:rPr>
              <w:t>Baseline and repeated on study per protocol schedule.</w:t>
            </w:r>
          </w:p>
        </w:tc>
        <w:tc>
          <w:tcPr>
            <w:tcW w:type="dxa" w:w="3600"/>
            <w:vAlign w:val="top"/>
          </w:tcPr>
          <w:p>
            <w:pPr>
              <w:spacing w:before="0" w:after="20" w:line="240" w:lineRule="auto"/>
            </w:pPr>
            <w:r/>
            <w:r>
              <w:rPr>
                <w:rFonts w:ascii="Calibri" w:hAnsi="Calibri"/>
                <w:b w:val="0"/>
                <w:color w:val="1F1F1F"/>
                <w:sz w:val="16"/>
              </w:rPr>
              <w:t>Response requires confirmation; progression uses nadir-based rule by responder status.</w:t>
            </w:r>
          </w:p>
        </w:tc>
      </w:tr>
      <w:tr>
        <w:tc>
          <w:tcPr>
            <w:tcW w:type="dxa" w:w="1800"/>
            <w:vAlign w:val="top"/>
          </w:tcPr>
          <w:p>
            <w:pPr>
              <w:spacing w:before="0" w:after="20" w:line="240" w:lineRule="auto"/>
            </w:pPr>
            <w:r/>
            <w:r>
              <w:rPr>
                <w:rFonts w:ascii="Calibri" w:hAnsi="Calibri"/>
                <w:b w:val="0"/>
                <w:color w:val="1F1F1F"/>
                <w:sz w:val="16"/>
              </w:rPr>
              <w:t>Pain</w:t>
            </w:r>
          </w:p>
        </w:tc>
        <w:tc>
          <w:tcPr>
            <w:tcW w:type="dxa" w:w="3960"/>
            <w:vAlign w:val="top"/>
          </w:tcPr>
          <w:p>
            <w:pPr>
              <w:spacing w:before="0" w:after="20" w:line="240" w:lineRule="auto"/>
            </w:pPr>
            <w:r/>
            <w:r>
              <w:rPr>
                <w:rFonts w:ascii="Calibri" w:hAnsi="Calibri"/>
                <w:b w:val="0"/>
                <w:color w:val="1F1F1F"/>
                <w:sz w:val="16"/>
              </w:rPr>
              <w:t>Daily PPI and analgesic use over 7 days before visit.</w:t>
            </w:r>
          </w:p>
        </w:tc>
        <w:tc>
          <w:tcPr>
            <w:tcW w:type="dxa" w:w="3600"/>
            <w:vAlign w:val="top"/>
          </w:tcPr>
          <w:p>
            <w:pPr>
              <w:spacing w:before="0" w:after="20" w:line="240" w:lineRule="auto"/>
            </w:pPr>
            <w:r/>
            <w:r>
              <w:rPr>
                <w:rFonts w:ascii="Calibri" w:hAnsi="Calibri"/>
                <w:b w:val="0"/>
                <w:color w:val="1F1F1F"/>
                <w:sz w:val="16"/>
              </w:rPr>
              <w:t>Visit evaluability requires at least 5 of 7 daily values.</w:t>
            </w:r>
          </w:p>
        </w:tc>
      </w:tr>
      <w:tr>
        <w:tc>
          <w:tcPr>
            <w:tcW w:type="dxa" w:w="1800"/>
            <w:vAlign w:val="top"/>
          </w:tcPr>
          <w:p>
            <w:pPr>
              <w:spacing w:before="0" w:after="20" w:line="240" w:lineRule="auto"/>
            </w:pPr>
            <w:r/>
            <w:r>
              <w:rPr>
                <w:rFonts w:ascii="Calibri" w:hAnsi="Calibri"/>
                <w:b w:val="0"/>
                <w:color w:val="1F1F1F"/>
                <w:sz w:val="16"/>
              </w:rPr>
              <w:t>Haematology/labs</w:t>
            </w:r>
          </w:p>
        </w:tc>
        <w:tc>
          <w:tcPr>
            <w:tcW w:type="dxa" w:w="3960"/>
            <w:vAlign w:val="top"/>
          </w:tcPr>
          <w:p>
            <w:pPr>
              <w:spacing w:before="0" w:after="20" w:line="240" w:lineRule="auto"/>
            </w:pPr>
            <w:r/>
            <w:r>
              <w:rPr>
                <w:rFonts w:ascii="Calibri" w:hAnsi="Calibri"/>
                <w:b w:val="0"/>
                <w:color w:val="1F1F1F"/>
                <w:sz w:val="16"/>
              </w:rPr>
              <w:t>CBC on Cycle Day 1, Day 8 and Day 15 with protocol safety monitoring.</w:t>
            </w:r>
          </w:p>
        </w:tc>
        <w:tc>
          <w:tcPr>
            <w:tcW w:type="dxa" w:w="3600"/>
            <w:vAlign w:val="top"/>
          </w:tcPr>
          <w:p>
            <w:pPr>
              <w:spacing w:before="0" w:after="20" w:line="240" w:lineRule="auto"/>
            </w:pPr>
            <w:r/>
            <w:r>
              <w:rPr>
                <w:rFonts w:ascii="Calibri" w:hAnsi="Calibri"/>
                <w:b w:val="0"/>
                <w:color w:val="1F1F1F"/>
                <w:sz w:val="16"/>
              </w:rPr>
              <w:t>ADLB visit windows must include CxD1 pre-dose and nadir/recovery windows.</w:t>
            </w:r>
          </w:p>
        </w:tc>
      </w:tr>
      <w:tr>
        <w:tc>
          <w:tcPr>
            <w:tcW w:type="dxa" w:w="1800"/>
            <w:vAlign w:val="top"/>
          </w:tcPr>
          <w:p>
            <w:pPr>
              <w:spacing w:before="0" w:after="20" w:line="240" w:lineRule="auto"/>
            </w:pPr>
            <w:r/>
            <w:r>
              <w:rPr>
                <w:rFonts w:ascii="Calibri" w:hAnsi="Calibri"/>
                <w:b w:val="0"/>
                <w:color w:val="1F1F1F"/>
                <w:sz w:val="16"/>
              </w:rPr>
              <w:t>AE/safety</w:t>
            </w:r>
          </w:p>
        </w:tc>
        <w:tc>
          <w:tcPr>
            <w:tcW w:type="dxa" w:w="3960"/>
            <w:vAlign w:val="top"/>
          </w:tcPr>
          <w:p>
            <w:pPr>
              <w:spacing w:before="0" w:after="20" w:line="240" w:lineRule="auto"/>
            </w:pPr>
            <w:r/>
            <w:r>
              <w:rPr>
                <w:rFonts w:ascii="Calibri" w:hAnsi="Calibri"/>
                <w:b w:val="0"/>
                <w:color w:val="1F1F1F"/>
                <w:sz w:val="16"/>
              </w:rPr>
              <w:t>AE collection and grading through treatment and safety follow-up.</w:t>
            </w:r>
          </w:p>
        </w:tc>
        <w:tc>
          <w:tcPr>
            <w:tcW w:type="dxa" w:w="3600"/>
            <w:vAlign w:val="top"/>
          </w:tcPr>
          <w:p>
            <w:pPr>
              <w:spacing w:before="0" w:after="20" w:line="240" w:lineRule="auto"/>
            </w:pPr>
            <w:r/>
            <w:r>
              <w:rPr>
                <w:rFonts w:ascii="Calibri" w:hAnsi="Calibri"/>
                <w:b w:val="0"/>
                <w:color w:val="1F1F1F"/>
                <w:sz w:val="16"/>
              </w:rPr>
              <w:t>TEAE window and CTCAE v3.0 grading drive ADAE/ADLB outputs.</w:t>
            </w:r>
          </w:p>
        </w:tc>
      </w:tr>
    </w:tbl>
    <w:p/>
    <w:p>
      <w:pPr>
        <w:spacing w:before="0" w:after="100"/>
      </w:pPr>
      <w:r>
        <w:rPr>
          <w:rFonts w:ascii="Calibri" w:hAnsi="Calibri"/>
          <w:b/>
          <w:color w:val="595959"/>
          <w:sz w:val="15"/>
        </w:rPr>
        <w:t xml:space="preserve">Evidence source: </w:t>
      </w:r>
      <w:r>
        <w:rPr>
          <w:rFonts w:ascii="Calibri" w:hAnsi="Calibri"/>
          <w:color w:val="595959"/>
          <w:sz w:val="15"/>
        </w:rPr>
        <w:t>Protocol synopsis and statistical considerations; de Bono et al. Lancet 2010 summary and methods.</w:t>
      </w:r>
    </w:p>
    <w:p>
      <w:pPr>
        <w:pStyle w:val="Heading1"/>
      </w:pPr>
      <w:r>
        <w:t>4. Data provenance and analysis layers</w:t>
      </w:r>
    </w:p>
    <w:tbl>
      <w:tblPr>
        <w:tblW w:type="auto" w:w="0"/>
        <w:jc w:val="center"/>
        <w:tblLook w:firstColumn="1" w:firstRow="1" w:lastColumn="0" w:lastRow="0" w:noHBand="0" w:noVBand="1" w:val="04A0"/>
      </w:tblPr>
      <w:tblGrid>
        <w:gridCol w:w="10166"/>
      </w:tblGrid>
      <w:tr>
        <w:tc>
          <w:tcPr>
            <w:tcW w:type="dxa" w:w="10166"/>
            <w:shd w:fill="FFF2CC"/>
            <w:vAlign w:val="top"/>
          </w:tcPr>
          <w:p>
            <w:pPr>
              <w:spacing w:before="0" w:after="20" w:line="240" w:lineRule="auto"/>
            </w:pPr>
            <w:r/>
            <w:r>
              <w:rPr>
                <w:rFonts w:ascii="Calibri" w:hAnsi="Calibri"/>
                <w:b/>
                <w:color w:val="9C6500"/>
                <w:sz w:val="17"/>
              </w:rPr>
              <w:t>This is the central integrity rule for the project: real MP patient-level analyses and reconstructed CbzP demonstration analyses must never be blurred. The SAP permits both layers, but assigns different evidentiary status.</w:t>
            </w:r>
          </w:p>
        </w:tc>
      </w:tr>
    </w:tbl>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vAlign w:val="top"/>
            <w:shd w:fill="1F4E79"/>
          </w:tcPr>
          <w:p>
            <w:pPr>
              <w:spacing w:before="0" w:after="20" w:line="240" w:lineRule="auto"/>
            </w:pPr>
            <w:r/>
            <w:r>
              <w:rPr>
                <w:rFonts w:ascii="Calibri" w:hAnsi="Calibri"/>
                <w:b/>
                <w:color w:val="FFFFFF"/>
                <w:sz w:val="16"/>
              </w:rPr>
              <w:t>Layer</w:t>
            </w:r>
          </w:p>
        </w:tc>
        <w:tc>
          <w:tcPr>
            <w:tcW w:type="dxa" w:w="2880"/>
            <w:vAlign w:val="top"/>
            <w:shd w:fill="1F4E79"/>
          </w:tcPr>
          <w:p>
            <w:pPr>
              <w:spacing w:before="0" w:after="20" w:line="240" w:lineRule="auto"/>
            </w:pPr>
            <w:r/>
            <w:r>
              <w:rPr>
                <w:rFonts w:ascii="Calibri" w:hAnsi="Calibri"/>
                <w:b/>
                <w:color w:val="FFFFFF"/>
                <w:sz w:val="16"/>
              </w:rPr>
              <w:t>Data basis</w:t>
            </w:r>
          </w:p>
        </w:tc>
        <w:tc>
          <w:tcPr>
            <w:tcW w:type="dxa" w:w="2520"/>
            <w:vAlign w:val="top"/>
            <w:shd w:fill="1F4E79"/>
          </w:tcPr>
          <w:p>
            <w:pPr>
              <w:spacing w:before="0" w:after="20" w:line="240" w:lineRule="auto"/>
            </w:pPr>
            <w:r/>
            <w:r>
              <w:rPr>
                <w:rFonts w:ascii="Calibri" w:hAnsi="Calibri"/>
                <w:b/>
                <w:color w:val="FFFFFF"/>
                <w:sz w:val="16"/>
              </w:rPr>
              <w:t>Permitted claims</w:t>
            </w:r>
          </w:p>
        </w:tc>
        <w:tc>
          <w:tcPr>
            <w:tcW w:type="dxa" w:w="2160"/>
            <w:vAlign w:val="top"/>
            <w:shd w:fill="1F4E79"/>
          </w:tcPr>
          <w:p>
            <w:pPr>
              <w:spacing w:before="0" w:after="20" w:line="240" w:lineRule="auto"/>
            </w:pPr>
            <w:r/>
            <w:r>
              <w:rPr>
                <w:rFonts w:ascii="Calibri" w:hAnsi="Calibri"/>
                <w:b/>
                <w:color w:val="FFFFFF"/>
                <w:sz w:val="16"/>
              </w:rPr>
              <w:t>Programming controls</w:t>
            </w:r>
          </w:p>
        </w:tc>
      </w:tr>
      <w:tr>
        <w:tc>
          <w:tcPr>
            <w:tcW w:type="dxa" w:w="1800"/>
            <w:vAlign w:val="top"/>
          </w:tcPr>
          <w:p>
            <w:pPr>
              <w:spacing w:before="0" w:after="20" w:line="240" w:lineRule="auto"/>
            </w:pPr>
            <w:r/>
            <w:r>
              <w:rPr>
                <w:rFonts w:ascii="Calibri" w:hAnsi="Calibri"/>
                <w:b w:val="0"/>
                <w:color w:val="1F1F1F"/>
                <w:sz w:val="16"/>
              </w:rPr>
              <w:t>Trial target layer</w:t>
            </w:r>
          </w:p>
        </w:tc>
        <w:tc>
          <w:tcPr>
            <w:tcW w:type="dxa" w:w="2880"/>
            <w:vAlign w:val="top"/>
          </w:tcPr>
          <w:p>
            <w:pPr>
              <w:spacing w:before="0" w:after="20" w:line="240" w:lineRule="auto"/>
            </w:pPr>
            <w:r/>
            <w:r>
              <w:rPr>
                <w:rFonts w:ascii="Calibri" w:hAnsi="Calibri"/>
                <w:b w:val="0"/>
                <w:color w:val="1F1F1F"/>
                <w:sz w:val="16"/>
              </w:rPr>
              <w:t>Original randomized TROPIC design and published results.</w:t>
            </w:r>
          </w:p>
        </w:tc>
        <w:tc>
          <w:tcPr>
            <w:tcW w:type="dxa" w:w="2520"/>
            <w:vAlign w:val="top"/>
          </w:tcPr>
          <w:p>
            <w:pPr>
              <w:spacing w:before="0" w:after="20" w:line="240" w:lineRule="auto"/>
            </w:pPr>
            <w:r/>
            <w:r>
              <w:rPr>
                <w:rFonts w:ascii="Calibri" w:hAnsi="Calibri"/>
                <w:b w:val="0"/>
                <w:color w:val="1F1F1F"/>
                <w:sz w:val="16"/>
              </w:rPr>
              <w:t>Defines intended clinical questions and validation targets.</w:t>
            </w:r>
          </w:p>
        </w:tc>
        <w:tc>
          <w:tcPr>
            <w:tcW w:type="dxa" w:w="2160"/>
            <w:vAlign w:val="top"/>
          </w:tcPr>
          <w:p>
            <w:pPr>
              <w:spacing w:before="0" w:after="20" w:line="240" w:lineRule="auto"/>
            </w:pPr>
            <w:r/>
            <w:r>
              <w:rPr>
                <w:rFonts w:ascii="Calibri" w:hAnsi="Calibri"/>
                <w:b w:val="0"/>
                <w:color w:val="1F1F1F"/>
                <w:sz w:val="16"/>
              </w:rPr>
              <w:t>Use for objective, endpoint and validation-target specification.</w:t>
            </w:r>
          </w:p>
        </w:tc>
      </w:tr>
      <w:tr>
        <w:tc>
          <w:tcPr>
            <w:tcW w:type="dxa" w:w="1800"/>
            <w:vAlign w:val="top"/>
          </w:tcPr>
          <w:p>
            <w:pPr>
              <w:spacing w:before="0" w:after="20" w:line="240" w:lineRule="auto"/>
            </w:pPr>
            <w:r/>
            <w:r>
              <w:rPr>
                <w:rFonts w:ascii="Calibri" w:hAnsi="Calibri"/>
                <w:b w:val="0"/>
                <w:color w:val="1F1F1F"/>
                <w:sz w:val="16"/>
              </w:rPr>
              <w:t>Repo real-data layer</w:t>
            </w:r>
          </w:p>
        </w:tc>
        <w:tc>
          <w:tcPr>
            <w:tcW w:type="dxa" w:w="2880"/>
            <w:vAlign w:val="top"/>
          </w:tcPr>
          <w:p>
            <w:pPr>
              <w:spacing w:before="0" w:after="20" w:line="240" w:lineRule="auto"/>
            </w:pPr>
            <w:r/>
            <w:r>
              <w:rPr>
                <w:rFonts w:ascii="Calibri" w:hAnsi="Calibri"/>
                <w:b w:val="0"/>
                <w:color w:val="1F1F1F"/>
                <w:sz w:val="16"/>
              </w:rPr>
              <w:t>Real MP patient-level SDTM/ADaM available in repo/PDS source.</w:t>
            </w:r>
          </w:p>
        </w:tc>
        <w:tc>
          <w:tcPr>
            <w:tcW w:type="dxa" w:w="2520"/>
            <w:vAlign w:val="top"/>
          </w:tcPr>
          <w:p>
            <w:pPr>
              <w:spacing w:before="0" w:after="20" w:line="240" w:lineRule="auto"/>
            </w:pPr>
            <w:r/>
            <w:r>
              <w:rPr>
                <w:rFonts w:ascii="Calibri" w:hAnsi="Calibri"/>
                <w:b w:val="0"/>
                <w:color w:val="1F1F1F"/>
                <w:sz w:val="16"/>
              </w:rPr>
              <w:t>Permits real single-arm MP summaries and validation of MP-side derivations.</w:t>
            </w:r>
          </w:p>
        </w:tc>
        <w:tc>
          <w:tcPr>
            <w:tcW w:type="dxa" w:w="2160"/>
            <w:vAlign w:val="top"/>
          </w:tcPr>
          <w:p>
            <w:pPr>
              <w:spacing w:before="0" w:after="20" w:line="240" w:lineRule="auto"/>
            </w:pPr>
            <w:r/>
            <w:r>
              <w:rPr>
                <w:rFonts w:ascii="Calibri" w:hAnsi="Calibri"/>
                <w:b w:val="0"/>
                <w:color w:val="1F1F1F"/>
                <w:sz w:val="16"/>
              </w:rPr>
              <w:t>SAS/R reconciliation must compare MP records without lossy normalization.</w:t>
            </w:r>
          </w:p>
        </w:tc>
      </w:tr>
      <w:tr>
        <w:tc>
          <w:tcPr>
            <w:tcW w:type="dxa" w:w="1800"/>
            <w:vAlign w:val="top"/>
          </w:tcPr>
          <w:p>
            <w:pPr>
              <w:spacing w:before="0" w:after="20" w:line="240" w:lineRule="auto"/>
            </w:pPr>
            <w:r/>
            <w:r>
              <w:rPr>
                <w:rFonts w:ascii="Calibri" w:hAnsi="Calibri"/>
                <w:b w:val="0"/>
                <w:color w:val="1F1F1F"/>
                <w:sz w:val="16"/>
              </w:rPr>
              <w:t>Synthetic comparator layer</w:t>
            </w:r>
          </w:p>
        </w:tc>
        <w:tc>
          <w:tcPr>
            <w:tcW w:type="dxa" w:w="2880"/>
            <w:vAlign w:val="top"/>
          </w:tcPr>
          <w:p>
            <w:pPr>
              <w:spacing w:before="0" w:after="20" w:line="240" w:lineRule="auto"/>
            </w:pPr>
            <w:r/>
            <w:r>
              <w:rPr>
                <w:rFonts w:ascii="Calibri" w:hAnsi="Calibri"/>
                <w:b w:val="0"/>
                <w:color w:val="1F1F1F"/>
                <w:sz w:val="16"/>
              </w:rPr>
              <w:t>CbzP reconstructed from published KM curves/at-risk tables, PH scaling and fixed-seed marginal sampling.</w:t>
            </w:r>
          </w:p>
        </w:tc>
        <w:tc>
          <w:tcPr>
            <w:tcW w:type="dxa" w:w="2520"/>
            <w:vAlign w:val="top"/>
          </w:tcPr>
          <w:p>
            <w:pPr>
              <w:spacing w:before="0" w:after="20" w:line="240" w:lineRule="auto"/>
            </w:pPr>
            <w:r/>
            <w:r>
              <w:rPr>
                <w:rFonts w:ascii="Calibri" w:hAnsi="Calibri"/>
                <w:b w:val="0"/>
                <w:color w:val="1F1F1F"/>
                <w:sz w:val="16"/>
              </w:rPr>
              <w:t>Permits demonstration of pipeline mechanics, shells, figures and exploratory methods only.</w:t>
            </w:r>
          </w:p>
        </w:tc>
        <w:tc>
          <w:tcPr>
            <w:tcW w:type="dxa" w:w="2160"/>
            <w:vAlign w:val="top"/>
          </w:tcPr>
          <w:p>
            <w:pPr>
              <w:spacing w:before="0" w:after="20" w:line="240" w:lineRule="auto"/>
            </w:pPr>
            <w:r/>
            <w:r>
              <w:rPr>
                <w:rFonts w:ascii="Calibri" w:hAnsi="Calibri"/>
                <w:b w:val="0"/>
                <w:color w:val="1F1F1F"/>
                <w:sz w:val="16"/>
              </w:rPr>
              <w:t>Every output must label synthetic comparator and non-confirmatory status.</w:t>
            </w:r>
          </w:p>
        </w:tc>
      </w:tr>
      <w:tr>
        <w:tc>
          <w:tcPr>
            <w:tcW w:type="dxa" w:w="1800"/>
            <w:vAlign w:val="top"/>
          </w:tcPr>
          <w:p>
            <w:pPr>
              <w:spacing w:before="0" w:after="20" w:line="240" w:lineRule="auto"/>
            </w:pPr>
            <w:r/>
            <w:r>
              <w:rPr>
                <w:rFonts w:ascii="Calibri" w:hAnsi="Calibri"/>
                <w:b w:val="0"/>
                <w:color w:val="1F1F1F"/>
                <w:sz w:val="16"/>
              </w:rPr>
              <w:t>Future submission layer</w:t>
            </w:r>
          </w:p>
        </w:tc>
        <w:tc>
          <w:tcPr>
            <w:tcW w:type="dxa" w:w="2880"/>
            <w:vAlign w:val="top"/>
          </w:tcPr>
          <w:p>
            <w:pPr>
              <w:spacing w:before="0" w:after="20" w:line="240" w:lineRule="auto"/>
            </w:pPr>
            <w:r/>
            <w:r>
              <w:rPr>
                <w:rFonts w:ascii="Calibri" w:hAnsi="Calibri"/>
                <w:b w:val="0"/>
                <w:color w:val="1F1F1F"/>
                <w:sz w:val="16"/>
              </w:rPr>
              <w:t>Complete authoritative two-arm IPD, approved SAP, clean CDISC package and validated environment.</w:t>
            </w:r>
          </w:p>
        </w:tc>
        <w:tc>
          <w:tcPr>
            <w:tcW w:type="dxa" w:w="2520"/>
            <w:vAlign w:val="top"/>
          </w:tcPr>
          <w:p>
            <w:pPr>
              <w:spacing w:before="0" w:after="20" w:line="240" w:lineRule="auto"/>
            </w:pPr>
            <w:r/>
            <w:r>
              <w:rPr>
                <w:rFonts w:ascii="Calibri" w:hAnsi="Calibri"/>
                <w:b w:val="0"/>
                <w:color w:val="1F1F1F"/>
                <w:sz w:val="16"/>
              </w:rPr>
              <w:t>Permits submission-facing clinical analysis only after gates pass.</w:t>
            </w:r>
          </w:p>
        </w:tc>
        <w:tc>
          <w:tcPr>
            <w:tcW w:type="dxa" w:w="2160"/>
            <w:vAlign w:val="top"/>
          </w:tcPr>
          <w:p>
            <w:pPr>
              <w:spacing w:before="0" w:after="20" w:line="240" w:lineRule="auto"/>
            </w:pPr>
            <w:r/>
            <w:r>
              <w:rPr>
                <w:rFonts w:ascii="Calibri" w:hAnsi="Calibri"/>
                <w:b w:val="0"/>
                <w:color w:val="1F1F1F"/>
                <w:sz w:val="16"/>
              </w:rPr>
              <w:t>Requires full rerun, P21/CORE/Define validation, eCTD integrity and Part 11/process evidence.</w:t>
            </w:r>
          </w:p>
        </w:tc>
      </w:tr>
    </w:tbl>
    <w:p/>
    <w:p>
      <w:pPr>
        <w:pStyle w:val="Heading1"/>
      </w:pPr>
      <w:r>
        <w:t>5. Analysis populations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512"/>
            <w:vAlign w:val="top"/>
            <w:shd w:fill="1F4E79"/>
          </w:tcPr>
          <w:p>
            <w:pPr>
              <w:spacing w:before="0" w:after="20" w:line="240" w:lineRule="auto"/>
            </w:pPr>
            <w:r/>
            <w:r>
              <w:rPr>
                <w:rFonts w:ascii="Calibri" w:hAnsi="Calibri"/>
                <w:b/>
                <w:color w:val="FFFFFF"/>
                <w:sz w:val="15"/>
              </w:rPr>
              <w:t>Population</w:t>
            </w:r>
          </w:p>
        </w:tc>
        <w:tc>
          <w:tcPr>
            <w:tcW w:type="dxa" w:w="2376"/>
            <w:vAlign w:val="top"/>
            <w:shd w:fill="1F4E79"/>
          </w:tcPr>
          <w:p>
            <w:pPr>
              <w:spacing w:before="0" w:after="20" w:line="240" w:lineRule="auto"/>
            </w:pPr>
            <w:r/>
            <w:r>
              <w:rPr>
                <w:rFonts w:ascii="Calibri" w:hAnsi="Calibri"/>
                <w:b/>
                <w:color w:val="FFFFFF"/>
                <w:sz w:val="15"/>
              </w:rPr>
              <w:t>Definition</w:t>
            </w:r>
          </w:p>
        </w:tc>
        <w:tc>
          <w:tcPr>
            <w:tcW w:type="dxa" w:w="1800"/>
            <w:vAlign w:val="top"/>
            <w:shd w:fill="1F4E79"/>
          </w:tcPr>
          <w:p>
            <w:pPr>
              <w:spacing w:before="0" w:after="20" w:line="240" w:lineRule="auto"/>
            </w:pPr>
            <w:r/>
            <w:r>
              <w:rPr>
                <w:rFonts w:ascii="Calibri" w:hAnsi="Calibri"/>
                <w:b/>
                <w:color w:val="FFFFFF"/>
                <w:sz w:val="15"/>
              </w:rPr>
              <w:t>Treatment assignment</w:t>
            </w:r>
          </w:p>
        </w:tc>
        <w:tc>
          <w:tcPr>
            <w:tcW w:type="dxa" w:w="1800"/>
            <w:vAlign w:val="top"/>
            <w:shd w:fill="1F4E79"/>
          </w:tcPr>
          <w:p>
            <w:pPr>
              <w:spacing w:before="0" w:after="20" w:line="240" w:lineRule="auto"/>
            </w:pPr>
            <w:r/>
            <w:r>
              <w:rPr>
                <w:rFonts w:ascii="Calibri" w:hAnsi="Calibri"/>
                <w:b/>
                <w:color w:val="FFFFFF"/>
                <w:sz w:val="15"/>
              </w:rPr>
              <w:t>Use</w:t>
            </w:r>
          </w:p>
        </w:tc>
        <w:tc>
          <w:tcPr>
            <w:tcW w:type="dxa" w:w="1872"/>
            <w:vAlign w:val="top"/>
            <w:shd w:fill="1F4E79"/>
          </w:tcPr>
          <w:p>
            <w:pPr>
              <w:spacing w:before="0" w:after="20" w:line="240" w:lineRule="auto"/>
            </w:pPr>
            <w:r/>
            <w:r>
              <w:rPr>
                <w:rFonts w:ascii="Calibri" w:hAnsi="Calibri"/>
                <w:b/>
                <w:color w:val="FFFFFF"/>
                <w:sz w:val="15"/>
              </w:rPr>
              <w:t>Target / current status</w:t>
            </w:r>
          </w:p>
        </w:tc>
      </w:tr>
      <w:tr>
        <w:tc>
          <w:tcPr>
            <w:tcW w:type="dxa" w:w="1512"/>
            <w:vAlign w:val="top"/>
          </w:tcPr>
          <w:p>
            <w:pPr>
              <w:spacing w:before="0" w:after="20" w:line="240" w:lineRule="auto"/>
            </w:pPr>
            <w:r/>
            <w:r>
              <w:rPr>
                <w:rFonts w:ascii="Calibri" w:hAnsi="Calibri"/>
                <w:b w:val="0"/>
                <w:color w:val="1F1F1F"/>
                <w:sz w:val="15"/>
              </w:rPr>
              <w:t>Intent-to-treat (ITT)</w:t>
            </w:r>
          </w:p>
        </w:tc>
        <w:tc>
          <w:tcPr>
            <w:tcW w:type="dxa" w:w="2376"/>
            <w:vAlign w:val="top"/>
          </w:tcPr>
          <w:p>
            <w:pPr>
              <w:spacing w:before="0" w:after="20" w:line="240" w:lineRule="auto"/>
            </w:pPr>
            <w:r/>
            <w:r>
              <w:rPr>
                <w:rFonts w:ascii="Calibri" w:hAnsi="Calibri"/>
                <w:b w:val="0"/>
                <w:color w:val="1F1F1F"/>
                <w:sz w:val="15"/>
              </w:rPr>
              <w:t>All randomized patients.</w:t>
            </w:r>
          </w:p>
        </w:tc>
        <w:tc>
          <w:tcPr>
            <w:tcW w:type="dxa" w:w="1800"/>
            <w:vAlign w:val="top"/>
          </w:tcPr>
          <w:p>
            <w:pPr>
              <w:spacing w:before="0" w:after="20" w:line="240" w:lineRule="auto"/>
            </w:pPr>
            <w:r/>
            <w:r>
              <w:rPr>
                <w:rFonts w:ascii="Calibri" w:hAnsi="Calibri"/>
                <w:b w:val="0"/>
                <w:color w:val="1F1F1F"/>
                <w:sz w:val="15"/>
              </w:rPr>
              <w:t>Randomized treatment.</w:t>
            </w:r>
          </w:p>
        </w:tc>
        <w:tc>
          <w:tcPr>
            <w:tcW w:type="dxa" w:w="1800"/>
            <w:vAlign w:val="top"/>
          </w:tcPr>
          <w:p>
            <w:pPr>
              <w:spacing w:before="0" w:after="20" w:line="240" w:lineRule="auto"/>
            </w:pPr>
            <w:r/>
            <w:r>
              <w:rPr>
                <w:rFonts w:ascii="Calibri" w:hAnsi="Calibri"/>
                <w:b w:val="0"/>
                <w:color w:val="1F1F1F"/>
                <w:sz w:val="15"/>
              </w:rPr>
              <w:t>Primary efficacy and most secondary efficacy analyses.</w:t>
            </w:r>
          </w:p>
        </w:tc>
        <w:tc>
          <w:tcPr>
            <w:tcW w:type="dxa" w:w="1872"/>
            <w:vAlign w:val="top"/>
          </w:tcPr>
          <w:p>
            <w:pPr>
              <w:spacing w:before="0" w:after="20" w:line="240" w:lineRule="auto"/>
            </w:pPr>
            <w:r/>
            <w:r>
              <w:rPr>
                <w:rFonts w:ascii="Calibri" w:hAnsi="Calibri"/>
                <w:b w:val="0"/>
                <w:color w:val="1F1F1F"/>
                <w:sz w:val="15"/>
              </w:rPr>
              <w:t>Published N=755. Current repo combined N=749 is not the original ITT and must not be labeled trial ITT.</w:t>
            </w:r>
          </w:p>
        </w:tc>
      </w:tr>
      <w:tr>
        <w:tc>
          <w:tcPr>
            <w:tcW w:type="dxa" w:w="1512"/>
            <w:vAlign w:val="top"/>
          </w:tcPr>
          <w:p>
            <w:pPr>
              <w:spacing w:before="0" w:after="20" w:line="240" w:lineRule="auto"/>
            </w:pPr>
            <w:r/>
            <w:r>
              <w:rPr>
                <w:rFonts w:ascii="Calibri" w:hAnsi="Calibri"/>
                <w:b w:val="0"/>
                <w:color w:val="1F1F1F"/>
                <w:sz w:val="15"/>
              </w:rPr>
              <w:t>Safety / all-treated</w:t>
            </w:r>
          </w:p>
        </w:tc>
        <w:tc>
          <w:tcPr>
            <w:tcW w:type="dxa" w:w="2376"/>
            <w:vAlign w:val="top"/>
          </w:tcPr>
          <w:p>
            <w:pPr>
              <w:spacing w:before="0" w:after="20" w:line="240" w:lineRule="auto"/>
            </w:pPr>
            <w:r/>
            <w:r>
              <w:rPr>
                <w:rFonts w:ascii="Calibri" w:hAnsi="Calibri"/>
                <w:b w:val="0"/>
                <w:color w:val="1F1F1F"/>
                <w:sz w:val="15"/>
              </w:rPr>
              <w:t>All patients receiving at least part of one dose.</w:t>
            </w:r>
          </w:p>
        </w:tc>
        <w:tc>
          <w:tcPr>
            <w:tcW w:type="dxa" w:w="1800"/>
            <w:vAlign w:val="top"/>
          </w:tcPr>
          <w:p>
            <w:pPr>
              <w:spacing w:before="0" w:after="20" w:line="240" w:lineRule="auto"/>
            </w:pPr>
            <w:r/>
            <w:r>
              <w:rPr>
                <w:rFonts w:ascii="Calibri" w:hAnsi="Calibri"/>
                <w:b w:val="0"/>
                <w:color w:val="1F1F1F"/>
                <w:sz w:val="15"/>
              </w:rPr>
              <w:t>Treatment actually received.</w:t>
            </w:r>
          </w:p>
        </w:tc>
        <w:tc>
          <w:tcPr>
            <w:tcW w:type="dxa" w:w="1800"/>
            <w:vAlign w:val="top"/>
          </w:tcPr>
          <w:p>
            <w:pPr>
              <w:spacing w:before="0" w:after="20" w:line="240" w:lineRule="auto"/>
            </w:pPr>
            <w:r/>
            <w:r>
              <w:rPr>
                <w:rFonts w:ascii="Calibri" w:hAnsi="Calibri"/>
                <w:b w:val="0"/>
                <w:color w:val="1F1F1F"/>
                <w:sz w:val="15"/>
              </w:rPr>
              <w:t>Safety, exposure, dose modification, deaths within safety window.</w:t>
            </w:r>
          </w:p>
        </w:tc>
        <w:tc>
          <w:tcPr>
            <w:tcW w:type="dxa" w:w="1872"/>
            <w:vAlign w:val="top"/>
          </w:tcPr>
          <w:p>
            <w:pPr>
              <w:spacing w:before="0" w:after="20" w:line="240" w:lineRule="auto"/>
            </w:pPr>
            <w:r/>
            <w:r>
              <w:rPr>
                <w:rFonts w:ascii="Calibri" w:hAnsi="Calibri"/>
                <w:b w:val="0"/>
                <w:color w:val="1F1F1F"/>
                <w:sz w:val="15"/>
              </w:rPr>
              <w:t>Published N=371 per arm. Current real layer has MP N=371.</w:t>
            </w:r>
          </w:p>
        </w:tc>
      </w:tr>
      <w:tr>
        <w:tc>
          <w:tcPr>
            <w:tcW w:type="dxa" w:w="1512"/>
            <w:vAlign w:val="top"/>
          </w:tcPr>
          <w:p>
            <w:pPr>
              <w:spacing w:before="0" w:after="20" w:line="240" w:lineRule="auto"/>
            </w:pPr>
            <w:r/>
            <w:r>
              <w:rPr>
                <w:rFonts w:ascii="Calibri" w:hAnsi="Calibri"/>
                <w:b w:val="0"/>
                <w:color w:val="1F1F1F"/>
                <w:sz w:val="15"/>
              </w:rPr>
              <w:t>Per-protocol</w:t>
            </w:r>
          </w:p>
        </w:tc>
        <w:tc>
          <w:tcPr>
            <w:tcW w:type="dxa" w:w="2376"/>
            <w:vAlign w:val="top"/>
          </w:tcPr>
          <w:p>
            <w:pPr>
              <w:spacing w:before="0" w:after="20" w:line="240" w:lineRule="auto"/>
            </w:pPr>
            <w:r/>
            <w:r>
              <w:rPr>
                <w:rFonts w:ascii="Calibri" w:hAnsi="Calibri"/>
                <w:b w:val="0"/>
                <w:color w:val="1F1F1F"/>
                <w:sz w:val="15"/>
              </w:rPr>
              <w:t>ITT patients without major protocol deviations.</w:t>
            </w:r>
          </w:p>
        </w:tc>
        <w:tc>
          <w:tcPr>
            <w:tcW w:type="dxa" w:w="1800"/>
            <w:vAlign w:val="top"/>
          </w:tcPr>
          <w:p>
            <w:pPr>
              <w:spacing w:before="0" w:after="20" w:line="240" w:lineRule="auto"/>
            </w:pPr>
            <w:r/>
            <w:r>
              <w:rPr>
                <w:rFonts w:ascii="Calibri" w:hAnsi="Calibri"/>
                <w:b w:val="0"/>
                <w:color w:val="1F1F1F"/>
                <w:sz w:val="15"/>
              </w:rPr>
              <w:t>Randomized treatment unless deviation requires exclusion.</w:t>
            </w:r>
          </w:p>
        </w:tc>
        <w:tc>
          <w:tcPr>
            <w:tcW w:type="dxa" w:w="1800"/>
            <w:vAlign w:val="top"/>
          </w:tcPr>
          <w:p>
            <w:pPr>
              <w:spacing w:before="0" w:after="20" w:line="240" w:lineRule="auto"/>
            </w:pPr>
            <w:r/>
            <w:r>
              <w:rPr>
                <w:rFonts w:ascii="Calibri" w:hAnsi="Calibri"/>
                <w:b w:val="0"/>
                <w:color w:val="1F1F1F"/>
                <w:sz w:val="15"/>
              </w:rPr>
              <w:t>Sensitivity/supportive only.</w:t>
            </w:r>
          </w:p>
        </w:tc>
        <w:tc>
          <w:tcPr>
            <w:tcW w:type="dxa" w:w="1872"/>
            <w:vAlign w:val="top"/>
          </w:tcPr>
          <w:p>
            <w:pPr>
              <w:spacing w:before="0" w:after="20" w:line="240" w:lineRule="auto"/>
            </w:pPr>
            <w:r/>
            <w:r>
              <w:rPr>
                <w:rFonts w:ascii="Calibri" w:hAnsi="Calibri"/>
                <w:b w:val="0"/>
                <w:color w:val="1F1F1F"/>
                <w:sz w:val="15"/>
              </w:rPr>
              <w:t>Must be source-flagged or derivable from protocol deviations.</w:t>
            </w:r>
          </w:p>
        </w:tc>
      </w:tr>
      <w:tr>
        <w:tc>
          <w:tcPr>
            <w:tcW w:type="dxa" w:w="1512"/>
            <w:vAlign w:val="top"/>
          </w:tcPr>
          <w:p>
            <w:pPr>
              <w:spacing w:before="0" w:after="20" w:line="240" w:lineRule="auto"/>
            </w:pPr>
            <w:r/>
            <w:r>
              <w:rPr>
                <w:rFonts w:ascii="Calibri" w:hAnsi="Calibri"/>
                <w:b w:val="0"/>
                <w:color w:val="1F1F1F"/>
                <w:sz w:val="15"/>
              </w:rPr>
              <w:t>PSA response evaluable</w:t>
            </w:r>
          </w:p>
        </w:tc>
        <w:tc>
          <w:tcPr>
            <w:tcW w:type="dxa" w:w="2376"/>
            <w:vAlign w:val="top"/>
          </w:tcPr>
          <w:p>
            <w:pPr>
              <w:spacing w:before="0" w:after="20" w:line="240" w:lineRule="auto"/>
            </w:pPr>
            <w:r/>
            <w:r>
              <w:rPr>
                <w:rFonts w:ascii="Calibri" w:hAnsi="Calibri"/>
                <w:b w:val="0"/>
                <w:color w:val="1F1F1F"/>
                <w:sz w:val="15"/>
              </w:rPr>
              <w:t>Baseline PSA &gt;=20 ug/L plus evaluable confirmatory PSA assessments.</w:t>
            </w:r>
          </w:p>
        </w:tc>
        <w:tc>
          <w:tcPr>
            <w:tcW w:type="dxa" w:w="1800"/>
            <w:vAlign w:val="top"/>
          </w:tcPr>
          <w:p>
            <w:pPr>
              <w:spacing w:before="0" w:after="20" w:line="240" w:lineRule="auto"/>
            </w:pPr>
            <w:r/>
            <w:r>
              <w:rPr>
                <w:rFonts w:ascii="Calibri" w:hAnsi="Calibri"/>
                <w:b w:val="0"/>
                <w:color w:val="1F1F1F"/>
                <w:sz w:val="15"/>
              </w:rPr>
              <w:t>Randomized treatment.</w:t>
            </w:r>
          </w:p>
        </w:tc>
        <w:tc>
          <w:tcPr>
            <w:tcW w:type="dxa" w:w="1800"/>
            <w:vAlign w:val="top"/>
          </w:tcPr>
          <w:p>
            <w:pPr>
              <w:spacing w:before="0" w:after="20" w:line="240" w:lineRule="auto"/>
            </w:pPr>
            <w:r/>
            <w:r>
              <w:rPr>
                <w:rFonts w:ascii="Calibri" w:hAnsi="Calibri"/>
                <w:b w:val="0"/>
                <w:color w:val="1F1F1F"/>
                <w:sz w:val="15"/>
              </w:rPr>
              <w:t>PSA response rate.</w:t>
            </w:r>
          </w:p>
        </w:tc>
        <w:tc>
          <w:tcPr>
            <w:tcW w:type="dxa" w:w="1872"/>
            <w:vAlign w:val="top"/>
          </w:tcPr>
          <w:p>
            <w:pPr>
              <w:spacing w:before="0" w:after="20" w:line="240" w:lineRule="auto"/>
            </w:pPr>
            <w:r/>
            <w:r>
              <w:rPr>
                <w:rFonts w:ascii="Calibri" w:hAnsi="Calibri"/>
                <w:b w:val="0"/>
                <w:color w:val="1F1F1F"/>
                <w:sz w:val="15"/>
              </w:rPr>
              <w:t>Published 325 MP, 329 CbzP; programming must not use all PSARESP records.</w:t>
            </w:r>
          </w:p>
        </w:tc>
      </w:tr>
      <w:tr>
        <w:tc>
          <w:tcPr>
            <w:tcW w:type="dxa" w:w="1512"/>
            <w:vAlign w:val="top"/>
          </w:tcPr>
          <w:p>
            <w:pPr>
              <w:spacing w:before="0" w:after="20" w:line="240" w:lineRule="auto"/>
            </w:pPr>
            <w:r/>
            <w:r>
              <w:rPr>
                <w:rFonts w:ascii="Calibri" w:hAnsi="Calibri"/>
                <w:b w:val="0"/>
                <w:color w:val="1F1F1F"/>
                <w:sz w:val="15"/>
              </w:rPr>
              <w:t>Measurable disease</w:t>
            </w:r>
          </w:p>
        </w:tc>
        <w:tc>
          <w:tcPr>
            <w:tcW w:type="dxa" w:w="2376"/>
            <w:vAlign w:val="top"/>
          </w:tcPr>
          <w:p>
            <w:pPr>
              <w:spacing w:before="0" w:after="20" w:line="240" w:lineRule="auto"/>
            </w:pPr>
            <w:r/>
            <w:r>
              <w:rPr>
                <w:rFonts w:ascii="Calibri" w:hAnsi="Calibri"/>
                <w:b w:val="0"/>
                <w:color w:val="1F1F1F"/>
                <w:sz w:val="15"/>
              </w:rPr>
              <w:t>Baseline measurable lesion per RECIST v1.0.</w:t>
            </w:r>
          </w:p>
        </w:tc>
        <w:tc>
          <w:tcPr>
            <w:tcW w:type="dxa" w:w="1800"/>
            <w:vAlign w:val="top"/>
          </w:tcPr>
          <w:p>
            <w:pPr>
              <w:spacing w:before="0" w:after="20" w:line="240" w:lineRule="auto"/>
            </w:pPr>
            <w:r/>
            <w:r>
              <w:rPr>
                <w:rFonts w:ascii="Calibri" w:hAnsi="Calibri"/>
                <w:b w:val="0"/>
                <w:color w:val="1F1F1F"/>
                <w:sz w:val="15"/>
              </w:rPr>
              <w:t>Randomized treatment.</w:t>
            </w:r>
          </w:p>
        </w:tc>
        <w:tc>
          <w:tcPr>
            <w:tcW w:type="dxa" w:w="1800"/>
            <w:vAlign w:val="top"/>
          </w:tcPr>
          <w:p>
            <w:pPr>
              <w:spacing w:before="0" w:after="20" w:line="240" w:lineRule="auto"/>
            </w:pPr>
            <w:r/>
            <w:r>
              <w:rPr>
                <w:rFonts w:ascii="Calibri" w:hAnsi="Calibri"/>
                <w:b w:val="0"/>
                <w:color w:val="1F1F1F"/>
                <w:sz w:val="15"/>
              </w:rPr>
              <w:t>ORR and tumour-response summaries.</w:t>
            </w:r>
          </w:p>
        </w:tc>
        <w:tc>
          <w:tcPr>
            <w:tcW w:type="dxa" w:w="1872"/>
            <w:vAlign w:val="top"/>
          </w:tcPr>
          <w:p>
            <w:pPr>
              <w:spacing w:before="0" w:after="20" w:line="240" w:lineRule="auto"/>
            </w:pPr>
            <w:r/>
            <w:r>
              <w:rPr>
                <w:rFonts w:ascii="Calibri" w:hAnsi="Calibri"/>
                <w:b w:val="0"/>
                <w:color w:val="1F1F1F"/>
                <w:sz w:val="15"/>
              </w:rPr>
              <w:t>Published 204 MP, 201 CbzP.</w:t>
            </w:r>
          </w:p>
        </w:tc>
      </w:tr>
      <w:tr>
        <w:tc>
          <w:tcPr>
            <w:tcW w:type="dxa" w:w="1512"/>
            <w:vAlign w:val="top"/>
          </w:tcPr>
          <w:p>
            <w:pPr>
              <w:spacing w:before="0" w:after="20" w:line="240" w:lineRule="auto"/>
            </w:pPr>
            <w:r/>
            <w:r>
              <w:rPr>
                <w:rFonts w:ascii="Calibri" w:hAnsi="Calibri"/>
                <w:b w:val="0"/>
                <w:color w:val="1F1F1F"/>
                <w:sz w:val="15"/>
              </w:rPr>
              <w:t>Pain response evaluable</w:t>
            </w:r>
          </w:p>
        </w:tc>
        <w:tc>
          <w:tcPr>
            <w:tcW w:type="dxa" w:w="2376"/>
            <w:vAlign w:val="top"/>
          </w:tcPr>
          <w:p>
            <w:pPr>
              <w:spacing w:before="0" w:after="20" w:line="240" w:lineRule="auto"/>
            </w:pPr>
            <w:r/>
            <w:r>
              <w:rPr>
                <w:rFonts w:ascii="Calibri" w:hAnsi="Calibri"/>
                <w:b w:val="0"/>
                <w:color w:val="1F1F1F"/>
                <w:sz w:val="15"/>
              </w:rPr>
              <w:t>Baseline median PPI &gt;=2 or mean analgesic score &gt;=10 with diary evaluability.</w:t>
            </w:r>
          </w:p>
        </w:tc>
        <w:tc>
          <w:tcPr>
            <w:tcW w:type="dxa" w:w="1800"/>
            <w:vAlign w:val="top"/>
          </w:tcPr>
          <w:p>
            <w:pPr>
              <w:spacing w:before="0" w:after="20" w:line="240" w:lineRule="auto"/>
            </w:pPr>
            <w:r/>
            <w:r>
              <w:rPr>
                <w:rFonts w:ascii="Calibri" w:hAnsi="Calibri"/>
                <w:b w:val="0"/>
                <w:color w:val="1F1F1F"/>
                <w:sz w:val="15"/>
              </w:rPr>
              <w:t>Randomized treatment.</w:t>
            </w:r>
          </w:p>
        </w:tc>
        <w:tc>
          <w:tcPr>
            <w:tcW w:type="dxa" w:w="1800"/>
            <w:vAlign w:val="top"/>
          </w:tcPr>
          <w:p>
            <w:pPr>
              <w:spacing w:before="0" w:after="20" w:line="240" w:lineRule="auto"/>
            </w:pPr>
            <w:r/>
            <w:r>
              <w:rPr>
                <w:rFonts w:ascii="Calibri" w:hAnsi="Calibri"/>
                <w:b w:val="0"/>
                <w:color w:val="1F1F1F"/>
                <w:sz w:val="15"/>
              </w:rPr>
              <w:t>Pain response.</w:t>
            </w:r>
          </w:p>
        </w:tc>
        <w:tc>
          <w:tcPr>
            <w:tcW w:type="dxa" w:w="1872"/>
            <w:vAlign w:val="top"/>
          </w:tcPr>
          <w:p>
            <w:pPr>
              <w:spacing w:before="0" w:after="20" w:line="240" w:lineRule="auto"/>
            </w:pPr>
            <w:r/>
            <w:r>
              <w:rPr>
                <w:rFonts w:ascii="Calibri" w:hAnsi="Calibri"/>
                <w:b w:val="0"/>
                <w:color w:val="1F1F1F"/>
                <w:sz w:val="15"/>
              </w:rPr>
              <w:t>Published 168 MP, 174 CbzP.</w:t>
            </w:r>
          </w:p>
        </w:tc>
      </w:tr>
    </w:tbl>
    <w:p/>
    <w:p>
      <w:pPr>
        <w:pStyle w:val="Heading1"/>
      </w:pPr>
      <w:r>
        <w:t>6. General statistical principles</w:t>
      </w:r>
    </w:p>
    <w:p>
      <w:pPr>
        <w:pStyle w:val="Heading2"/>
      </w:pPr>
      <w:r>
        <w:t>6.1 Analysis conventions</w:t>
      </w:r>
    </w:p>
    <w:p>
      <w:pPr>
        <w:pStyle w:val="ListBullet"/>
        <w:spacing w:after="40"/>
      </w:pPr>
      <w:r>
        <w:t>All efficacy tests are two-sided unless explicitly stated otherwise.</w:t>
      </w:r>
    </w:p>
    <w:p>
      <w:pPr>
        <w:pStyle w:val="ListBullet"/>
        <w:spacing w:after="40"/>
      </w:pPr>
      <w:r>
        <w:t>Time-to-event analyses use days as the stored analysis scale. Months are reported as days divided by 30.4375 unless a shell specifies otherwise.</w:t>
      </w:r>
    </w:p>
    <w:p>
      <w:pPr>
        <w:pStyle w:val="ListBullet"/>
        <w:spacing w:after="40"/>
      </w:pPr>
      <w:r>
        <w:t>Confidence intervals are two-sided 95% intervals unless the output shell specifies another interval.</w:t>
      </w:r>
    </w:p>
    <w:p>
      <w:pPr>
        <w:pStyle w:val="ListBullet"/>
        <w:spacing w:after="40"/>
      </w:pPr>
      <w:r>
        <w:t>Counts and percentages use the relevant analysis population denominator. Percentages are displayed to one decimal place unless counts are small or shell-specific precision is required.</w:t>
      </w:r>
    </w:p>
    <w:p>
      <w:pPr>
        <w:pStyle w:val="ListBullet"/>
        <w:spacing w:after="40"/>
      </w:pPr>
      <w:r>
        <w:t>Treatment labels are MP and CbzP. Current repo outputs must annotate whether CbzP is reconstructed/synthetic.</w:t>
      </w:r>
    </w:p>
    <w:p>
      <w:pPr>
        <w:pStyle w:val="ListBullet"/>
        <w:spacing w:after="40"/>
      </w:pPr>
      <w:r>
        <w:t>No data-driven changes to endpoint definitions, windows, populations or estimators are permitted after SAP approval without amendment.</w:t>
      </w:r>
    </w:p>
    <w:p>
      <w:pPr>
        <w:pStyle w:val="Heading2"/>
      </w:pPr>
      <w:r>
        <w:t>6.2 Baseline, visits and windows</w:t>
      </w:r>
    </w:p>
    <w:p>
      <w:pPr>
        <w:pStyle w:val="ListBullet"/>
        <w:spacing w:after="40"/>
      </w:pPr>
      <w:r>
        <w:t>Baseline is the last non-missing value on or before first dose unless the endpoint definition requires randomization-date baseline.</w:t>
      </w:r>
    </w:p>
    <w:p>
      <w:pPr>
        <w:pStyle w:val="ListBullet"/>
        <w:spacing w:after="40"/>
      </w:pPr>
      <w:r>
        <w:t>Post-baseline excludes baseline and pre-dose values unless explicitly part of a Cycle Day 1 pre-dose laboratory window.</w:t>
      </w:r>
    </w:p>
    <w:p>
      <w:pPr>
        <w:pStyle w:val="ListBullet"/>
        <w:spacing w:after="40"/>
      </w:pPr>
      <w:r>
        <w:t>CBC windows include scheduled Cycle Day 1 pre-dose, Day 8 and Day 15 assessments.</w:t>
      </w:r>
    </w:p>
    <w:p>
      <w:pPr>
        <w:pStyle w:val="ListBullet"/>
        <w:spacing w:after="40"/>
      </w:pPr>
      <w:r>
        <w:t>When multiple values fall in a window, select one analysis record by minimum absolute distance to target day; ties use worst toxicity grade, then latest available record, unless a parameter-specific rule overrides this.</w:t>
      </w:r>
    </w:p>
    <w:p>
      <w:pPr>
        <w:pStyle w:val="ListBullet"/>
        <w:spacing w:after="40"/>
      </w:pPr>
      <w:r>
        <w:t>Unscheduled assessments may be used for event detection if clinically valid and source-date reliability is adequate.</w:t>
      </w:r>
    </w:p>
    <w:p>
      <w:pPr>
        <w:pStyle w:val="Heading2"/>
      </w:pPr>
      <w:r>
        <w:t>6.3 Software and reproducibility</w:t>
      </w:r>
    </w:p>
    <w:p>
      <w:pPr>
        <w:pStyle w:val="ListBullet"/>
        <w:spacing w:after="40"/>
      </w:pPr>
      <w:r>
        <w:t>Production and QC are dual-language where feasible: SAS production and R/pharmaverse validation.</w:t>
      </w:r>
    </w:p>
    <w:p>
      <w:pPr>
        <w:pStyle w:val="ListBullet"/>
        <w:spacing w:after="40"/>
      </w:pPr>
      <w:r>
        <w:t>Each run must bind Git commit, program versions, inputs, outputs, logs, hashes, validator versions and reviewer disposition in a run manifest.</w:t>
      </w:r>
    </w:p>
    <w:p>
      <w:pPr>
        <w:pStyle w:val="ListBullet"/>
        <w:spacing w:after="40"/>
      </w:pPr>
      <w:r>
        <w:t>Random generation for synthetic comparator data requires deterministic seed capture, seed rationale and hash-bound output.</w:t>
      </w:r>
    </w:p>
    <w:p>
      <w:pPr>
        <w:pStyle w:val="ListBullet"/>
        <w:spacing w:after="40"/>
      </w:pPr>
      <w:r>
        <w:t>SAS and R logs must be reviewed and fail on unapproved errors, warnings, invalid INPUT, uninitialized variables and problematic merge notes.</w:t>
      </w:r>
    </w:p>
    <w:p>
      <w:pPr>
        <w:pStyle w:val="Heading2"/>
      </w:pPr>
      <w:r>
        <w:t>6.4 Statistical model and display standards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top"/>
            <w:shd w:fill="1F4E79"/>
          </w:tcPr>
          <w:p>
            <w:pPr>
              <w:spacing w:before="0" w:after="20" w:line="240" w:lineRule="auto"/>
            </w:pPr>
            <w:r/>
            <w:r>
              <w:rPr>
                <w:rFonts w:ascii="Calibri" w:hAnsi="Calibri"/>
                <w:b/>
                <w:color w:val="FFFFFF"/>
                <w:sz w:val="14"/>
              </w:rPr>
              <w:t>Analysis type</w:t>
            </w:r>
          </w:p>
        </w:tc>
        <w:tc>
          <w:tcPr>
            <w:tcW w:type="dxa" w:w="2664"/>
            <w:vAlign w:val="top"/>
            <w:shd w:fill="1F4E79"/>
          </w:tcPr>
          <w:p>
            <w:pPr>
              <w:spacing w:before="0" w:after="20" w:line="240" w:lineRule="auto"/>
            </w:pPr>
            <w:r/>
            <w:r>
              <w:rPr>
                <w:rFonts w:ascii="Calibri" w:hAnsi="Calibri"/>
                <w:b/>
                <w:color w:val="FFFFFF"/>
                <w:sz w:val="14"/>
              </w:rPr>
              <w:t>Primary method</w:t>
            </w:r>
          </w:p>
        </w:tc>
        <w:tc>
          <w:tcPr>
            <w:tcW w:type="dxa" w:w="2664"/>
            <w:vAlign w:val="top"/>
            <w:shd w:fill="1F4E79"/>
          </w:tcPr>
          <w:p>
            <w:pPr>
              <w:spacing w:before="0" w:after="20" w:line="240" w:lineRule="auto"/>
            </w:pPr>
            <w:r/>
            <w:r>
              <w:rPr>
                <w:rFonts w:ascii="Calibri" w:hAnsi="Calibri"/>
                <w:b/>
                <w:color w:val="FFFFFF"/>
                <w:sz w:val="14"/>
              </w:rPr>
              <w:t>Display requirement</w:t>
            </w:r>
          </w:p>
        </w:tc>
        <w:tc>
          <w:tcPr>
            <w:tcW w:type="dxa" w:w="2376"/>
            <w:vAlign w:val="top"/>
            <w:shd w:fill="1F4E79"/>
          </w:tcPr>
          <w:p>
            <w:pPr>
              <w:spacing w:before="0" w:after="20" w:line="240" w:lineRule="auto"/>
            </w:pPr>
            <w:r/>
            <w:r>
              <w:rPr>
                <w:rFonts w:ascii="Calibri" w:hAnsi="Calibri"/>
                <w:b/>
                <w:color w:val="FFFFFF"/>
                <w:sz w:val="14"/>
              </w:rPr>
              <w:t>QC requirement</w:t>
            </w:r>
          </w:p>
        </w:tc>
      </w:tr>
      <w:tr>
        <w:tc>
          <w:tcPr>
            <w:tcW w:type="dxa" w:w="1656"/>
            <w:vAlign w:val="top"/>
          </w:tcPr>
          <w:p>
            <w:pPr>
              <w:spacing w:before="0" w:after="20" w:line="240" w:lineRule="auto"/>
            </w:pPr>
            <w:r/>
            <w:r>
              <w:rPr>
                <w:rFonts w:ascii="Calibri" w:hAnsi="Calibri"/>
                <w:b w:val="0"/>
                <w:color w:val="1F1F1F"/>
                <w:sz w:val="14"/>
              </w:rPr>
              <w:t>Time-to-event</w:t>
            </w:r>
          </w:p>
        </w:tc>
        <w:tc>
          <w:tcPr>
            <w:tcW w:type="dxa" w:w="2664"/>
            <w:vAlign w:val="top"/>
          </w:tcPr>
          <w:p>
            <w:pPr>
              <w:spacing w:before="0" w:after="20" w:line="240" w:lineRule="auto"/>
            </w:pPr>
            <w:r/>
            <w:r>
              <w:rPr>
                <w:rFonts w:ascii="Calibri" w:hAnsi="Calibri"/>
                <w:b w:val="0"/>
                <w:color w:val="1F1F1F"/>
                <w:sz w:val="14"/>
              </w:rPr>
              <w:t>Kaplan-Meier, stratified log-rank, stratified Cox PH where applicable.</w:t>
            </w:r>
          </w:p>
        </w:tc>
        <w:tc>
          <w:tcPr>
            <w:tcW w:type="dxa" w:w="2664"/>
            <w:vAlign w:val="top"/>
          </w:tcPr>
          <w:p>
            <w:pPr>
              <w:spacing w:before="0" w:after="20" w:line="240" w:lineRule="auto"/>
            </w:pPr>
            <w:r/>
            <w:r>
              <w:rPr>
                <w:rFonts w:ascii="Calibri" w:hAnsi="Calibri"/>
                <w:b w:val="0"/>
                <w:color w:val="1F1F1F"/>
                <w:sz w:val="14"/>
              </w:rPr>
              <w:t>Median, 95% CI, events/N, censoring count, HR, CI, p-value and at-risk table for figures.</w:t>
            </w:r>
          </w:p>
        </w:tc>
        <w:tc>
          <w:tcPr>
            <w:tcW w:type="dxa" w:w="2376"/>
            <w:vAlign w:val="top"/>
          </w:tcPr>
          <w:p>
            <w:pPr>
              <w:spacing w:before="0" w:after="20" w:line="240" w:lineRule="auto"/>
            </w:pPr>
            <w:r/>
            <w:r>
              <w:rPr>
                <w:rFonts w:ascii="Calibri" w:hAnsi="Calibri"/>
                <w:b w:val="0"/>
                <w:color w:val="1F1F1F"/>
                <w:sz w:val="14"/>
              </w:rPr>
              <w:t>Independent reproduction of event/censor counts, median, HR and p-value.</w:t>
            </w:r>
          </w:p>
        </w:tc>
      </w:tr>
      <w:tr>
        <w:tc>
          <w:tcPr>
            <w:tcW w:type="dxa" w:w="1656"/>
            <w:vAlign w:val="top"/>
          </w:tcPr>
          <w:p>
            <w:pPr>
              <w:spacing w:before="0" w:after="20" w:line="240" w:lineRule="auto"/>
            </w:pPr>
            <w:r/>
            <w:r>
              <w:rPr>
                <w:rFonts w:ascii="Calibri" w:hAnsi="Calibri"/>
                <w:b w:val="0"/>
                <w:color w:val="1F1F1F"/>
                <w:sz w:val="14"/>
              </w:rPr>
              <w:t>Binary response</w:t>
            </w:r>
          </w:p>
        </w:tc>
        <w:tc>
          <w:tcPr>
            <w:tcW w:type="dxa" w:w="2664"/>
            <w:vAlign w:val="top"/>
          </w:tcPr>
          <w:p>
            <w:pPr>
              <w:spacing w:before="0" w:after="20" w:line="240" w:lineRule="auto"/>
            </w:pPr>
            <w:r/>
            <w:r>
              <w:rPr>
                <w:rFonts w:ascii="Calibri" w:hAnsi="Calibri"/>
                <w:b w:val="0"/>
                <w:color w:val="1F1F1F"/>
                <w:sz w:val="14"/>
              </w:rPr>
              <w:t>Exact/binomial CI and Fisher or CMH test if stratified comparison is justified.</w:t>
            </w:r>
          </w:p>
        </w:tc>
        <w:tc>
          <w:tcPr>
            <w:tcW w:type="dxa" w:w="2664"/>
            <w:vAlign w:val="top"/>
          </w:tcPr>
          <w:p>
            <w:pPr>
              <w:spacing w:before="0" w:after="20" w:line="240" w:lineRule="auto"/>
            </w:pPr>
            <w:r/>
            <w:r>
              <w:rPr>
                <w:rFonts w:ascii="Calibri" w:hAnsi="Calibri"/>
                <w:b w:val="0"/>
                <w:color w:val="1F1F1F"/>
                <w:sz w:val="14"/>
              </w:rPr>
              <w:t>n/N, percent, 95% CI, difference/ratio if shell-approved.</w:t>
            </w:r>
          </w:p>
        </w:tc>
        <w:tc>
          <w:tcPr>
            <w:tcW w:type="dxa" w:w="2376"/>
            <w:vAlign w:val="top"/>
          </w:tcPr>
          <w:p>
            <w:pPr>
              <w:spacing w:before="0" w:after="20" w:line="240" w:lineRule="auto"/>
            </w:pPr>
            <w:r/>
            <w:r>
              <w:rPr>
                <w:rFonts w:ascii="Calibri" w:hAnsi="Calibri"/>
                <w:b w:val="0"/>
                <w:color w:val="1F1F1F"/>
                <w:sz w:val="14"/>
              </w:rPr>
              <w:t>Population denominator and confirmation records independently verified.</w:t>
            </w:r>
          </w:p>
        </w:tc>
      </w:tr>
      <w:tr>
        <w:tc>
          <w:tcPr>
            <w:tcW w:type="dxa" w:w="1656"/>
            <w:vAlign w:val="top"/>
          </w:tcPr>
          <w:p>
            <w:pPr>
              <w:spacing w:before="0" w:after="20" w:line="240" w:lineRule="auto"/>
            </w:pPr>
            <w:r/>
            <w:r>
              <w:rPr>
                <w:rFonts w:ascii="Calibri" w:hAnsi="Calibri"/>
                <w:b w:val="0"/>
                <w:color w:val="1F1F1F"/>
                <w:sz w:val="14"/>
              </w:rPr>
              <w:t>Continuous/lab</w:t>
            </w:r>
          </w:p>
        </w:tc>
        <w:tc>
          <w:tcPr>
            <w:tcW w:type="dxa" w:w="2664"/>
            <w:vAlign w:val="top"/>
          </w:tcPr>
          <w:p>
            <w:pPr>
              <w:spacing w:before="0" w:after="20" w:line="240" w:lineRule="auto"/>
            </w:pPr>
            <w:r/>
            <w:r>
              <w:rPr>
                <w:rFonts w:ascii="Calibri" w:hAnsi="Calibri"/>
                <w:b w:val="0"/>
                <w:color w:val="1F1F1F"/>
                <w:sz w:val="14"/>
              </w:rPr>
              <w:t>Descriptive statistics and shift tables; no inferential testing unless prespecified.</w:t>
            </w:r>
          </w:p>
        </w:tc>
        <w:tc>
          <w:tcPr>
            <w:tcW w:type="dxa" w:w="2664"/>
            <w:vAlign w:val="top"/>
          </w:tcPr>
          <w:p>
            <w:pPr>
              <w:spacing w:before="0" w:after="20" w:line="240" w:lineRule="auto"/>
            </w:pPr>
            <w:r/>
            <w:r>
              <w:rPr>
                <w:rFonts w:ascii="Calibri" w:hAnsi="Calibri"/>
                <w:b w:val="0"/>
                <w:color w:val="1F1F1F"/>
                <w:sz w:val="14"/>
              </w:rPr>
              <w:t>N, mean, SD, median, Q1, Q3, min, max; baseline/worst shifts.</w:t>
            </w:r>
          </w:p>
        </w:tc>
        <w:tc>
          <w:tcPr>
            <w:tcW w:type="dxa" w:w="2376"/>
            <w:vAlign w:val="top"/>
          </w:tcPr>
          <w:p>
            <w:pPr>
              <w:spacing w:before="0" w:after="20" w:line="240" w:lineRule="auto"/>
            </w:pPr>
            <w:r/>
            <w:r>
              <w:rPr>
                <w:rFonts w:ascii="Calibri" w:hAnsi="Calibri"/>
                <w:b w:val="0"/>
                <w:color w:val="1F1F1F"/>
                <w:sz w:val="14"/>
              </w:rPr>
              <w:t>Source units, grade derivation and selected analysis record independently verified.</w:t>
            </w:r>
          </w:p>
        </w:tc>
      </w:tr>
      <w:tr>
        <w:tc>
          <w:tcPr>
            <w:tcW w:type="dxa" w:w="1656"/>
            <w:vAlign w:val="top"/>
          </w:tcPr>
          <w:p>
            <w:pPr>
              <w:spacing w:before="0" w:after="20" w:line="240" w:lineRule="auto"/>
            </w:pPr>
            <w:r/>
            <w:r>
              <w:rPr>
                <w:rFonts w:ascii="Calibri" w:hAnsi="Calibri"/>
                <w:b w:val="0"/>
                <w:color w:val="1F1F1F"/>
                <w:sz w:val="14"/>
              </w:rPr>
              <w:t>Safety incidence</w:t>
            </w:r>
          </w:p>
        </w:tc>
        <w:tc>
          <w:tcPr>
            <w:tcW w:type="dxa" w:w="2664"/>
            <w:vAlign w:val="top"/>
          </w:tcPr>
          <w:p>
            <w:pPr>
              <w:spacing w:before="0" w:after="20" w:line="240" w:lineRule="auto"/>
            </w:pPr>
            <w:r/>
            <w:r>
              <w:rPr>
                <w:rFonts w:ascii="Calibri" w:hAnsi="Calibri"/>
                <w:b w:val="0"/>
                <w:color w:val="1F1F1F"/>
                <w:sz w:val="14"/>
              </w:rPr>
              <w:t>Subject-level incidence by treatment, SOC/PT and grade/seriousness/action.</w:t>
            </w:r>
          </w:p>
        </w:tc>
        <w:tc>
          <w:tcPr>
            <w:tcW w:type="dxa" w:w="2664"/>
            <w:vAlign w:val="top"/>
          </w:tcPr>
          <w:p>
            <w:pPr>
              <w:spacing w:before="0" w:after="20" w:line="240" w:lineRule="auto"/>
            </w:pPr>
            <w:r/>
            <w:r>
              <w:rPr>
                <w:rFonts w:ascii="Calibri" w:hAnsi="Calibri"/>
                <w:b w:val="0"/>
                <w:color w:val="1F1F1F"/>
                <w:sz w:val="14"/>
              </w:rPr>
              <w:t>n, %, denominator footnote, coding dictionary and grade version.</w:t>
            </w:r>
          </w:p>
        </w:tc>
        <w:tc>
          <w:tcPr>
            <w:tcW w:type="dxa" w:w="2376"/>
            <w:vAlign w:val="top"/>
          </w:tcPr>
          <w:p>
            <w:pPr>
              <w:spacing w:before="0" w:after="20" w:line="240" w:lineRule="auto"/>
            </w:pPr>
            <w:r/>
            <w:r>
              <w:rPr>
                <w:rFonts w:ascii="Calibri" w:hAnsi="Calibri"/>
                <w:b w:val="0"/>
                <w:color w:val="1F1F1F"/>
                <w:sz w:val="14"/>
              </w:rPr>
              <w:t>Worst-grade and one-subject-once-per-category logic independently verified.</w:t>
            </w:r>
          </w:p>
        </w:tc>
      </w:tr>
      <w:tr>
        <w:tc>
          <w:tcPr>
            <w:tcW w:type="dxa" w:w="1656"/>
            <w:vAlign w:val="top"/>
          </w:tcPr>
          <w:p>
            <w:pPr>
              <w:spacing w:before="0" w:after="20" w:line="240" w:lineRule="auto"/>
            </w:pPr>
            <w:r/>
            <w:r>
              <w:rPr>
                <w:rFonts w:ascii="Calibri" w:hAnsi="Calibri"/>
                <w:b w:val="0"/>
                <w:color w:val="1F1F1F"/>
                <w:sz w:val="14"/>
              </w:rPr>
              <w:t>Exploratory exposure-response</w:t>
            </w:r>
          </w:p>
        </w:tc>
        <w:tc>
          <w:tcPr>
            <w:tcW w:type="dxa" w:w="2664"/>
            <w:vAlign w:val="top"/>
          </w:tcPr>
          <w:p>
            <w:pPr>
              <w:spacing w:before="0" w:after="20" w:line="240" w:lineRule="auto"/>
            </w:pPr>
            <w:r/>
            <w:r>
              <w:rPr>
                <w:rFonts w:ascii="Calibri" w:hAnsi="Calibri"/>
                <w:b w:val="0"/>
                <w:color w:val="1F1F1F"/>
                <w:sz w:val="14"/>
              </w:rPr>
              <w:t>Descriptive regression/plots with clearly labeled non-confirmatory status.</w:t>
            </w:r>
          </w:p>
        </w:tc>
        <w:tc>
          <w:tcPr>
            <w:tcW w:type="dxa" w:w="2664"/>
            <w:vAlign w:val="top"/>
          </w:tcPr>
          <w:p>
            <w:pPr>
              <w:spacing w:before="0" w:after="20" w:line="240" w:lineRule="auto"/>
            </w:pPr>
            <w:r/>
            <w:r>
              <w:rPr>
                <w:rFonts w:ascii="Calibri" w:hAnsi="Calibri"/>
                <w:b w:val="0"/>
                <w:color w:val="1F1F1F"/>
                <w:sz w:val="14"/>
              </w:rPr>
              <w:t>Effect estimates only if model assumptions and synthetic status are disclosed.</w:t>
            </w:r>
          </w:p>
        </w:tc>
        <w:tc>
          <w:tcPr>
            <w:tcW w:type="dxa" w:w="2376"/>
            <w:vAlign w:val="top"/>
          </w:tcPr>
          <w:p>
            <w:pPr>
              <w:spacing w:before="0" w:after="20" w:line="240" w:lineRule="auto"/>
            </w:pPr>
            <w:r/>
            <w:r>
              <w:rPr>
                <w:rFonts w:ascii="Calibri" w:hAnsi="Calibri"/>
                <w:b w:val="0"/>
                <w:color w:val="1F1F1F"/>
                <w:sz w:val="14"/>
              </w:rPr>
              <w:t>Seed, derivation, model code and synthetic flags independently checked.</w:t>
            </w:r>
          </w:p>
        </w:tc>
      </w:tr>
    </w:tbl>
    <w:p/>
    <w:p>
      <w:pPr>
        <w:pStyle w:val="Heading1"/>
      </w:pPr>
      <w:r>
        <w:t>7. Estimand framework</w:t>
      </w:r>
    </w:p>
    <w:p>
      <w:pPr>
        <w:spacing w:after="80"/>
      </w:pPr>
      <w:r>
        <w:t>The estimands below follow ICH E9(R1): treatment condition, population, endpoint variable, intercurrent-event handling, population-level summary and estimator are specified before analysis. Because the current repo lacks complete real CbzP IPD, confirmatory interpretation is blocked even where estimand structure is complete.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vAlign w:val="top"/>
            <w:shd w:fill="1F4E79"/>
          </w:tcPr>
          <w:p>
            <w:pPr>
              <w:spacing w:before="0" w:after="20" w:line="240" w:lineRule="auto"/>
            </w:pPr>
            <w:r/>
            <w:r>
              <w:rPr>
                <w:rFonts w:ascii="Calibri" w:hAnsi="Calibri"/>
                <w:b/>
                <w:color w:val="FFFFFF"/>
                <w:sz w:val="14"/>
              </w:rPr>
              <w:t>Endpoint</w:t>
            </w:r>
          </w:p>
        </w:tc>
        <w:tc>
          <w:tcPr>
            <w:tcW w:type="dxa" w:w="1296"/>
            <w:vAlign w:val="top"/>
            <w:shd w:fill="1F4E79"/>
          </w:tcPr>
          <w:p>
            <w:pPr>
              <w:spacing w:before="0" w:after="20" w:line="240" w:lineRule="auto"/>
            </w:pPr>
            <w:r/>
            <w:r>
              <w:rPr>
                <w:rFonts w:ascii="Calibri" w:hAnsi="Calibri"/>
                <w:b/>
                <w:color w:val="FFFFFF"/>
                <w:sz w:val="14"/>
              </w:rPr>
              <w:t>Population</w:t>
            </w:r>
          </w:p>
        </w:tc>
        <w:tc>
          <w:tcPr>
            <w:tcW w:type="dxa" w:w="2088"/>
            <w:vAlign w:val="top"/>
            <w:shd w:fill="1F4E79"/>
          </w:tcPr>
          <w:p>
            <w:pPr>
              <w:spacing w:before="0" w:after="20" w:line="240" w:lineRule="auto"/>
            </w:pPr>
            <w:r/>
            <w:r>
              <w:rPr>
                <w:rFonts w:ascii="Calibri" w:hAnsi="Calibri"/>
                <w:b/>
                <w:color w:val="FFFFFF"/>
                <w:sz w:val="14"/>
              </w:rPr>
              <w:t>Variable</w:t>
            </w:r>
          </w:p>
        </w:tc>
        <w:tc>
          <w:tcPr>
            <w:tcW w:type="dxa" w:w="2232"/>
            <w:vAlign w:val="top"/>
            <w:shd w:fill="1F4E79"/>
          </w:tcPr>
          <w:p>
            <w:pPr>
              <w:spacing w:before="0" w:after="20" w:line="240" w:lineRule="auto"/>
            </w:pPr>
            <w:r/>
            <w:r>
              <w:rPr>
                <w:rFonts w:ascii="Calibri" w:hAnsi="Calibri"/>
                <w:b/>
                <w:color w:val="FFFFFF"/>
                <w:sz w:val="14"/>
              </w:rPr>
              <w:t>Intercurrent-event strategy</w:t>
            </w:r>
          </w:p>
        </w:tc>
        <w:tc>
          <w:tcPr>
            <w:tcW w:type="dxa" w:w="1512"/>
            <w:vAlign w:val="top"/>
            <w:shd w:fill="1F4E79"/>
          </w:tcPr>
          <w:p>
            <w:pPr>
              <w:spacing w:before="0" w:after="20" w:line="240" w:lineRule="auto"/>
            </w:pPr>
            <w:r/>
            <w:r>
              <w:rPr>
                <w:rFonts w:ascii="Calibri" w:hAnsi="Calibri"/>
                <w:b/>
                <w:color w:val="FFFFFF"/>
                <w:sz w:val="14"/>
              </w:rPr>
              <w:t>Summary / estimator</w:t>
            </w:r>
          </w:p>
        </w:tc>
        <w:tc>
          <w:tcPr>
            <w:tcW w:type="dxa" w:w="1800"/>
            <w:vAlign w:val="top"/>
            <w:shd w:fill="1F4E79"/>
          </w:tcPr>
          <w:p>
            <w:pPr>
              <w:spacing w:before="0" w:after="20" w:line="240" w:lineRule="auto"/>
            </w:pPr>
            <w:r/>
            <w:r>
              <w:rPr>
                <w:rFonts w:ascii="Calibri" w:hAnsi="Calibri"/>
                <w:b/>
                <w:color w:val="FFFFFF"/>
                <w:sz w:val="14"/>
              </w:rPr>
              <w:t>Current evidentiary status</w:t>
            </w:r>
          </w:p>
        </w:tc>
      </w:tr>
      <w:tr>
        <w:tc>
          <w:tcPr>
            <w:tcW w:type="dxa" w:w="1152"/>
            <w:vAlign w:val="top"/>
          </w:tcPr>
          <w:p>
            <w:pPr>
              <w:spacing w:before="0" w:after="20" w:line="240" w:lineRule="auto"/>
            </w:pPr>
            <w:r/>
            <w:r>
              <w:rPr>
                <w:rFonts w:ascii="Calibri" w:hAnsi="Calibri"/>
                <w:b w:val="0"/>
                <w:color w:val="1F1F1F"/>
                <w:sz w:val="14"/>
              </w:rPr>
              <w:t>OS</w:t>
            </w:r>
          </w:p>
        </w:tc>
        <w:tc>
          <w:tcPr>
            <w:tcW w:type="dxa" w:w="1296"/>
            <w:vAlign w:val="top"/>
          </w:tcPr>
          <w:p>
            <w:pPr>
              <w:spacing w:before="0" w:after="20" w:line="240" w:lineRule="auto"/>
            </w:pPr>
            <w:r/>
            <w:r>
              <w:rPr>
                <w:rFonts w:ascii="Calibri" w:hAnsi="Calibri"/>
                <w:b w:val="0"/>
                <w:color w:val="1F1F1F"/>
                <w:sz w:val="14"/>
              </w:rPr>
              <w:t>ITT</w:t>
            </w:r>
          </w:p>
        </w:tc>
        <w:tc>
          <w:tcPr>
            <w:tcW w:type="dxa" w:w="2088"/>
            <w:vAlign w:val="top"/>
          </w:tcPr>
          <w:p>
            <w:pPr>
              <w:spacing w:before="0" w:after="20" w:line="240" w:lineRule="auto"/>
            </w:pPr>
            <w:r/>
            <w:r>
              <w:rPr>
                <w:rFonts w:ascii="Calibri" w:hAnsi="Calibri"/>
                <w:b w:val="0"/>
                <w:color w:val="1F1F1F"/>
                <w:sz w:val="14"/>
              </w:rPr>
              <w:t>Time from randomization to death from any cause.</w:t>
            </w:r>
          </w:p>
        </w:tc>
        <w:tc>
          <w:tcPr>
            <w:tcW w:type="dxa" w:w="2232"/>
            <w:vAlign w:val="top"/>
          </w:tcPr>
          <w:p>
            <w:pPr>
              <w:spacing w:before="0" w:after="20" w:line="240" w:lineRule="auto"/>
            </w:pPr>
            <w:r/>
            <w:r>
              <w:rPr>
                <w:rFonts w:ascii="Calibri" w:hAnsi="Calibri"/>
                <w:b w:val="0"/>
                <w:color w:val="1F1F1F"/>
                <w:sz w:val="14"/>
              </w:rPr>
              <w:t>Treatment-policy for discontinuation/subsequent therapy; censor alive subjects at earliest last-known-alive or cut-off.</w:t>
            </w:r>
          </w:p>
        </w:tc>
        <w:tc>
          <w:tcPr>
            <w:tcW w:type="dxa" w:w="1512"/>
            <w:vAlign w:val="top"/>
          </w:tcPr>
          <w:p>
            <w:pPr>
              <w:spacing w:before="0" w:after="20" w:line="240" w:lineRule="auto"/>
            </w:pPr>
            <w:r/>
            <w:r>
              <w:rPr>
                <w:rFonts w:ascii="Calibri" w:hAnsi="Calibri"/>
                <w:b w:val="0"/>
                <w:color w:val="1F1F1F"/>
                <w:sz w:val="14"/>
              </w:rPr>
              <w:t>KM medians; stratified log-rank; stratified Cox HR.</w:t>
            </w:r>
          </w:p>
        </w:tc>
        <w:tc>
          <w:tcPr>
            <w:tcW w:type="dxa" w:w="1800"/>
            <w:vAlign w:val="top"/>
          </w:tcPr>
          <w:p>
            <w:pPr>
              <w:spacing w:before="0" w:after="20" w:line="240" w:lineRule="auto"/>
            </w:pPr>
            <w:r/>
            <w:r>
              <w:rPr>
                <w:rFonts w:ascii="Calibri" w:hAnsi="Calibri"/>
                <w:b w:val="0"/>
                <w:color w:val="1F1F1F"/>
                <w:sz w:val="14"/>
              </w:rPr>
              <w:t>Protocol-confirmed target; current two-arm repo result non-confirmatory due synthetic CbzP.</w:t>
            </w:r>
          </w:p>
        </w:tc>
      </w:tr>
      <w:tr>
        <w:tc>
          <w:tcPr>
            <w:tcW w:type="dxa" w:w="1152"/>
            <w:vAlign w:val="top"/>
          </w:tcPr>
          <w:p>
            <w:pPr>
              <w:spacing w:before="0" w:after="20" w:line="240" w:lineRule="auto"/>
            </w:pPr>
            <w:r/>
            <w:r>
              <w:rPr>
                <w:rFonts w:ascii="Calibri" w:hAnsi="Calibri"/>
                <w:b w:val="0"/>
                <w:color w:val="1F1F1F"/>
                <w:sz w:val="14"/>
              </w:rPr>
              <w:t>PFS</w:t>
            </w:r>
          </w:p>
        </w:tc>
        <w:tc>
          <w:tcPr>
            <w:tcW w:type="dxa" w:w="1296"/>
            <w:vAlign w:val="top"/>
          </w:tcPr>
          <w:p>
            <w:pPr>
              <w:spacing w:before="0" w:after="20" w:line="240" w:lineRule="auto"/>
            </w:pPr>
            <w:r/>
            <w:r>
              <w:rPr>
                <w:rFonts w:ascii="Calibri" w:hAnsi="Calibri"/>
                <w:b w:val="0"/>
                <w:color w:val="1F1F1F"/>
                <w:sz w:val="14"/>
              </w:rPr>
              <w:t>ITT</w:t>
            </w:r>
          </w:p>
        </w:tc>
        <w:tc>
          <w:tcPr>
            <w:tcW w:type="dxa" w:w="2088"/>
            <w:vAlign w:val="top"/>
          </w:tcPr>
          <w:p>
            <w:pPr>
              <w:spacing w:before="0" w:after="20" w:line="240" w:lineRule="auto"/>
            </w:pPr>
            <w:r/>
            <w:r>
              <w:rPr>
                <w:rFonts w:ascii="Calibri" w:hAnsi="Calibri"/>
                <w:b w:val="0"/>
                <w:color w:val="1F1F1F"/>
                <w:sz w:val="14"/>
              </w:rPr>
              <w:t>Time to first valid PSA, tumour, pain progression with disease evidence, or death.</w:t>
            </w:r>
          </w:p>
        </w:tc>
        <w:tc>
          <w:tcPr>
            <w:tcW w:type="dxa" w:w="2232"/>
            <w:vAlign w:val="top"/>
          </w:tcPr>
          <w:p>
            <w:pPr>
              <w:spacing w:before="0" w:after="20" w:line="240" w:lineRule="auto"/>
            </w:pPr>
            <w:r/>
            <w:r>
              <w:rPr>
                <w:rFonts w:ascii="Calibri" w:hAnsi="Calibri"/>
                <w:b w:val="0"/>
                <w:color w:val="1F1F1F"/>
                <w:sz w:val="14"/>
              </w:rPr>
              <w:t>New anti-cancer therapy before progression censors at NACTDT-1; no post-baseline assessment censors at randomization.</w:t>
            </w:r>
          </w:p>
        </w:tc>
        <w:tc>
          <w:tcPr>
            <w:tcW w:type="dxa" w:w="1512"/>
            <w:vAlign w:val="top"/>
          </w:tcPr>
          <w:p>
            <w:pPr>
              <w:spacing w:before="0" w:after="20" w:line="240" w:lineRule="auto"/>
            </w:pPr>
            <w:r/>
            <w:r>
              <w:rPr>
                <w:rFonts w:ascii="Calibri" w:hAnsi="Calibri"/>
                <w:b w:val="0"/>
                <w:color w:val="1F1F1F"/>
                <w:sz w:val="14"/>
              </w:rPr>
              <w:t>KM medians; stratified log-rank; stratified Cox HR.</w:t>
            </w:r>
          </w:p>
        </w:tc>
        <w:tc>
          <w:tcPr>
            <w:tcW w:type="dxa" w:w="1800"/>
            <w:vAlign w:val="top"/>
          </w:tcPr>
          <w:p>
            <w:pPr>
              <w:spacing w:before="0" w:after="20" w:line="240" w:lineRule="auto"/>
            </w:pPr>
            <w:r/>
            <w:r>
              <w:rPr>
                <w:rFonts w:ascii="Calibri" w:hAnsi="Calibri"/>
                <w:b w:val="0"/>
                <w:color w:val="1F1F1F"/>
                <w:sz w:val="14"/>
              </w:rPr>
              <w:t>Target estimand; component provenance must be repaired/validated.</w:t>
            </w:r>
          </w:p>
        </w:tc>
      </w:tr>
      <w:tr>
        <w:tc>
          <w:tcPr>
            <w:tcW w:type="dxa" w:w="1152"/>
            <w:vAlign w:val="top"/>
          </w:tcPr>
          <w:p>
            <w:pPr>
              <w:spacing w:before="0" w:after="20" w:line="240" w:lineRule="auto"/>
            </w:pPr>
            <w:r/>
            <w:r>
              <w:rPr>
                <w:rFonts w:ascii="Calibri" w:hAnsi="Calibri"/>
                <w:b w:val="0"/>
                <w:color w:val="1F1F1F"/>
                <w:sz w:val="14"/>
              </w:rPr>
              <w:t>PSA response</w:t>
            </w:r>
          </w:p>
        </w:tc>
        <w:tc>
          <w:tcPr>
            <w:tcW w:type="dxa" w:w="1296"/>
            <w:vAlign w:val="top"/>
          </w:tcPr>
          <w:p>
            <w:pPr>
              <w:spacing w:before="0" w:after="20" w:line="240" w:lineRule="auto"/>
            </w:pPr>
            <w:r/>
            <w:r>
              <w:rPr>
                <w:rFonts w:ascii="Calibri" w:hAnsi="Calibri"/>
                <w:b w:val="0"/>
                <w:color w:val="1F1F1F"/>
                <w:sz w:val="14"/>
              </w:rPr>
              <w:t>Baseline PSA &gt;=20 ug/L</w:t>
            </w:r>
          </w:p>
        </w:tc>
        <w:tc>
          <w:tcPr>
            <w:tcW w:type="dxa" w:w="2088"/>
            <w:vAlign w:val="top"/>
          </w:tcPr>
          <w:p>
            <w:pPr>
              <w:spacing w:before="0" w:after="20" w:line="240" w:lineRule="auto"/>
            </w:pPr>
            <w:r/>
            <w:r>
              <w:rPr>
                <w:rFonts w:ascii="Calibri" w:hAnsi="Calibri"/>
                <w:b w:val="0"/>
                <w:color w:val="1F1F1F"/>
                <w:sz w:val="14"/>
              </w:rPr>
              <w:t>Confirmed &gt;=50% PSA decline from baseline with repeat &gt;=3 weeks.</w:t>
            </w:r>
          </w:p>
        </w:tc>
        <w:tc>
          <w:tcPr>
            <w:tcW w:type="dxa" w:w="2232"/>
            <w:vAlign w:val="top"/>
          </w:tcPr>
          <w:p>
            <w:pPr>
              <w:spacing w:before="0" w:after="20" w:line="240" w:lineRule="auto"/>
            </w:pPr>
            <w:r/>
            <w:r>
              <w:rPr>
                <w:rFonts w:ascii="Calibri" w:hAnsi="Calibri"/>
                <w:b w:val="0"/>
                <w:color w:val="1F1F1F"/>
                <w:sz w:val="14"/>
              </w:rPr>
              <w:t>Missing confirmation means non-response unless death/progression handling is shell-specified.</w:t>
            </w:r>
          </w:p>
        </w:tc>
        <w:tc>
          <w:tcPr>
            <w:tcW w:type="dxa" w:w="1512"/>
            <w:vAlign w:val="top"/>
          </w:tcPr>
          <w:p>
            <w:pPr>
              <w:spacing w:before="0" w:after="20" w:line="240" w:lineRule="auto"/>
            </w:pPr>
            <w:r/>
            <w:r>
              <w:rPr>
                <w:rFonts w:ascii="Calibri" w:hAnsi="Calibri"/>
                <w:b w:val="0"/>
                <w:color w:val="1F1F1F"/>
                <w:sz w:val="14"/>
              </w:rPr>
              <w:t>Response rate with exact CI; Fisher or CMH support.</w:t>
            </w:r>
          </w:p>
        </w:tc>
        <w:tc>
          <w:tcPr>
            <w:tcW w:type="dxa" w:w="1800"/>
            <w:vAlign w:val="top"/>
          </w:tcPr>
          <w:p>
            <w:pPr>
              <w:spacing w:before="0" w:after="20" w:line="240" w:lineRule="auto"/>
            </w:pPr>
            <w:r/>
            <w:r>
              <w:rPr>
                <w:rFonts w:ascii="Calibri" w:hAnsi="Calibri"/>
                <w:b w:val="0"/>
                <w:color w:val="1F1F1F"/>
                <w:sz w:val="14"/>
              </w:rPr>
              <w:t>Current programming must correct eligible denominator.</w:t>
            </w:r>
          </w:p>
        </w:tc>
      </w:tr>
      <w:tr>
        <w:tc>
          <w:tcPr>
            <w:tcW w:type="dxa" w:w="1152"/>
            <w:vAlign w:val="top"/>
          </w:tcPr>
          <w:p>
            <w:pPr>
              <w:spacing w:before="0" w:after="20" w:line="240" w:lineRule="auto"/>
            </w:pPr>
            <w:r/>
            <w:r>
              <w:rPr>
                <w:rFonts w:ascii="Calibri" w:hAnsi="Calibri"/>
                <w:b w:val="0"/>
                <w:color w:val="1F1F1F"/>
                <w:sz w:val="14"/>
              </w:rPr>
              <w:t>ORR</w:t>
            </w:r>
          </w:p>
        </w:tc>
        <w:tc>
          <w:tcPr>
            <w:tcW w:type="dxa" w:w="1296"/>
            <w:vAlign w:val="top"/>
          </w:tcPr>
          <w:p>
            <w:pPr>
              <w:spacing w:before="0" w:after="20" w:line="240" w:lineRule="auto"/>
            </w:pPr>
            <w:r/>
            <w:r>
              <w:rPr>
                <w:rFonts w:ascii="Calibri" w:hAnsi="Calibri"/>
                <w:b w:val="0"/>
                <w:color w:val="1F1F1F"/>
                <w:sz w:val="14"/>
              </w:rPr>
              <w:t>Measurable disease</w:t>
            </w:r>
          </w:p>
        </w:tc>
        <w:tc>
          <w:tcPr>
            <w:tcW w:type="dxa" w:w="2088"/>
            <w:vAlign w:val="top"/>
          </w:tcPr>
          <w:p>
            <w:pPr>
              <w:spacing w:before="0" w:after="20" w:line="240" w:lineRule="auto"/>
            </w:pPr>
            <w:r/>
            <w:r>
              <w:rPr>
                <w:rFonts w:ascii="Calibri" w:hAnsi="Calibri"/>
                <w:b w:val="0"/>
                <w:color w:val="1F1F1F"/>
                <w:sz w:val="14"/>
              </w:rPr>
              <w:t>Confirmed CR/PR per RECIST v1.0.</w:t>
            </w:r>
          </w:p>
        </w:tc>
        <w:tc>
          <w:tcPr>
            <w:tcW w:type="dxa" w:w="2232"/>
            <w:vAlign w:val="top"/>
          </w:tcPr>
          <w:p>
            <w:pPr>
              <w:spacing w:before="0" w:after="20" w:line="240" w:lineRule="auto"/>
            </w:pPr>
            <w:r/>
            <w:r>
              <w:rPr>
                <w:rFonts w:ascii="Calibri" w:hAnsi="Calibri"/>
                <w:b w:val="0"/>
                <w:color w:val="1F1F1F"/>
                <w:sz w:val="14"/>
              </w:rPr>
              <w:t>Missing/NE response not responder; new lesion/progression as PD.</w:t>
            </w:r>
          </w:p>
        </w:tc>
        <w:tc>
          <w:tcPr>
            <w:tcW w:type="dxa" w:w="1512"/>
            <w:vAlign w:val="top"/>
          </w:tcPr>
          <w:p>
            <w:pPr>
              <w:spacing w:before="0" w:after="20" w:line="240" w:lineRule="auto"/>
            </w:pPr>
            <w:r/>
            <w:r>
              <w:rPr>
                <w:rFonts w:ascii="Calibri" w:hAnsi="Calibri"/>
                <w:b w:val="0"/>
                <w:color w:val="1F1F1F"/>
                <w:sz w:val="14"/>
              </w:rPr>
              <w:t>Response rate with exact CI; supportive duration if available.</w:t>
            </w:r>
          </w:p>
        </w:tc>
        <w:tc>
          <w:tcPr>
            <w:tcW w:type="dxa" w:w="1800"/>
            <w:vAlign w:val="top"/>
          </w:tcPr>
          <w:p>
            <w:pPr>
              <w:spacing w:before="0" w:after="20" w:line="240" w:lineRule="auto"/>
            </w:pPr>
            <w:r/>
            <w:r>
              <w:rPr>
                <w:rFonts w:ascii="Calibri" w:hAnsi="Calibri"/>
                <w:b w:val="0"/>
                <w:color w:val="1F1F1F"/>
                <w:sz w:val="14"/>
              </w:rPr>
              <w:t>RECIST v1.0 required; exploratory hybrids must be labeled.</w:t>
            </w:r>
          </w:p>
        </w:tc>
      </w:tr>
      <w:tr>
        <w:tc>
          <w:tcPr>
            <w:tcW w:type="dxa" w:w="1152"/>
            <w:vAlign w:val="top"/>
          </w:tcPr>
          <w:p>
            <w:pPr>
              <w:spacing w:before="0" w:after="20" w:line="240" w:lineRule="auto"/>
            </w:pPr>
            <w:r/>
            <w:r>
              <w:rPr>
                <w:rFonts w:ascii="Calibri" w:hAnsi="Calibri"/>
                <w:b w:val="0"/>
                <w:color w:val="1F1F1F"/>
                <w:sz w:val="14"/>
              </w:rPr>
              <w:t>Pain response</w:t>
            </w:r>
          </w:p>
        </w:tc>
        <w:tc>
          <w:tcPr>
            <w:tcW w:type="dxa" w:w="1296"/>
            <w:vAlign w:val="top"/>
          </w:tcPr>
          <w:p>
            <w:pPr>
              <w:spacing w:before="0" w:after="20" w:line="240" w:lineRule="auto"/>
            </w:pPr>
            <w:r/>
            <w:r>
              <w:rPr>
                <w:rFonts w:ascii="Calibri" w:hAnsi="Calibri"/>
                <w:b w:val="0"/>
                <w:color w:val="1F1F1F"/>
                <w:sz w:val="14"/>
              </w:rPr>
              <w:t>Pain response evaluable</w:t>
            </w:r>
          </w:p>
        </w:tc>
        <w:tc>
          <w:tcPr>
            <w:tcW w:type="dxa" w:w="2088"/>
            <w:vAlign w:val="top"/>
          </w:tcPr>
          <w:p>
            <w:pPr>
              <w:spacing w:before="0" w:after="20" w:line="240" w:lineRule="auto"/>
            </w:pPr>
            <w:r/>
            <w:r>
              <w:rPr>
                <w:rFonts w:ascii="Calibri" w:hAnsi="Calibri"/>
                <w:b w:val="0"/>
                <w:color w:val="1F1F1F"/>
                <w:sz w:val="14"/>
              </w:rPr>
              <w:t>PPI or analgesic-score improvement maintained &gt;=3 weeks.</w:t>
            </w:r>
          </w:p>
        </w:tc>
        <w:tc>
          <w:tcPr>
            <w:tcW w:type="dxa" w:w="2232"/>
            <w:vAlign w:val="top"/>
          </w:tcPr>
          <w:p>
            <w:pPr>
              <w:spacing w:before="0" w:after="20" w:line="240" w:lineRule="auto"/>
            </w:pPr>
            <w:r/>
            <w:r>
              <w:rPr>
                <w:rFonts w:ascii="Calibri" w:hAnsi="Calibri"/>
                <w:b w:val="0"/>
                <w:color w:val="1F1F1F"/>
                <w:sz w:val="14"/>
              </w:rPr>
              <w:t>Insufficient diary data yields not evaluable; missing confirmation means non-response.</w:t>
            </w:r>
          </w:p>
        </w:tc>
        <w:tc>
          <w:tcPr>
            <w:tcW w:type="dxa" w:w="1512"/>
            <w:vAlign w:val="top"/>
          </w:tcPr>
          <w:p>
            <w:pPr>
              <w:spacing w:before="0" w:after="20" w:line="240" w:lineRule="auto"/>
            </w:pPr>
            <w:r/>
            <w:r>
              <w:rPr>
                <w:rFonts w:ascii="Calibri" w:hAnsi="Calibri"/>
                <w:b w:val="0"/>
                <w:color w:val="1F1F1F"/>
                <w:sz w:val="14"/>
              </w:rPr>
              <w:t>Response rate and exact CI.</w:t>
            </w:r>
          </w:p>
        </w:tc>
        <w:tc>
          <w:tcPr>
            <w:tcW w:type="dxa" w:w="1800"/>
            <w:vAlign w:val="top"/>
          </w:tcPr>
          <w:p>
            <w:pPr>
              <w:spacing w:before="0" w:after="20" w:line="240" w:lineRule="auto"/>
            </w:pPr>
            <w:r/>
            <w:r>
              <w:rPr>
                <w:rFonts w:ascii="Calibri" w:hAnsi="Calibri"/>
                <w:b w:val="0"/>
                <w:color w:val="1F1F1F"/>
                <w:sz w:val="14"/>
              </w:rPr>
              <w:t>Requires 5-of-7 diary evaluability implementation.</w:t>
            </w:r>
          </w:p>
        </w:tc>
      </w:tr>
      <w:tr>
        <w:tc>
          <w:tcPr>
            <w:tcW w:type="dxa" w:w="1152"/>
            <w:vAlign w:val="top"/>
          </w:tcPr>
          <w:p>
            <w:pPr>
              <w:spacing w:before="0" w:after="20" w:line="240" w:lineRule="auto"/>
            </w:pPr>
            <w:r/>
            <w:r>
              <w:rPr>
                <w:rFonts w:ascii="Calibri" w:hAnsi="Calibri"/>
                <w:b w:val="0"/>
                <w:color w:val="1F1F1F"/>
                <w:sz w:val="14"/>
              </w:rPr>
              <w:t>Safety</w:t>
            </w:r>
          </w:p>
        </w:tc>
        <w:tc>
          <w:tcPr>
            <w:tcW w:type="dxa" w:w="1296"/>
            <w:vAlign w:val="top"/>
          </w:tcPr>
          <w:p>
            <w:pPr>
              <w:spacing w:before="0" w:after="20" w:line="240" w:lineRule="auto"/>
            </w:pPr>
            <w:r/>
            <w:r>
              <w:rPr>
                <w:rFonts w:ascii="Calibri" w:hAnsi="Calibri"/>
                <w:b w:val="0"/>
                <w:color w:val="1F1F1F"/>
                <w:sz w:val="14"/>
              </w:rPr>
              <w:t>Safety/all-treated</w:t>
            </w:r>
          </w:p>
        </w:tc>
        <w:tc>
          <w:tcPr>
            <w:tcW w:type="dxa" w:w="2088"/>
            <w:vAlign w:val="top"/>
          </w:tcPr>
          <w:p>
            <w:pPr>
              <w:spacing w:before="0" w:after="20" w:line="240" w:lineRule="auto"/>
            </w:pPr>
            <w:r/>
            <w:r>
              <w:rPr>
                <w:rFonts w:ascii="Calibri" w:hAnsi="Calibri"/>
                <w:b w:val="0"/>
                <w:color w:val="1F1F1F"/>
                <w:sz w:val="14"/>
              </w:rPr>
              <w:t>TEAEs, SAEs, grade &gt;=3 events, deaths, lab toxicities.</w:t>
            </w:r>
          </w:p>
        </w:tc>
        <w:tc>
          <w:tcPr>
            <w:tcW w:type="dxa" w:w="2232"/>
            <w:vAlign w:val="top"/>
          </w:tcPr>
          <w:p>
            <w:pPr>
              <w:spacing w:before="0" w:after="20" w:line="240" w:lineRule="auto"/>
            </w:pPr>
            <w:r/>
            <w:r>
              <w:rPr>
                <w:rFonts w:ascii="Calibri" w:hAnsi="Calibri"/>
                <w:b w:val="0"/>
                <w:color w:val="1F1F1F"/>
                <w:sz w:val="14"/>
              </w:rPr>
              <w:t>Treatment discontinuation is part of safety experience; events through defined window included.</w:t>
            </w:r>
          </w:p>
        </w:tc>
        <w:tc>
          <w:tcPr>
            <w:tcW w:type="dxa" w:w="1512"/>
            <w:vAlign w:val="top"/>
          </w:tcPr>
          <w:p>
            <w:pPr>
              <w:spacing w:before="0" w:after="20" w:line="240" w:lineRule="auto"/>
            </w:pPr>
            <w:r/>
            <w:r>
              <w:rPr>
                <w:rFonts w:ascii="Calibri" w:hAnsi="Calibri"/>
                <w:b w:val="0"/>
                <w:color w:val="1F1F1F"/>
                <w:sz w:val="14"/>
              </w:rPr>
              <w:t>Counts/percentages; exposure-adjusted summaries if specified.</w:t>
            </w:r>
          </w:p>
        </w:tc>
        <w:tc>
          <w:tcPr>
            <w:tcW w:type="dxa" w:w="1800"/>
            <w:vAlign w:val="top"/>
          </w:tcPr>
          <w:p>
            <w:pPr>
              <w:spacing w:before="0" w:after="20" w:line="240" w:lineRule="auto"/>
            </w:pPr>
            <w:r/>
            <w:r>
              <w:rPr>
                <w:rFonts w:ascii="Calibri" w:hAnsi="Calibri"/>
                <w:b w:val="0"/>
                <w:color w:val="1F1F1F"/>
                <w:sz w:val="14"/>
              </w:rPr>
              <w:t>Current lab shift and synthetic-comparator safety outputs require fixes/labeling.</w:t>
            </w:r>
          </w:p>
        </w:tc>
      </w:tr>
    </w:tbl>
    <w:p/>
    <w:p>
      <w:pPr>
        <w:pStyle w:val="Heading1"/>
      </w:pPr>
      <w:r>
        <w:t>8. Multiplicity and Type I error control</w:t>
      </w:r>
    </w:p>
    <w:p>
      <w:pPr>
        <w:spacing w:after="80"/>
      </w:pPr>
      <w:r>
        <w:t>For the original intended two-arm trial analysis, hierarchical testing is specified for the principal efficacy family. For the current repository implementation, p-values involving reconstructed CbzP are descriptive only and do not control Type I error for clinical claims.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top"/>
            <w:shd w:fill="1F4E79"/>
          </w:tcPr>
          <w:p>
            <w:pPr>
              <w:spacing w:before="0" w:after="20" w:line="240" w:lineRule="auto"/>
            </w:pPr>
            <w:r/>
            <w:r>
              <w:rPr>
                <w:rFonts w:ascii="Calibri" w:hAnsi="Calibri"/>
                <w:b/>
                <w:color w:val="FFFFFF"/>
                <w:sz w:val="16"/>
              </w:rPr>
              <w:t>Step</w:t>
            </w:r>
          </w:p>
        </w:tc>
        <w:tc>
          <w:tcPr>
            <w:tcW w:type="dxa" w:w="2304"/>
            <w:vAlign w:val="top"/>
            <w:shd w:fill="1F4E79"/>
          </w:tcPr>
          <w:p>
            <w:pPr>
              <w:spacing w:before="0" w:after="20" w:line="240" w:lineRule="auto"/>
            </w:pPr>
            <w:r/>
            <w:r>
              <w:rPr>
                <w:rFonts w:ascii="Calibri" w:hAnsi="Calibri"/>
                <w:b/>
                <w:color w:val="FFFFFF"/>
                <w:sz w:val="16"/>
              </w:rPr>
              <w:t>Endpoint</w:t>
            </w:r>
          </w:p>
        </w:tc>
        <w:tc>
          <w:tcPr>
            <w:tcW w:type="dxa" w:w="1872"/>
            <w:vAlign w:val="top"/>
            <w:shd w:fill="1F4E79"/>
          </w:tcPr>
          <w:p>
            <w:pPr>
              <w:spacing w:before="0" w:after="20" w:line="240" w:lineRule="auto"/>
            </w:pPr>
            <w:r/>
            <w:r>
              <w:rPr>
                <w:rFonts w:ascii="Calibri" w:hAnsi="Calibri"/>
                <w:b/>
                <w:color w:val="FFFFFF"/>
                <w:sz w:val="16"/>
              </w:rPr>
              <w:t>Population</w:t>
            </w:r>
          </w:p>
        </w:tc>
        <w:tc>
          <w:tcPr>
            <w:tcW w:type="dxa" w:w="4032"/>
            <w:vAlign w:val="top"/>
            <w:shd w:fill="1F4E79"/>
          </w:tcPr>
          <w:p>
            <w:pPr>
              <w:spacing w:before="0" w:after="20" w:line="240" w:lineRule="auto"/>
            </w:pPr>
            <w:r/>
            <w:r>
              <w:rPr>
                <w:rFonts w:ascii="Calibri" w:hAnsi="Calibri"/>
                <w:b/>
                <w:color w:val="FFFFFF"/>
                <w:sz w:val="16"/>
              </w:rPr>
              <w:t>Decision rule</w:t>
            </w:r>
          </w:p>
        </w:tc>
      </w:tr>
      <w:tr>
        <w:tc>
          <w:tcPr>
            <w:tcW w:type="dxa" w:w="1152"/>
            <w:vAlign w:val="top"/>
          </w:tcPr>
          <w:p>
            <w:pPr>
              <w:spacing w:before="0" w:after="20" w:line="240" w:lineRule="auto"/>
            </w:pPr>
            <w:r/>
            <w:r>
              <w:rPr>
                <w:rFonts w:ascii="Calibri" w:hAnsi="Calibri"/>
                <w:b w:val="0"/>
                <w:color w:val="1F1F1F"/>
                <w:sz w:val="16"/>
              </w:rPr>
              <w:t>1</w:t>
            </w:r>
          </w:p>
        </w:tc>
        <w:tc>
          <w:tcPr>
            <w:tcW w:type="dxa" w:w="2304"/>
            <w:vAlign w:val="top"/>
          </w:tcPr>
          <w:p>
            <w:pPr>
              <w:spacing w:before="0" w:after="20" w:line="240" w:lineRule="auto"/>
            </w:pPr>
            <w:r/>
            <w:r>
              <w:rPr>
                <w:rFonts w:ascii="Calibri" w:hAnsi="Calibri"/>
                <w:b w:val="0"/>
                <w:color w:val="1F1F1F"/>
                <w:sz w:val="16"/>
              </w:rPr>
              <w:t>Overall survival</w:t>
            </w:r>
          </w:p>
        </w:tc>
        <w:tc>
          <w:tcPr>
            <w:tcW w:type="dxa" w:w="1872"/>
            <w:vAlign w:val="top"/>
          </w:tcPr>
          <w:p>
            <w:pPr>
              <w:spacing w:before="0" w:after="20" w:line="240" w:lineRule="auto"/>
            </w:pPr>
            <w:r/>
            <w:r>
              <w:rPr>
                <w:rFonts w:ascii="Calibri" w:hAnsi="Calibri"/>
                <w:b w:val="0"/>
                <w:color w:val="1F1F1F"/>
                <w:sz w:val="16"/>
              </w:rPr>
              <w:t>ITT</w:t>
            </w:r>
          </w:p>
        </w:tc>
        <w:tc>
          <w:tcPr>
            <w:tcW w:type="dxa" w:w="4032"/>
            <w:vAlign w:val="top"/>
          </w:tcPr>
          <w:p>
            <w:pPr>
              <w:spacing w:before="0" w:after="20" w:line="240" w:lineRule="auto"/>
            </w:pPr>
            <w:r/>
            <w:r>
              <w:rPr>
                <w:rFonts w:ascii="Calibri" w:hAnsi="Calibri"/>
                <w:b w:val="0"/>
                <w:color w:val="1F1F1F"/>
                <w:sz w:val="16"/>
              </w:rPr>
              <w:t>Primary endpoint; proceed only if OS significant under approved alpha strategy.</w:t>
            </w:r>
          </w:p>
        </w:tc>
      </w:tr>
      <w:tr>
        <w:tc>
          <w:tcPr>
            <w:tcW w:type="dxa" w:w="1152"/>
            <w:vAlign w:val="top"/>
          </w:tcPr>
          <w:p>
            <w:pPr>
              <w:spacing w:before="0" w:after="20" w:line="240" w:lineRule="auto"/>
            </w:pPr>
            <w:r/>
            <w:r>
              <w:rPr>
                <w:rFonts w:ascii="Calibri" w:hAnsi="Calibri"/>
                <w:b w:val="0"/>
                <w:color w:val="1F1F1F"/>
                <w:sz w:val="16"/>
              </w:rPr>
              <w:t>2</w:t>
            </w:r>
          </w:p>
        </w:tc>
        <w:tc>
          <w:tcPr>
            <w:tcW w:type="dxa" w:w="2304"/>
            <w:vAlign w:val="top"/>
          </w:tcPr>
          <w:p>
            <w:pPr>
              <w:spacing w:before="0" w:after="20" w:line="240" w:lineRule="auto"/>
            </w:pPr>
            <w:r/>
            <w:r>
              <w:rPr>
                <w:rFonts w:ascii="Calibri" w:hAnsi="Calibri"/>
                <w:b w:val="0"/>
                <w:color w:val="1F1F1F"/>
                <w:sz w:val="16"/>
              </w:rPr>
              <w:t>Progression-free survival</w:t>
            </w:r>
          </w:p>
        </w:tc>
        <w:tc>
          <w:tcPr>
            <w:tcW w:type="dxa" w:w="1872"/>
            <w:vAlign w:val="top"/>
          </w:tcPr>
          <w:p>
            <w:pPr>
              <w:spacing w:before="0" w:after="20" w:line="240" w:lineRule="auto"/>
            </w:pPr>
            <w:r/>
            <w:r>
              <w:rPr>
                <w:rFonts w:ascii="Calibri" w:hAnsi="Calibri"/>
                <w:b w:val="0"/>
                <w:color w:val="1F1F1F"/>
                <w:sz w:val="16"/>
              </w:rPr>
              <w:t>ITT</w:t>
            </w:r>
          </w:p>
        </w:tc>
        <w:tc>
          <w:tcPr>
            <w:tcW w:type="dxa" w:w="4032"/>
            <w:vAlign w:val="top"/>
          </w:tcPr>
          <w:p>
            <w:pPr>
              <w:spacing w:before="0" w:after="20" w:line="240" w:lineRule="auto"/>
            </w:pPr>
            <w:r/>
            <w:r>
              <w:rPr>
                <w:rFonts w:ascii="Calibri" w:hAnsi="Calibri"/>
                <w:b w:val="0"/>
                <w:color w:val="1F1F1F"/>
                <w:sz w:val="16"/>
              </w:rPr>
              <w:t>Test only if Step 1 is met.</w:t>
            </w:r>
          </w:p>
        </w:tc>
      </w:tr>
      <w:tr>
        <w:tc>
          <w:tcPr>
            <w:tcW w:type="dxa" w:w="1152"/>
            <w:vAlign w:val="top"/>
          </w:tcPr>
          <w:p>
            <w:pPr>
              <w:spacing w:before="0" w:after="20" w:line="240" w:lineRule="auto"/>
            </w:pPr>
            <w:r/>
            <w:r>
              <w:rPr>
                <w:rFonts w:ascii="Calibri" w:hAnsi="Calibri"/>
                <w:b w:val="0"/>
                <w:color w:val="1F1F1F"/>
                <w:sz w:val="16"/>
              </w:rPr>
              <w:t>3</w:t>
            </w:r>
          </w:p>
        </w:tc>
        <w:tc>
          <w:tcPr>
            <w:tcW w:type="dxa" w:w="2304"/>
            <w:vAlign w:val="top"/>
          </w:tcPr>
          <w:p>
            <w:pPr>
              <w:spacing w:before="0" w:after="20" w:line="240" w:lineRule="auto"/>
            </w:pPr>
            <w:r/>
            <w:r>
              <w:rPr>
                <w:rFonts w:ascii="Calibri" w:hAnsi="Calibri"/>
                <w:b w:val="0"/>
                <w:color w:val="1F1F1F"/>
                <w:sz w:val="16"/>
              </w:rPr>
              <w:t>PSA response</w:t>
            </w:r>
          </w:p>
        </w:tc>
        <w:tc>
          <w:tcPr>
            <w:tcW w:type="dxa" w:w="1872"/>
            <w:vAlign w:val="top"/>
          </w:tcPr>
          <w:p>
            <w:pPr>
              <w:spacing w:before="0" w:after="20" w:line="240" w:lineRule="auto"/>
            </w:pPr>
            <w:r/>
            <w:r>
              <w:rPr>
                <w:rFonts w:ascii="Calibri" w:hAnsi="Calibri"/>
                <w:b w:val="0"/>
                <w:color w:val="1F1F1F"/>
                <w:sz w:val="16"/>
              </w:rPr>
              <w:t>Baseline PSA &gt;=20 ug/L</w:t>
            </w:r>
          </w:p>
        </w:tc>
        <w:tc>
          <w:tcPr>
            <w:tcW w:type="dxa" w:w="4032"/>
            <w:vAlign w:val="top"/>
          </w:tcPr>
          <w:p>
            <w:pPr>
              <w:spacing w:before="0" w:after="20" w:line="240" w:lineRule="auto"/>
            </w:pPr>
            <w:r/>
            <w:r>
              <w:rPr>
                <w:rFonts w:ascii="Calibri" w:hAnsi="Calibri"/>
                <w:b w:val="0"/>
                <w:color w:val="1F1F1F"/>
                <w:sz w:val="16"/>
              </w:rPr>
              <w:t>Test only if Step 2 is met.</w:t>
            </w:r>
          </w:p>
        </w:tc>
      </w:tr>
      <w:tr>
        <w:tc>
          <w:tcPr>
            <w:tcW w:type="dxa" w:w="1152"/>
            <w:vAlign w:val="top"/>
          </w:tcPr>
          <w:p>
            <w:pPr>
              <w:spacing w:before="0" w:after="20" w:line="240" w:lineRule="auto"/>
            </w:pPr>
            <w:r/>
            <w:r>
              <w:rPr>
                <w:rFonts w:ascii="Calibri" w:hAnsi="Calibri"/>
                <w:b w:val="0"/>
                <w:color w:val="1F1F1F"/>
                <w:sz w:val="16"/>
              </w:rPr>
              <w:t>4</w:t>
            </w:r>
          </w:p>
        </w:tc>
        <w:tc>
          <w:tcPr>
            <w:tcW w:type="dxa" w:w="2304"/>
            <w:vAlign w:val="top"/>
          </w:tcPr>
          <w:p>
            <w:pPr>
              <w:spacing w:before="0" w:after="20" w:line="240" w:lineRule="auto"/>
            </w:pPr>
            <w:r/>
            <w:r>
              <w:rPr>
                <w:rFonts w:ascii="Calibri" w:hAnsi="Calibri"/>
                <w:b w:val="0"/>
                <w:color w:val="1F1F1F"/>
                <w:sz w:val="16"/>
              </w:rPr>
              <w:t>Objective response rate</w:t>
            </w:r>
          </w:p>
        </w:tc>
        <w:tc>
          <w:tcPr>
            <w:tcW w:type="dxa" w:w="1872"/>
            <w:vAlign w:val="top"/>
          </w:tcPr>
          <w:p>
            <w:pPr>
              <w:spacing w:before="0" w:after="20" w:line="240" w:lineRule="auto"/>
            </w:pPr>
            <w:r/>
            <w:r>
              <w:rPr>
                <w:rFonts w:ascii="Calibri" w:hAnsi="Calibri"/>
                <w:b w:val="0"/>
                <w:color w:val="1F1F1F"/>
                <w:sz w:val="16"/>
              </w:rPr>
              <w:t>Measurable disease</w:t>
            </w:r>
          </w:p>
        </w:tc>
        <w:tc>
          <w:tcPr>
            <w:tcW w:type="dxa" w:w="4032"/>
            <w:vAlign w:val="top"/>
          </w:tcPr>
          <w:p>
            <w:pPr>
              <w:spacing w:before="0" w:after="20" w:line="240" w:lineRule="auto"/>
            </w:pPr>
            <w:r/>
            <w:r>
              <w:rPr>
                <w:rFonts w:ascii="Calibri" w:hAnsi="Calibri"/>
                <w:b w:val="0"/>
                <w:color w:val="1F1F1F"/>
                <w:sz w:val="16"/>
              </w:rPr>
              <w:t>Test only if Step 3 is met.</w:t>
            </w:r>
          </w:p>
        </w:tc>
      </w:tr>
      <w:tr>
        <w:tc>
          <w:tcPr>
            <w:tcW w:type="dxa" w:w="1152"/>
            <w:vAlign w:val="top"/>
          </w:tcPr>
          <w:p>
            <w:pPr>
              <w:spacing w:before="0" w:after="20" w:line="240" w:lineRule="auto"/>
            </w:pPr>
            <w:r/>
            <w:r>
              <w:rPr>
                <w:rFonts w:ascii="Calibri" w:hAnsi="Calibri"/>
                <w:b w:val="0"/>
                <w:color w:val="1F1F1F"/>
                <w:sz w:val="16"/>
              </w:rPr>
              <w:t>Exploratory</w:t>
            </w:r>
          </w:p>
        </w:tc>
        <w:tc>
          <w:tcPr>
            <w:tcW w:type="dxa" w:w="2304"/>
            <w:vAlign w:val="top"/>
          </w:tcPr>
          <w:p>
            <w:pPr>
              <w:spacing w:before="0" w:after="20" w:line="240" w:lineRule="auto"/>
            </w:pPr>
            <w:r/>
            <w:r>
              <w:rPr>
                <w:rFonts w:ascii="Calibri" w:hAnsi="Calibri"/>
                <w:b w:val="0"/>
                <w:color w:val="1F1F1F"/>
                <w:sz w:val="16"/>
              </w:rPr>
              <w:t>Pain, TTPSA, TTUMOR, subgroups, exposure-response, Optimus</w:t>
            </w:r>
          </w:p>
        </w:tc>
        <w:tc>
          <w:tcPr>
            <w:tcW w:type="dxa" w:w="1872"/>
            <w:vAlign w:val="top"/>
          </w:tcPr>
          <w:p>
            <w:pPr>
              <w:spacing w:before="0" w:after="20" w:line="240" w:lineRule="auto"/>
            </w:pPr>
            <w:r/>
            <w:r>
              <w:rPr>
                <w:rFonts w:ascii="Calibri" w:hAnsi="Calibri"/>
                <w:b w:val="0"/>
                <w:color w:val="1F1F1F"/>
                <w:sz w:val="16"/>
              </w:rPr>
              <w:t>Endpoint-specific</w:t>
            </w:r>
          </w:p>
        </w:tc>
        <w:tc>
          <w:tcPr>
            <w:tcW w:type="dxa" w:w="4032"/>
            <w:vAlign w:val="top"/>
          </w:tcPr>
          <w:p>
            <w:pPr>
              <w:spacing w:before="0" w:after="20" w:line="240" w:lineRule="auto"/>
            </w:pPr>
            <w:r/>
            <w:r>
              <w:rPr>
                <w:rFonts w:ascii="Calibri" w:hAnsi="Calibri"/>
                <w:b w:val="0"/>
                <w:color w:val="1F1F1F"/>
                <w:sz w:val="16"/>
              </w:rPr>
              <w:t>No alpha protection; descriptive and hypothesis-generating.</w:t>
            </w:r>
          </w:p>
        </w:tc>
      </w:tr>
    </w:tbl>
    <w:p/>
    <w:p>
      <w:pPr>
        <w:pStyle w:val="Heading1"/>
      </w:pPr>
      <w:r>
        <w:t>9. Primary efficacy analysis - overall survival</w:t>
      </w:r>
    </w:p>
    <w:p>
      <w:pPr>
        <w:pStyle w:val="Heading2"/>
      </w:pPr>
      <w:r>
        <w:t>9.1 Definition and censoring</w:t>
      </w:r>
    </w:p>
    <w:p>
      <w:pPr>
        <w:pStyle w:val="ListBullet"/>
        <w:spacing w:after="40"/>
      </w:pPr>
      <w:r>
        <w:t>OS is time from randomization date to death from any cause.</w:t>
      </w:r>
    </w:p>
    <w:p>
      <w:pPr>
        <w:pStyle w:val="ListBullet"/>
        <w:spacing w:after="40"/>
      </w:pPr>
      <w:r>
        <w:t>Subjects alive at analysis cut-off are censored at the earlier of last date known alive and 25-Sep-2009.</w:t>
      </w:r>
    </w:p>
    <w:p>
      <w:pPr>
        <w:pStyle w:val="ListBullet"/>
        <w:spacing w:after="40"/>
      </w:pPr>
      <w:r>
        <w:t>Deaths after documented withdrawal but before cut-off are events if source evidence supports death date.</w:t>
      </w:r>
    </w:p>
    <w:p>
      <w:pPr>
        <w:pStyle w:val="ListBullet"/>
        <w:spacing w:after="40"/>
      </w:pPr>
      <w:r>
        <w:t>Analysis variable: ADTTE where PARAMCD='OS'; CNSR=0 event, CNSR=1 censored; AVAL is days from randomization plus one if day-count convention requires inclusive duration.</w:t>
      </w:r>
    </w:p>
    <w:p>
      <w:pPr>
        <w:pStyle w:val="Heading2"/>
      </w:pPr>
      <w:r>
        <w:t>9.2 Primary estimator</w:t>
      </w:r>
    </w:p>
    <w:p>
      <w:pPr>
        <w:pStyle w:val="ListBullet"/>
        <w:spacing w:after="40"/>
      </w:pPr>
      <w:r>
        <w:t>KM curves by randomized treatment.</w:t>
      </w:r>
    </w:p>
    <w:p>
      <w:pPr>
        <w:pStyle w:val="ListBullet"/>
        <w:spacing w:after="40"/>
      </w:pPr>
      <w:r>
        <w:t>Median OS with 95% CI by Brookmeyer-Crowley method.</w:t>
      </w:r>
    </w:p>
    <w:p>
      <w:pPr>
        <w:pStyle w:val="ListBullet"/>
        <w:spacing w:after="40"/>
      </w:pPr>
      <w:r>
        <w:t>Stratified log-rank test using randomization strata: disease measurability and ECOG PS.</w:t>
      </w:r>
    </w:p>
    <w:p>
      <w:pPr>
        <w:pStyle w:val="ListBullet"/>
        <w:spacing w:after="40"/>
      </w:pPr>
      <w:r>
        <w:t>Stratified Cox proportional hazards model using the same strata; report HR for CbzP versus MP with 95% CI.</w:t>
      </w:r>
    </w:p>
    <w:p>
      <w:pPr>
        <w:pStyle w:val="ListBullet"/>
        <w:spacing w:after="40"/>
      </w:pPr>
      <w:r>
        <w:t>Number at risk displayed at clinically relevant months matching the publication where feasible.</w:t>
      </w:r>
    </w:p>
    <w:p>
      <w:pPr>
        <w:pStyle w:val="Heading2"/>
      </w:pPr>
      <w:r>
        <w:t>9.3 Sensitivity and diagnostics</w:t>
      </w:r>
    </w:p>
    <w:p>
      <w:pPr>
        <w:pStyle w:val="ListBullet"/>
        <w:spacing w:after="40"/>
      </w:pPr>
      <w:r>
        <w:t>Unstratified Cox/log-rank sensitivity.</w:t>
      </w:r>
    </w:p>
    <w:p>
      <w:pPr>
        <w:pStyle w:val="ListBullet"/>
        <w:spacing w:after="40"/>
      </w:pPr>
      <w:r>
        <w:t>RMST at 12 months and optionally 18 months when follow-up supports interpretation.</w:t>
      </w:r>
    </w:p>
    <w:p>
      <w:pPr>
        <w:pStyle w:val="ListBullet"/>
        <w:spacing w:after="40"/>
      </w:pPr>
      <w:r>
        <w:t>PH diagnostics using log-minus-log plots and Schoenfeld residuals where real two-arm IPD is available.</w:t>
      </w:r>
    </w:p>
    <w:p>
      <w:pPr>
        <w:pStyle w:val="ListBullet"/>
        <w:spacing w:after="40"/>
      </w:pPr>
      <w:r>
        <w:t>Censoring distribution by arm and reason.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top"/>
            <w:shd w:fill="1F4E79"/>
          </w:tcPr>
          <w:p>
            <w:pPr>
              <w:spacing w:before="0" w:after="20" w:line="240" w:lineRule="auto"/>
            </w:pPr>
            <w:r/>
            <w:r>
              <w:rPr>
                <w:rFonts w:ascii="Calibri" w:hAnsi="Calibri"/>
                <w:b/>
                <w:color w:val="FFFFFF"/>
                <w:sz w:val="16"/>
              </w:rPr>
              <w:t>Published validation target</w:t>
            </w:r>
          </w:p>
        </w:tc>
        <w:tc>
          <w:tcPr>
            <w:tcW w:type="dxa" w:w="6480"/>
            <w:vAlign w:val="top"/>
            <w:shd w:fill="1F4E79"/>
          </w:tcPr>
          <w:p>
            <w:pPr>
              <w:spacing w:before="0" w:after="20" w:line="240" w:lineRule="auto"/>
            </w:pPr>
            <w:r/>
            <w:r>
              <w:rPr>
                <w:rFonts w:ascii="Calibri" w:hAnsi="Calibri"/>
                <w:b/>
                <w:color w:val="FFFFFF"/>
                <w:sz w:val="16"/>
              </w:rPr>
              <w:t>Value</w:t>
            </w:r>
          </w:p>
        </w:tc>
      </w:tr>
      <w:tr>
        <w:tc>
          <w:tcPr>
            <w:tcW w:type="dxa" w:w="2880"/>
            <w:vAlign w:val="top"/>
          </w:tcPr>
          <w:p>
            <w:pPr>
              <w:spacing w:before="0" w:after="20" w:line="240" w:lineRule="auto"/>
            </w:pPr>
            <w:r/>
            <w:r>
              <w:rPr>
                <w:rFonts w:ascii="Calibri" w:hAnsi="Calibri"/>
                <w:b w:val="0"/>
                <w:color w:val="1F1F1F"/>
                <w:sz w:val="16"/>
              </w:rPr>
              <w:t>Median OS CbzP</w:t>
            </w:r>
          </w:p>
        </w:tc>
        <w:tc>
          <w:tcPr>
            <w:tcW w:type="dxa" w:w="6480"/>
            <w:vAlign w:val="top"/>
          </w:tcPr>
          <w:p>
            <w:pPr>
              <w:spacing w:before="0" w:after="20" w:line="240" w:lineRule="auto"/>
            </w:pPr>
            <w:r/>
            <w:r>
              <w:rPr>
                <w:rFonts w:ascii="Calibri" w:hAnsi="Calibri"/>
                <w:b w:val="0"/>
                <w:color w:val="1F1F1F"/>
                <w:sz w:val="16"/>
              </w:rPr>
              <w:t>15.1 months (95% CI 14.1-16.3)</w:t>
            </w:r>
          </w:p>
        </w:tc>
      </w:tr>
      <w:tr>
        <w:tc>
          <w:tcPr>
            <w:tcW w:type="dxa" w:w="2880"/>
            <w:vAlign w:val="top"/>
          </w:tcPr>
          <w:p>
            <w:pPr>
              <w:spacing w:before="0" w:after="20" w:line="240" w:lineRule="auto"/>
            </w:pPr>
            <w:r/>
            <w:r>
              <w:rPr>
                <w:rFonts w:ascii="Calibri" w:hAnsi="Calibri"/>
                <w:b w:val="0"/>
                <w:color w:val="1F1F1F"/>
                <w:sz w:val="16"/>
              </w:rPr>
              <w:t>Median OS MP</w:t>
            </w:r>
          </w:p>
        </w:tc>
        <w:tc>
          <w:tcPr>
            <w:tcW w:type="dxa" w:w="6480"/>
            <w:vAlign w:val="top"/>
          </w:tcPr>
          <w:p>
            <w:pPr>
              <w:spacing w:before="0" w:after="20" w:line="240" w:lineRule="auto"/>
            </w:pPr>
            <w:r/>
            <w:r>
              <w:rPr>
                <w:rFonts w:ascii="Calibri" w:hAnsi="Calibri"/>
                <w:b w:val="0"/>
                <w:color w:val="1F1F1F"/>
                <w:sz w:val="16"/>
              </w:rPr>
              <w:t>12.7 months (95% CI 11.6-13.7)</w:t>
            </w:r>
          </w:p>
        </w:tc>
      </w:tr>
      <w:tr>
        <w:tc>
          <w:tcPr>
            <w:tcW w:type="dxa" w:w="2880"/>
            <w:vAlign w:val="top"/>
          </w:tcPr>
          <w:p>
            <w:pPr>
              <w:spacing w:before="0" w:after="20" w:line="240" w:lineRule="auto"/>
            </w:pPr>
            <w:r/>
            <w:r>
              <w:rPr>
                <w:rFonts w:ascii="Calibri" w:hAnsi="Calibri"/>
                <w:b w:val="0"/>
                <w:color w:val="1F1F1F"/>
                <w:sz w:val="16"/>
              </w:rPr>
              <w:t>HR CbzP vs MP</w:t>
            </w:r>
          </w:p>
        </w:tc>
        <w:tc>
          <w:tcPr>
            <w:tcW w:type="dxa" w:w="6480"/>
            <w:vAlign w:val="top"/>
          </w:tcPr>
          <w:p>
            <w:pPr>
              <w:spacing w:before="0" w:after="20" w:line="240" w:lineRule="auto"/>
            </w:pPr>
            <w:r/>
            <w:r>
              <w:rPr>
                <w:rFonts w:ascii="Calibri" w:hAnsi="Calibri"/>
                <w:b w:val="0"/>
                <w:color w:val="1F1F1F"/>
                <w:sz w:val="16"/>
              </w:rPr>
              <w:t>0.70 (95% CI 0.59-0.83), p&lt;0.0001</w:t>
            </w:r>
          </w:p>
        </w:tc>
      </w:tr>
      <w:tr>
        <w:tc>
          <w:tcPr>
            <w:tcW w:type="dxa" w:w="2880"/>
            <w:vAlign w:val="top"/>
          </w:tcPr>
          <w:p>
            <w:pPr>
              <w:spacing w:before="0" w:after="20" w:line="240" w:lineRule="auto"/>
            </w:pPr>
            <w:r/>
            <w:r>
              <w:rPr>
                <w:rFonts w:ascii="Calibri" w:hAnsi="Calibri"/>
                <w:b w:val="0"/>
                <w:color w:val="1F1F1F"/>
                <w:sz w:val="16"/>
              </w:rPr>
              <w:t>Deaths at cut-off</w:t>
            </w:r>
          </w:p>
        </w:tc>
        <w:tc>
          <w:tcPr>
            <w:tcW w:type="dxa" w:w="6480"/>
            <w:vAlign w:val="top"/>
          </w:tcPr>
          <w:p>
            <w:pPr>
              <w:spacing w:before="0" w:after="20" w:line="240" w:lineRule="auto"/>
            </w:pPr>
            <w:r/>
            <w:r>
              <w:rPr>
                <w:rFonts w:ascii="Calibri" w:hAnsi="Calibri"/>
                <w:b w:val="0"/>
                <w:color w:val="1F1F1F"/>
                <w:sz w:val="16"/>
              </w:rPr>
              <w:t>513 ITT deaths, 234 CbzP and 279 MP</w:t>
            </w:r>
          </w:p>
        </w:tc>
      </w:tr>
    </w:tbl>
    <w:p/>
    <w:p>
      <w:pPr>
        <w:pStyle w:val="Heading1"/>
      </w:pPr>
      <w:r>
        <w:t>10. Secondary efficacy analyses</w:t>
      </w:r>
    </w:p>
    <w:p>
      <w:pPr>
        <w:pStyle w:val="Heading2"/>
      </w:pPr>
      <w:r>
        <w:t>10.1 Progression-free survival</w:t>
      </w:r>
    </w:p>
    <w:p>
      <w:pPr>
        <w:pStyle w:val="ListBullet"/>
        <w:spacing w:after="40"/>
      </w:pPr>
      <w:r>
        <w:t>PFS is time from randomization to the earliest of PSA progression, tumour progression by RECIST, pain progression with supporting disease evidence, or death from any cause.</w:t>
      </w:r>
    </w:p>
    <w:p>
      <w:pPr>
        <w:pStyle w:val="ListBullet"/>
        <w:spacing w:after="40"/>
      </w:pPr>
      <w:r>
        <w:t>The component event date is the earliest valid date among components. Component source, date and priority must be retained in ADTTE traceability variables.</w:t>
      </w:r>
    </w:p>
    <w:p>
      <w:pPr>
        <w:pStyle w:val="ListBullet"/>
        <w:spacing w:after="40"/>
      </w:pPr>
      <w:r>
        <w:t>If no post-baseline assessment exists, censor at randomization date.</w:t>
      </w:r>
    </w:p>
    <w:p>
      <w:pPr>
        <w:pStyle w:val="ListBullet"/>
        <w:spacing w:after="40"/>
      </w:pPr>
      <w:r>
        <w:t>If new anti-cancer therapy begins before documented progression, censor at the day before new therapy start.</w:t>
      </w:r>
    </w:p>
    <w:p>
      <w:pPr>
        <w:pStyle w:val="ListBullet"/>
        <w:spacing w:after="40"/>
      </w:pPr>
      <w:r>
        <w:t>Primary estimator mirrors OS: KM, stratified log-rank, stratified Cox HR and medians.</w:t>
      </w:r>
    </w:p>
    <w:p>
      <w:pPr>
        <w:pStyle w:val="Heading2"/>
      </w:pPr>
      <w:r>
        <w:t>10.2 PSA response and PSA progression</w:t>
      </w:r>
    </w:p>
    <w:p>
      <w:pPr>
        <w:pStyle w:val="ListBullet"/>
        <w:spacing w:after="40"/>
      </w:pPr>
      <w:r>
        <w:t>PSA response applies only to subjects with baseline PSA &gt;=20 ug/L.</w:t>
      </w:r>
    </w:p>
    <w:p>
      <w:pPr>
        <w:pStyle w:val="ListBullet"/>
        <w:spacing w:after="40"/>
      </w:pPr>
      <w:r>
        <w:t>Responder is confirmed &gt;=50% decline from baseline, with repeat PSA at least 3 weeks later.</w:t>
      </w:r>
    </w:p>
    <w:p>
      <w:pPr>
        <w:pStyle w:val="ListBullet"/>
        <w:spacing w:after="40"/>
      </w:pPr>
      <w:r>
        <w:t>PSA progression for non-responders is &gt;=25% increase over nadir and absolute increase &gt;=5 ug/L, confirmed per protocol timing.</w:t>
      </w:r>
    </w:p>
    <w:p>
      <w:pPr>
        <w:pStyle w:val="ListBullet"/>
        <w:spacing w:after="40"/>
      </w:pPr>
      <w:r>
        <w:t>PSA progression for responders is &gt;=50% increase over nadir; do not apply the &gt;=5 ug/L absolute floor to responders unless a later approved amendment states otherwise.</w:t>
      </w:r>
    </w:p>
    <w:p>
      <w:pPr>
        <w:pStyle w:val="ListBullet"/>
        <w:spacing w:after="40"/>
      </w:pPr>
      <w:r>
        <w:t>Time to PSA progression is analyzed using time-to-event methods with ITT denominator for the original trial target.</w:t>
      </w:r>
    </w:p>
    <w:p>
      <w:pPr>
        <w:pStyle w:val="Heading2"/>
      </w:pPr>
      <w:r>
        <w:t>10.3 Tumour response and time to tumour progression</w:t>
      </w:r>
    </w:p>
    <w:p>
      <w:pPr>
        <w:pStyle w:val="ListBullet"/>
        <w:spacing w:after="40"/>
      </w:pPr>
      <w:r>
        <w:t>RECIST v1.0 governs tumour response for subjects with measurable disease.</w:t>
      </w:r>
    </w:p>
    <w:p>
      <w:pPr>
        <w:pStyle w:val="ListBullet"/>
        <w:spacing w:after="40"/>
      </w:pPr>
      <w:r>
        <w:t>ORR is confirmed CR or PR. Confirmation requires a subsequent qualifying assessment at least 4 weeks later.</w:t>
      </w:r>
    </w:p>
    <w:p>
      <w:pPr>
        <w:pStyle w:val="ListBullet"/>
        <w:spacing w:after="40"/>
      </w:pPr>
      <w:r>
        <w:t>SD requires sufficient duration from study entry per RECIST v1.0 conventions.</w:t>
      </w:r>
    </w:p>
    <w:p>
      <w:pPr>
        <w:pStyle w:val="ListBullet"/>
        <w:spacing w:after="40"/>
      </w:pPr>
      <w:r>
        <w:t>New lesion or unequivocal progression yields PD.</w:t>
      </w:r>
    </w:p>
    <w:p>
      <w:pPr>
        <w:pStyle w:val="ListBullet"/>
        <w:spacing w:after="40"/>
      </w:pPr>
      <w:r>
        <w:t>Time to tumour progression is a time-to-event endpoint distinct from composite PFS.</w:t>
      </w:r>
    </w:p>
    <w:p>
      <w:pPr>
        <w:pStyle w:val="Heading2"/>
      </w:pPr>
      <w:r>
        <w:t>10.4 Pain endpoints</w:t>
      </w:r>
    </w:p>
    <w:p>
      <w:pPr>
        <w:pStyle w:val="ListBullet"/>
        <w:spacing w:after="40"/>
      </w:pPr>
      <w:r>
        <w:t>Pain instruments are McGill-Melzack present pain intensity (PPI) and analgesic score normalized to morphine equivalents.</w:t>
      </w:r>
    </w:p>
    <w:p>
      <w:pPr>
        <w:pStyle w:val="ListBullet"/>
        <w:spacing w:after="40"/>
      </w:pPr>
      <w:r>
        <w:t>Visit-level PPI/analgesic summaries require at least 5 of 7 expected daily values.</w:t>
      </w:r>
    </w:p>
    <w:p>
      <w:pPr>
        <w:pStyle w:val="ListBullet"/>
        <w:spacing w:after="40"/>
      </w:pPr>
      <w:r>
        <w:t>Pain response applies to subjects with baseline median PPI &gt;=2 or mean analgesic score &gt;=10.</w:t>
      </w:r>
    </w:p>
    <w:p>
      <w:pPr>
        <w:pStyle w:val="ListBullet"/>
        <w:spacing w:after="40"/>
      </w:pPr>
      <w:r>
        <w:t>Pain response requires either &gt;=2 point PPI reduction without analgesic-score increase, or &gt;50% analgesic-use decrease without pain increase, maintained &gt;=3 weeks.</w:t>
      </w:r>
    </w:p>
    <w:p>
      <w:pPr>
        <w:pStyle w:val="ListBullet"/>
        <w:spacing w:after="40"/>
      </w:pPr>
      <w:r>
        <w:t>Pain progression uses increase from baseline/reference value, not nadir, and includes palliative radiotherapy for pain.</w:t>
      </w:r>
    </w:p>
    <w:p>
      <w:pPr>
        <w:pStyle w:val="Heading2"/>
      </w:pPr>
      <w:r>
        <w:t>10.5 Secondary endpoint model specification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vAlign w:val="top"/>
            <w:shd w:fill="1F4E79"/>
          </w:tcPr>
          <w:p>
            <w:pPr>
              <w:spacing w:before="0" w:after="20" w:line="240" w:lineRule="auto"/>
            </w:pPr>
            <w:r/>
            <w:r>
              <w:rPr>
                <w:rFonts w:ascii="Calibri" w:hAnsi="Calibri"/>
                <w:b/>
                <w:color w:val="FFFFFF"/>
                <w:sz w:val="14"/>
              </w:rPr>
              <w:t>Endpoint</w:t>
            </w:r>
          </w:p>
        </w:tc>
        <w:tc>
          <w:tcPr>
            <w:tcW w:type="dxa" w:w="1944"/>
            <w:vAlign w:val="top"/>
            <w:shd w:fill="1F4E79"/>
          </w:tcPr>
          <w:p>
            <w:pPr>
              <w:spacing w:before="0" w:after="20" w:line="240" w:lineRule="auto"/>
            </w:pPr>
            <w:r/>
            <w:r>
              <w:rPr>
                <w:rFonts w:ascii="Calibri" w:hAnsi="Calibri"/>
                <w:b/>
                <w:color w:val="FFFFFF"/>
                <w:sz w:val="14"/>
              </w:rPr>
              <w:t>Primary analysis set</w:t>
            </w:r>
          </w:p>
        </w:tc>
        <w:tc>
          <w:tcPr>
            <w:tcW w:type="dxa" w:w="2880"/>
            <w:vAlign w:val="top"/>
            <w:shd w:fill="1F4E79"/>
          </w:tcPr>
          <w:p>
            <w:pPr>
              <w:spacing w:before="0" w:after="20" w:line="240" w:lineRule="auto"/>
            </w:pPr>
            <w:r/>
            <w:r>
              <w:rPr>
                <w:rFonts w:ascii="Calibri" w:hAnsi="Calibri"/>
                <w:b/>
                <w:color w:val="FFFFFF"/>
                <w:sz w:val="14"/>
              </w:rPr>
              <w:t>Primary estimator</w:t>
            </w:r>
          </w:p>
        </w:tc>
        <w:tc>
          <w:tcPr>
            <w:tcW w:type="dxa" w:w="3240"/>
            <w:vAlign w:val="top"/>
            <w:shd w:fill="1F4E79"/>
          </w:tcPr>
          <w:p>
            <w:pPr>
              <w:spacing w:before="0" w:after="20" w:line="240" w:lineRule="auto"/>
            </w:pPr>
            <w:r/>
            <w:r>
              <w:rPr>
                <w:rFonts w:ascii="Calibri" w:hAnsi="Calibri"/>
                <w:b/>
                <w:color w:val="FFFFFF"/>
                <w:sz w:val="14"/>
              </w:rPr>
              <w:t>Key sensitivity</w:t>
            </w:r>
          </w:p>
        </w:tc>
      </w:tr>
      <w:tr>
        <w:tc>
          <w:tcPr>
            <w:tcW w:type="dxa" w:w="1296"/>
            <w:vAlign w:val="top"/>
          </w:tcPr>
          <w:p>
            <w:pPr>
              <w:spacing w:before="0" w:after="20" w:line="240" w:lineRule="auto"/>
            </w:pPr>
            <w:r/>
            <w:r>
              <w:rPr>
                <w:rFonts w:ascii="Calibri" w:hAnsi="Calibri"/>
                <w:b w:val="0"/>
                <w:color w:val="1F1F1F"/>
                <w:sz w:val="14"/>
              </w:rPr>
              <w:t>PFS</w:t>
            </w:r>
          </w:p>
        </w:tc>
        <w:tc>
          <w:tcPr>
            <w:tcW w:type="dxa" w:w="1944"/>
            <w:vAlign w:val="top"/>
          </w:tcPr>
          <w:p>
            <w:pPr>
              <w:spacing w:before="0" w:after="20" w:line="240" w:lineRule="auto"/>
            </w:pPr>
            <w:r/>
            <w:r>
              <w:rPr>
                <w:rFonts w:ascii="Calibri" w:hAnsi="Calibri"/>
                <w:b w:val="0"/>
                <w:color w:val="1F1F1F"/>
                <w:sz w:val="14"/>
              </w:rPr>
              <w:t>ITT</w:t>
            </w:r>
          </w:p>
        </w:tc>
        <w:tc>
          <w:tcPr>
            <w:tcW w:type="dxa" w:w="2880"/>
            <w:vAlign w:val="top"/>
          </w:tcPr>
          <w:p>
            <w:pPr>
              <w:spacing w:before="0" w:after="20" w:line="240" w:lineRule="auto"/>
            </w:pPr>
            <w:r/>
            <w:r>
              <w:rPr>
                <w:rFonts w:ascii="Calibri" w:hAnsi="Calibri"/>
                <w:b w:val="0"/>
                <w:color w:val="1F1F1F"/>
                <w:sz w:val="14"/>
              </w:rPr>
              <w:t>Stratified Cox/log-rank and KM medians.</w:t>
            </w:r>
          </w:p>
        </w:tc>
        <w:tc>
          <w:tcPr>
            <w:tcW w:type="dxa" w:w="3240"/>
            <w:vAlign w:val="top"/>
          </w:tcPr>
          <w:p>
            <w:pPr>
              <w:spacing w:before="0" w:after="20" w:line="240" w:lineRule="auto"/>
            </w:pPr>
            <w:r/>
            <w:r>
              <w:rPr>
                <w:rFonts w:ascii="Calibri" w:hAnsi="Calibri"/>
                <w:b w:val="0"/>
                <w:color w:val="1F1F1F"/>
                <w:sz w:val="14"/>
              </w:rPr>
              <w:t>Exclude assessments on/after new anti-cancer therapy; component-specific audit.</w:t>
            </w:r>
          </w:p>
        </w:tc>
      </w:tr>
      <w:tr>
        <w:tc>
          <w:tcPr>
            <w:tcW w:type="dxa" w:w="1296"/>
            <w:vAlign w:val="top"/>
          </w:tcPr>
          <w:p>
            <w:pPr>
              <w:spacing w:before="0" w:after="20" w:line="240" w:lineRule="auto"/>
            </w:pPr>
            <w:r/>
            <w:r>
              <w:rPr>
                <w:rFonts w:ascii="Calibri" w:hAnsi="Calibri"/>
                <w:b w:val="0"/>
                <w:color w:val="1F1F1F"/>
                <w:sz w:val="14"/>
              </w:rPr>
              <w:t>TTPSA</w:t>
            </w:r>
          </w:p>
        </w:tc>
        <w:tc>
          <w:tcPr>
            <w:tcW w:type="dxa" w:w="1944"/>
            <w:vAlign w:val="top"/>
          </w:tcPr>
          <w:p>
            <w:pPr>
              <w:spacing w:before="0" w:after="20" w:line="240" w:lineRule="auto"/>
            </w:pPr>
            <w:r/>
            <w:r>
              <w:rPr>
                <w:rFonts w:ascii="Calibri" w:hAnsi="Calibri"/>
                <w:b w:val="0"/>
                <w:color w:val="1F1F1F"/>
                <w:sz w:val="14"/>
              </w:rPr>
              <w:t>ITT</w:t>
            </w:r>
          </w:p>
        </w:tc>
        <w:tc>
          <w:tcPr>
            <w:tcW w:type="dxa" w:w="2880"/>
            <w:vAlign w:val="top"/>
          </w:tcPr>
          <w:p>
            <w:pPr>
              <w:spacing w:before="0" w:after="20" w:line="240" w:lineRule="auto"/>
            </w:pPr>
            <w:r/>
            <w:r>
              <w:rPr>
                <w:rFonts w:ascii="Calibri" w:hAnsi="Calibri"/>
                <w:b w:val="0"/>
                <w:color w:val="1F1F1F"/>
                <w:sz w:val="14"/>
              </w:rPr>
              <w:t>TTE methods using PSA progression event.</w:t>
            </w:r>
          </w:p>
        </w:tc>
        <w:tc>
          <w:tcPr>
            <w:tcW w:type="dxa" w:w="3240"/>
            <w:vAlign w:val="top"/>
          </w:tcPr>
          <w:p>
            <w:pPr>
              <w:spacing w:before="0" w:after="20" w:line="240" w:lineRule="auto"/>
            </w:pPr>
            <w:r/>
            <w:r>
              <w:rPr>
                <w:rFonts w:ascii="Calibri" w:hAnsi="Calibri"/>
                <w:b w:val="0"/>
                <w:color w:val="1F1F1F"/>
                <w:sz w:val="14"/>
              </w:rPr>
              <w:t>Responder-status rule audit; confirmation-window sensitivity.</w:t>
            </w:r>
          </w:p>
        </w:tc>
      </w:tr>
      <w:tr>
        <w:tc>
          <w:tcPr>
            <w:tcW w:type="dxa" w:w="1296"/>
            <w:vAlign w:val="top"/>
          </w:tcPr>
          <w:p>
            <w:pPr>
              <w:spacing w:before="0" w:after="20" w:line="240" w:lineRule="auto"/>
            </w:pPr>
            <w:r/>
            <w:r>
              <w:rPr>
                <w:rFonts w:ascii="Calibri" w:hAnsi="Calibri"/>
                <w:b w:val="0"/>
                <w:color w:val="1F1F1F"/>
                <w:sz w:val="14"/>
              </w:rPr>
              <w:t>TTUMOR</w:t>
            </w:r>
          </w:p>
        </w:tc>
        <w:tc>
          <w:tcPr>
            <w:tcW w:type="dxa" w:w="1944"/>
            <w:vAlign w:val="top"/>
          </w:tcPr>
          <w:p>
            <w:pPr>
              <w:spacing w:before="0" w:after="20" w:line="240" w:lineRule="auto"/>
            </w:pPr>
            <w:r/>
            <w:r>
              <w:rPr>
                <w:rFonts w:ascii="Calibri" w:hAnsi="Calibri"/>
                <w:b w:val="0"/>
                <w:color w:val="1F1F1F"/>
                <w:sz w:val="14"/>
              </w:rPr>
              <w:t>Measurable disease / ITT target per shell</w:t>
            </w:r>
          </w:p>
        </w:tc>
        <w:tc>
          <w:tcPr>
            <w:tcW w:type="dxa" w:w="2880"/>
            <w:vAlign w:val="top"/>
          </w:tcPr>
          <w:p>
            <w:pPr>
              <w:spacing w:before="0" w:after="20" w:line="240" w:lineRule="auto"/>
            </w:pPr>
            <w:r/>
            <w:r>
              <w:rPr>
                <w:rFonts w:ascii="Calibri" w:hAnsi="Calibri"/>
                <w:b w:val="0"/>
                <w:color w:val="1F1F1F"/>
                <w:sz w:val="14"/>
              </w:rPr>
              <w:t>TTE methods using RECIST PD/new lesion.</w:t>
            </w:r>
          </w:p>
        </w:tc>
        <w:tc>
          <w:tcPr>
            <w:tcW w:type="dxa" w:w="3240"/>
            <w:vAlign w:val="top"/>
          </w:tcPr>
          <w:p>
            <w:pPr>
              <w:spacing w:before="0" w:after="20" w:line="240" w:lineRule="auto"/>
            </w:pPr>
            <w:r/>
            <w:r>
              <w:rPr>
                <w:rFonts w:ascii="Calibri" w:hAnsi="Calibri"/>
                <w:b w:val="0"/>
                <w:color w:val="1F1F1F"/>
                <w:sz w:val="14"/>
              </w:rPr>
              <w:t>Assessment-window and missing imaging sensitivity.</w:t>
            </w:r>
          </w:p>
        </w:tc>
      </w:tr>
      <w:tr>
        <w:tc>
          <w:tcPr>
            <w:tcW w:type="dxa" w:w="1296"/>
            <w:vAlign w:val="top"/>
          </w:tcPr>
          <w:p>
            <w:pPr>
              <w:spacing w:before="0" w:after="20" w:line="240" w:lineRule="auto"/>
            </w:pPr>
            <w:r/>
            <w:r>
              <w:rPr>
                <w:rFonts w:ascii="Calibri" w:hAnsi="Calibri"/>
                <w:b w:val="0"/>
                <w:color w:val="1F1F1F"/>
                <w:sz w:val="14"/>
              </w:rPr>
              <w:t>TTPAIN</w:t>
            </w:r>
          </w:p>
        </w:tc>
        <w:tc>
          <w:tcPr>
            <w:tcW w:type="dxa" w:w="1944"/>
            <w:vAlign w:val="top"/>
          </w:tcPr>
          <w:p>
            <w:pPr>
              <w:spacing w:before="0" w:after="20" w:line="240" w:lineRule="auto"/>
            </w:pPr>
            <w:r/>
            <w:r>
              <w:rPr>
                <w:rFonts w:ascii="Calibri" w:hAnsi="Calibri"/>
                <w:b w:val="0"/>
                <w:color w:val="1F1F1F"/>
                <w:sz w:val="14"/>
              </w:rPr>
              <w:t>ITT with diary evaluability</w:t>
            </w:r>
          </w:p>
        </w:tc>
        <w:tc>
          <w:tcPr>
            <w:tcW w:type="dxa" w:w="2880"/>
            <w:vAlign w:val="top"/>
          </w:tcPr>
          <w:p>
            <w:pPr>
              <w:spacing w:before="0" w:after="20" w:line="240" w:lineRule="auto"/>
            </w:pPr>
            <w:r/>
            <w:r>
              <w:rPr>
                <w:rFonts w:ascii="Calibri" w:hAnsi="Calibri"/>
                <w:b w:val="0"/>
                <w:color w:val="1F1F1F"/>
                <w:sz w:val="14"/>
              </w:rPr>
              <w:t>TTE methods using pain progression event.</w:t>
            </w:r>
          </w:p>
        </w:tc>
        <w:tc>
          <w:tcPr>
            <w:tcW w:type="dxa" w:w="3240"/>
            <w:vAlign w:val="top"/>
          </w:tcPr>
          <w:p>
            <w:pPr>
              <w:spacing w:before="0" w:after="20" w:line="240" w:lineRule="auto"/>
            </w:pPr>
            <w:r/>
            <w:r>
              <w:rPr>
                <w:rFonts w:ascii="Calibri" w:hAnsi="Calibri"/>
                <w:b w:val="0"/>
                <w:color w:val="1F1F1F"/>
                <w:sz w:val="14"/>
              </w:rPr>
              <w:t>5-of-7 diary rule and palliative-RT-only sensitivity.</w:t>
            </w:r>
          </w:p>
        </w:tc>
      </w:tr>
      <w:tr>
        <w:tc>
          <w:tcPr>
            <w:tcW w:type="dxa" w:w="1296"/>
            <w:vAlign w:val="top"/>
          </w:tcPr>
          <w:p>
            <w:pPr>
              <w:spacing w:before="0" w:after="20" w:line="240" w:lineRule="auto"/>
            </w:pPr>
            <w:r/>
            <w:r>
              <w:rPr>
                <w:rFonts w:ascii="Calibri" w:hAnsi="Calibri"/>
                <w:b w:val="0"/>
                <w:color w:val="1F1F1F"/>
                <w:sz w:val="14"/>
              </w:rPr>
              <w:t>PSA response</w:t>
            </w:r>
          </w:p>
        </w:tc>
        <w:tc>
          <w:tcPr>
            <w:tcW w:type="dxa" w:w="1944"/>
            <w:vAlign w:val="top"/>
          </w:tcPr>
          <w:p>
            <w:pPr>
              <w:spacing w:before="0" w:after="20" w:line="240" w:lineRule="auto"/>
            </w:pPr>
            <w:r/>
            <w:r>
              <w:rPr>
                <w:rFonts w:ascii="Calibri" w:hAnsi="Calibri"/>
                <w:b w:val="0"/>
                <w:color w:val="1F1F1F"/>
                <w:sz w:val="14"/>
              </w:rPr>
              <w:t>Baseline PSA &gt;=20 ug/L</w:t>
            </w:r>
          </w:p>
        </w:tc>
        <w:tc>
          <w:tcPr>
            <w:tcW w:type="dxa" w:w="2880"/>
            <w:vAlign w:val="top"/>
          </w:tcPr>
          <w:p>
            <w:pPr>
              <w:spacing w:before="0" w:after="20" w:line="240" w:lineRule="auto"/>
            </w:pPr>
            <w:r/>
            <w:r>
              <w:rPr>
                <w:rFonts w:ascii="Calibri" w:hAnsi="Calibri"/>
                <w:b w:val="0"/>
                <w:color w:val="1F1F1F"/>
                <w:sz w:val="14"/>
              </w:rPr>
              <w:t>Confirmed response rate and exact CI.</w:t>
            </w:r>
          </w:p>
        </w:tc>
        <w:tc>
          <w:tcPr>
            <w:tcW w:type="dxa" w:w="3240"/>
            <w:vAlign w:val="top"/>
          </w:tcPr>
          <w:p>
            <w:pPr>
              <w:spacing w:before="0" w:after="20" w:line="240" w:lineRule="auto"/>
            </w:pPr>
            <w:r/>
            <w:r>
              <w:rPr>
                <w:rFonts w:ascii="Calibri" w:hAnsi="Calibri"/>
                <w:b w:val="0"/>
                <w:color w:val="1F1F1F"/>
                <w:sz w:val="14"/>
              </w:rPr>
              <w:t>Treat missing confirmation as non-response; evaluable-only support.</w:t>
            </w:r>
          </w:p>
        </w:tc>
      </w:tr>
      <w:tr>
        <w:tc>
          <w:tcPr>
            <w:tcW w:type="dxa" w:w="1296"/>
            <w:vAlign w:val="top"/>
          </w:tcPr>
          <w:p>
            <w:pPr>
              <w:spacing w:before="0" w:after="20" w:line="240" w:lineRule="auto"/>
            </w:pPr>
            <w:r/>
            <w:r>
              <w:rPr>
                <w:rFonts w:ascii="Calibri" w:hAnsi="Calibri"/>
                <w:b w:val="0"/>
                <w:color w:val="1F1F1F"/>
                <w:sz w:val="14"/>
              </w:rPr>
              <w:t>ORR</w:t>
            </w:r>
          </w:p>
        </w:tc>
        <w:tc>
          <w:tcPr>
            <w:tcW w:type="dxa" w:w="1944"/>
            <w:vAlign w:val="top"/>
          </w:tcPr>
          <w:p>
            <w:pPr>
              <w:spacing w:before="0" w:after="20" w:line="240" w:lineRule="auto"/>
            </w:pPr>
            <w:r/>
            <w:r>
              <w:rPr>
                <w:rFonts w:ascii="Calibri" w:hAnsi="Calibri"/>
                <w:b w:val="0"/>
                <w:color w:val="1F1F1F"/>
                <w:sz w:val="14"/>
              </w:rPr>
              <w:t>Measurable disease</w:t>
            </w:r>
          </w:p>
        </w:tc>
        <w:tc>
          <w:tcPr>
            <w:tcW w:type="dxa" w:w="2880"/>
            <w:vAlign w:val="top"/>
          </w:tcPr>
          <w:p>
            <w:pPr>
              <w:spacing w:before="0" w:after="20" w:line="240" w:lineRule="auto"/>
            </w:pPr>
            <w:r/>
            <w:r>
              <w:rPr>
                <w:rFonts w:ascii="Calibri" w:hAnsi="Calibri"/>
                <w:b w:val="0"/>
                <w:color w:val="1F1F1F"/>
                <w:sz w:val="14"/>
              </w:rPr>
              <w:t>Confirmed CR/PR rate and exact CI.</w:t>
            </w:r>
          </w:p>
        </w:tc>
        <w:tc>
          <w:tcPr>
            <w:tcW w:type="dxa" w:w="3240"/>
            <w:vAlign w:val="top"/>
          </w:tcPr>
          <w:p>
            <w:pPr>
              <w:spacing w:before="0" w:after="20" w:line="240" w:lineRule="auto"/>
            </w:pPr>
            <w:r/>
            <w:r>
              <w:rPr>
                <w:rFonts w:ascii="Calibri" w:hAnsi="Calibri"/>
                <w:b w:val="0"/>
                <w:color w:val="1F1F1F"/>
                <w:sz w:val="14"/>
              </w:rPr>
              <w:t>Unconfirmed response support and NE handling display.</w:t>
            </w:r>
          </w:p>
        </w:tc>
      </w:tr>
      <w:tr>
        <w:tc>
          <w:tcPr>
            <w:tcW w:type="dxa" w:w="1296"/>
            <w:vAlign w:val="top"/>
          </w:tcPr>
          <w:p>
            <w:pPr>
              <w:spacing w:before="0" w:after="20" w:line="240" w:lineRule="auto"/>
            </w:pPr>
            <w:r/>
            <w:r>
              <w:rPr>
                <w:rFonts w:ascii="Calibri" w:hAnsi="Calibri"/>
                <w:b w:val="0"/>
                <w:color w:val="1F1F1F"/>
                <w:sz w:val="14"/>
              </w:rPr>
              <w:t>Pain response</w:t>
            </w:r>
          </w:p>
        </w:tc>
        <w:tc>
          <w:tcPr>
            <w:tcW w:type="dxa" w:w="1944"/>
            <w:vAlign w:val="top"/>
          </w:tcPr>
          <w:p>
            <w:pPr>
              <w:spacing w:before="0" w:after="20" w:line="240" w:lineRule="auto"/>
            </w:pPr>
            <w:r/>
            <w:r>
              <w:rPr>
                <w:rFonts w:ascii="Calibri" w:hAnsi="Calibri"/>
                <w:b w:val="0"/>
                <w:color w:val="1F1F1F"/>
                <w:sz w:val="14"/>
              </w:rPr>
              <w:t>Pain response evaluable</w:t>
            </w:r>
          </w:p>
        </w:tc>
        <w:tc>
          <w:tcPr>
            <w:tcW w:type="dxa" w:w="2880"/>
            <w:vAlign w:val="top"/>
          </w:tcPr>
          <w:p>
            <w:pPr>
              <w:spacing w:before="0" w:after="20" w:line="240" w:lineRule="auto"/>
            </w:pPr>
            <w:r/>
            <w:r>
              <w:rPr>
                <w:rFonts w:ascii="Calibri" w:hAnsi="Calibri"/>
                <w:b w:val="0"/>
                <w:color w:val="1F1F1F"/>
                <w:sz w:val="14"/>
              </w:rPr>
              <w:t>Response rate and exact CI.</w:t>
            </w:r>
          </w:p>
        </w:tc>
        <w:tc>
          <w:tcPr>
            <w:tcW w:type="dxa" w:w="3240"/>
            <w:vAlign w:val="top"/>
          </w:tcPr>
          <w:p>
            <w:pPr>
              <w:spacing w:before="0" w:after="20" w:line="240" w:lineRule="auto"/>
            </w:pPr>
            <w:r/>
            <w:r>
              <w:rPr>
                <w:rFonts w:ascii="Calibri" w:hAnsi="Calibri"/>
                <w:b w:val="0"/>
                <w:color w:val="1F1F1F"/>
                <w:sz w:val="14"/>
              </w:rPr>
              <w:t>Diary completeness and baseline pain subgroup displays.</w:t>
            </w:r>
          </w:p>
        </w:tc>
      </w:tr>
    </w:tbl>
    <w:p/>
    <w:p>
      <w:pPr>
        <w:pStyle w:val="Heading1"/>
      </w:pPr>
      <w:r>
        <w:t>11. Safety analyses</w:t>
      </w:r>
    </w:p>
    <w:p>
      <w:pPr>
        <w:pStyle w:val="Heading2"/>
      </w:pPr>
      <w:r>
        <w:t>11.1 Safety population and windows</w:t>
      </w:r>
    </w:p>
    <w:p>
      <w:pPr>
        <w:pStyle w:val="ListBullet"/>
        <w:spacing w:after="40"/>
      </w:pPr>
      <w:r>
        <w:t>Safety analyses use the all-treated population and actual treatment received.</w:t>
      </w:r>
    </w:p>
    <w:p>
      <w:pPr>
        <w:pStyle w:val="ListBullet"/>
        <w:spacing w:after="40"/>
      </w:pPr>
      <w:r>
        <w:t>TEAE window begins at first dose and ends 30 days after last dose unless a protocol-specific SAE collection rule requires a broader window.</w:t>
      </w:r>
    </w:p>
    <w:p>
      <w:pPr>
        <w:pStyle w:val="ListBullet"/>
        <w:spacing w:after="40"/>
      </w:pPr>
      <w:r>
        <w:t>AE severity uses NCI CTCAE v3.0; coding uses MedDRA v12.0 for publication reconciliation.</w:t>
      </w:r>
    </w:p>
    <w:p>
      <w:pPr>
        <w:pStyle w:val="ListBullet"/>
        <w:spacing w:after="40"/>
      </w:pPr>
      <w:r>
        <w:t>The safety denominator is 371 per arm for publication targets. Current repo real patient-level safety analyses are MP-only unless complete CbzP IPD is obtained.</w:t>
      </w:r>
    </w:p>
    <w:p>
      <w:pPr>
        <w:pStyle w:val="Heading2"/>
      </w:pPr>
      <w:r>
        <w:t>11.2 Adverse events</w:t>
      </w:r>
    </w:p>
    <w:p>
      <w:pPr>
        <w:pStyle w:val="ListBullet"/>
        <w:spacing w:after="40"/>
      </w:pPr>
      <w:r>
        <w:t>Summaries include any TEAE, serious TEAE, grade &gt;=3 TEAE, TEAE leading to dose reduction, delay, discontinuation or death.</w:t>
      </w:r>
    </w:p>
    <w:p>
      <w:pPr>
        <w:pStyle w:val="ListBullet"/>
        <w:spacing w:after="40"/>
      </w:pPr>
      <w:r>
        <w:t>Subject-level incidence counts each subject once per SOC/PT/grade category using worst severity.</w:t>
      </w:r>
    </w:p>
    <w:p>
      <w:pPr>
        <w:pStyle w:val="ListBullet"/>
        <w:spacing w:after="40"/>
      </w:pPr>
      <w:r>
        <w:t>Haematological safety events are derived from laboratory grades where the publication defines them as lab-based.</w:t>
      </w:r>
    </w:p>
    <w:p>
      <w:pPr>
        <w:pStyle w:val="ListBullet"/>
        <w:spacing w:after="40"/>
      </w:pPr>
      <w:r>
        <w:t>OCCDS episode merging may be used for event episodes, but subject-level incidence must remain reviewable and traceable.</w:t>
      </w:r>
    </w:p>
    <w:p>
      <w:pPr>
        <w:pStyle w:val="Heading2"/>
      </w:pPr>
      <w:r>
        <w:t>11.3 Laboratory analyses</w:t>
      </w:r>
    </w:p>
    <w:p>
      <w:pPr>
        <w:pStyle w:val="ListBullet"/>
        <w:spacing w:after="40"/>
      </w:pPr>
      <w:r>
        <w:t>Laboratory analyses include baseline, scheduled cycle values, worst post-baseline grade, shift tables and nadir/recovery summaries.</w:t>
      </w:r>
    </w:p>
    <w:p>
      <w:pPr>
        <w:pStyle w:val="ListBullet"/>
        <w:spacing w:after="40"/>
      </w:pPr>
      <w:r>
        <w:t>Lab shift programming must deduplicate to one baseline and one worst post-baseline record per subject/parameter before cross-tabulation.</w:t>
      </w:r>
    </w:p>
    <w:p>
      <w:pPr>
        <w:pStyle w:val="ListBullet"/>
        <w:spacing w:after="40"/>
      </w:pPr>
      <w:r>
        <w:t>CTCAE grades must be traceable to source grade or independently derivable from lab value, unit and reference range.</w:t>
      </w:r>
    </w:p>
    <w:p>
      <w:pPr>
        <w:pStyle w:val="ListBullet"/>
        <w:spacing w:after="40"/>
      </w:pPr>
      <w:r>
        <w:t>Key haematology parameters include neutrophils/ANC, leukocytes, hemoglobin/anaemia and platelets/thrombocytopenia.</w:t>
      </w:r>
    </w:p>
    <w:p>
      <w:pPr>
        <w:pStyle w:val="Heading2"/>
      </w:pPr>
      <w:r>
        <w:t>11.4 Deaths and discontinuations</w:t>
      </w:r>
    </w:p>
    <w:p>
      <w:pPr>
        <w:pStyle w:val="ListBullet"/>
        <w:spacing w:after="40"/>
      </w:pPr>
      <w:r>
        <w:t>Deaths are summarized for ITT survival and separately for safety deaths within 30 days of last dose.</w:t>
      </w:r>
    </w:p>
    <w:p>
      <w:pPr>
        <w:pStyle w:val="ListBullet"/>
        <w:spacing w:after="40"/>
      </w:pPr>
      <w:r>
        <w:t>Discontinuation reasons must be produced from source/ADaM records. Placeholder listings are prohibited.</w:t>
      </w:r>
    </w:p>
    <w:p>
      <w:pPr>
        <w:pStyle w:val="ListBullet"/>
        <w:spacing w:after="40"/>
      </w:pPr>
      <w:r>
        <w:t>Any death or discontinuation listing must include USUBJID, treatment, relevant dates, reason/cause, source domain and traceability variables.</w:t>
      </w:r>
    </w:p>
    <w:p>
      <w:pPr>
        <w:pStyle w:val="Heading1"/>
      </w:pPr>
      <w:r>
        <w:t>12. Exposure, dose modification and Project Optimus exploratory analyses</w:t>
      </w:r>
    </w:p>
    <w:p>
      <w:pPr>
        <w:pStyle w:val="ListBullet"/>
        <w:spacing w:after="40"/>
      </w:pPr>
      <w:r>
        <w:t>Exposure summaries include cycles received, treatment duration, cumulative dose, planned dose, actual dose, relative dose intensity, dose reductions and delays.</w:t>
      </w:r>
    </w:p>
    <w:p>
      <w:pPr>
        <w:pStyle w:val="ListBullet"/>
        <w:spacing w:after="40"/>
      </w:pPr>
      <w:r>
        <w:t>RDI is actual cumulative dose divided by planned cumulative dose times 100, validated against SUPPEX anchors when available.</w:t>
      </w:r>
    </w:p>
    <w:p>
      <w:pPr>
        <w:pStyle w:val="ListBullet"/>
        <w:spacing w:after="40"/>
      </w:pPr>
      <w:r>
        <w:t>G-CSF use is summarized by timing, cycle and prophylactic/therapeutic status where source data permits.</w:t>
      </w:r>
    </w:p>
    <w:p>
      <w:pPr>
        <w:pStyle w:val="ListBullet"/>
        <w:spacing w:after="40"/>
      </w:pPr>
      <w:r>
        <w:t>Project Optimus analyses are retrospective and exploratory. They may structure dose/exposure-response thinking but cannot establish optimized dose for a historic completed trial.</w:t>
      </w:r>
    </w:p>
    <w:p>
      <w:pPr>
        <w:pStyle w:val="ListBullet"/>
        <w:spacing w:after="40"/>
      </w:pPr>
      <w:r>
        <w:t>Exploratory exposure-response outputs must separate real MP-only evidence from reconstructed CbzP demonstration data.</w:t>
      </w:r>
    </w:p>
    <w:p>
      <w:pPr>
        <w:pStyle w:val="Heading1"/>
      </w:pPr>
      <w:r>
        <w:t>13. Subgroup, sensitivity and supplementary analyses</w:t>
      </w:r>
    </w:p>
    <w:p>
      <w:pPr>
        <w:pStyle w:val="ListBullet"/>
        <w:spacing w:after="40"/>
      </w:pPr>
      <w:r>
        <w:t>Subgroup analyses are descriptive; no multiplicity adjustment is applied.</w:t>
      </w:r>
    </w:p>
    <w:p>
      <w:pPr>
        <w:pStyle w:val="ListBullet"/>
        <w:spacing w:after="40"/>
      </w:pPr>
      <w:r>
        <w:t>OS subgroup forest plots reproduce publication-defined subgroup categories where available.</w:t>
      </w:r>
    </w:p>
    <w:p>
      <w:pPr>
        <w:pStyle w:val="ListBullet"/>
        <w:spacing w:after="40"/>
      </w:pPr>
      <w:r>
        <w:t>Subgroups include ECOG PS, measurable disease status, pain baseline status, PSA status, prior chemotherapy regimens, age group and other publication-defined factors.</w:t>
      </w:r>
    </w:p>
    <w:p>
      <w:pPr>
        <w:pStyle w:val="ListBullet"/>
        <w:spacing w:after="40"/>
      </w:pPr>
      <w:r>
        <w:t>Subgroup counts may not sum to 755 when the publication documents missing/unknown classifications; missing status must be displayed or footnoted.</w:t>
      </w:r>
    </w:p>
    <w:p>
      <w:pPr>
        <w:pStyle w:val="ListBullet"/>
        <w:spacing w:after="40"/>
      </w:pPr>
      <w:r>
        <w:t>Sensitivity analyses must be specified before execution and must not replace the primary estimator unless an amendment is approved.</w:t>
      </w:r>
    </w:p>
    <w:p>
      <w:pPr>
        <w:pStyle w:val="Heading1"/>
      </w:pPr>
      <w:r>
        <w:t>14. Data handling, missing data, partial dates and visit windows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vAlign w:val="top"/>
            <w:shd w:fill="1F4E79"/>
          </w:tcPr>
          <w:p>
            <w:pPr>
              <w:spacing w:before="0" w:after="20" w:line="240" w:lineRule="auto"/>
            </w:pPr>
            <w:r/>
            <w:r>
              <w:rPr>
                <w:rFonts w:ascii="Calibri" w:hAnsi="Calibri"/>
                <w:b/>
                <w:color w:val="FFFFFF"/>
                <w:sz w:val="16"/>
              </w:rPr>
              <w:t>Topic</w:t>
            </w:r>
          </w:p>
        </w:tc>
        <w:tc>
          <w:tcPr>
            <w:tcW w:type="dxa" w:w="7272"/>
            <w:vAlign w:val="top"/>
            <w:shd w:fill="1F4E79"/>
          </w:tcPr>
          <w:p>
            <w:pPr>
              <w:spacing w:before="0" w:after="20" w:line="240" w:lineRule="auto"/>
            </w:pPr>
            <w:r/>
            <w:r>
              <w:rPr>
                <w:rFonts w:ascii="Calibri" w:hAnsi="Calibri"/>
                <w:b/>
                <w:color w:val="FFFFFF"/>
                <w:sz w:val="16"/>
              </w:rPr>
              <w:t>Rule</w:t>
            </w:r>
          </w:p>
        </w:tc>
      </w:tr>
      <w:tr>
        <w:tc>
          <w:tcPr>
            <w:tcW w:type="dxa" w:w="2088"/>
            <w:vAlign w:val="top"/>
          </w:tcPr>
          <w:p>
            <w:pPr>
              <w:spacing w:before="0" w:after="20" w:line="240" w:lineRule="auto"/>
            </w:pPr>
            <w:r/>
            <w:r>
              <w:rPr>
                <w:rFonts w:ascii="Calibri" w:hAnsi="Calibri"/>
                <w:b w:val="0"/>
                <w:color w:val="1F1F1F"/>
                <w:sz w:val="16"/>
              </w:rPr>
              <w:t>Missing efficacy outcome</w:t>
            </w:r>
          </w:p>
        </w:tc>
        <w:tc>
          <w:tcPr>
            <w:tcW w:type="dxa" w:w="7272"/>
            <w:vAlign w:val="top"/>
          </w:tcPr>
          <w:p>
            <w:pPr>
              <w:spacing w:before="0" w:after="20" w:line="240" w:lineRule="auto"/>
            </w:pPr>
            <w:r/>
            <w:r>
              <w:rPr>
                <w:rFonts w:ascii="Calibri" w:hAnsi="Calibri"/>
                <w:b w:val="0"/>
                <w:color w:val="1F1F1F"/>
                <w:sz w:val="16"/>
              </w:rPr>
              <w:t>Use endpoint-specific censoring or non-responder rules. Do not impute response success.</w:t>
            </w:r>
          </w:p>
        </w:tc>
      </w:tr>
      <w:tr>
        <w:tc>
          <w:tcPr>
            <w:tcW w:type="dxa" w:w="2088"/>
            <w:vAlign w:val="top"/>
          </w:tcPr>
          <w:p>
            <w:pPr>
              <w:spacing w:before="0" w:after="20" w:line="240" w:lineRule="auto"/>
            </w:pPr>
            <w:r/>
            <w:r>
              <w:rPr>
                <w:rFonts w:ascii="Calibri" w:hAnsi="Calibri"/>
                <w:b w:val="0"/>
                <w:color w:val="1F1F1F"/>
                <w:sz w:val="16"/>
              </w:rPr>
              <w:t>Partial dates</w:t>
            </w:r>
          </w:p>
        </w:tc>
        <w:tc>
          <w:tcPr>
            <w:tcW w:type="dxa" w:w="7272"/>
            <w:vAlign w:val="top"/>
          </w:tcPr>
          <w:p>
            <w:pPr>
              <w:spacing w:before="0" w:after="20" w:line="240" w:lineRule="auto"/>
            </w:pPr>
            <w:r/>
            <w:r>
              <w:rPr>
                <w:rFonts w:ascii="Calibri" w:hAnsi="Calibri"/>
                <w:b w:val="0"/>
                <w:color w:val="1F1F1F"/>
                <w:sz w:val="16"/>
              </w:rPr>
              <w:t>Do not invent date components in source data. Use conservative bounds for classification and sensitivity analyses where partial dates affect treatment-emergent or time-to-event status.</w:t>
            </w:r>
          </w:p>
        </w:tc>
      </w:tr>
      <w:tr>
        <w:tc>
          <w:tcPr>
            <w:tcW w:type="dxa" w:w="2088"/>
            <w:vAlign w:val="top"/>
          </w:tcPr>
          <w:p>
            <w:pPr>
              <w:spacing w:before="0" w:after="20" w:line="240" w:lineRule="auto"/>
            </w:pPr>
            <w:r/>
            <w:r>
              <w:rPr>
                <w:rFonts w:ascii="Calibri" w:hAnsi="Calibri"/>
                <w:b w:val="0"/>
                <w:color w:val="1F1F1F"/>
                <w:sz w:val="16"/>
              </w:rPr>
              <w:t>Week-offset dates</w:t>
            </w:r>
          </w:p>
        </w:tc>
        <w:tc>
          <w:tcPr>
            <w:tcW w:type="dxa" w:w="7272"/>
            <w:vAlign w:val="top"/>
          </w:tcPr>
          <w:p>
            <w:pPr>
              <w:spacing w:before="0" w:after="20" w:line="240" w:lineRule="auto"/>
            </w:pPr>
            <w:r/>
            <w:r>
              <w:rPr>
                <w:rFonts w:ascii="Calibri" w:hAnsi="Calibri"/>
                <w:b w:val="0"/>
                <w:color w:val="1F1F1F"/>
                <w:sz w:val="16"/>
              </w:rPr>
              <w:t>AE/DS timing stored as integer weeks is reconstructed using RFSTDTC plus (week-1)*7, with +/-3.5 day uncertainty disclosed.</w:t>
            </w:r>
          </w:p>
        </w:tc>
      </w:tr>
      <w:tr>
        <w:tc>
          <w:tcPr>
            <w:tcW w:type="dxa" w:w="2088"/>
            <w:vAlign w:val="top"/>
          </w:tcPr>
          <w:p>
            <w:pPr>
              <w:spacing w:before="0" w:after="20" w:line="240" w:lineRule="auto"/>
            </w:pPr>
            <w:r/>
            <w:r>
              <w:rPr>
                <w:rFonts w:ascii="Calibri" w:hAnsi="Calibri"/>
                <w:b w:val="0"/>
                <w:color w:val="1F1F1F"/>
                <w:sz w:val="16"/>
              </w:rPr>
              <w:t>Duplicate records</w:t>
            </w:r>
          </w:p>
        </w:tc>
        <w:tc>
          <w:tcPr>
            <w:tcW w:type="dxa" w:w="7272"/>
            <w:vAlign w:val="top"/>
          </w:tcPr>
          <w:p>
            <w:pPr>
              <w:spacing w:before="0" w:after="20" w:line="240" w:lineRule="auto"/>
            </w:pPr>
            <w:r/>
            <w:r>
              <w:rPr>
                <w:rFonts w:ascii="Calibri" w:hAnsi="Calibri"/>
                <w:b w:val="0"/>
                <w:color w:val="1F1F1F"/>
                <w:sz w:val="16"/>
              </w:rPr>
              <w:t>Define parameter-specific tie-breakers before analysis. Retain flags showing selected records.</w:t>
            </w:r>
          </w:p>
        </w:tc>
      </w:tr>
      <w:tr>
        <w:tc>
          <w:tcPr>
            <w:tcW w:type="dxa" w:w="2088"/>
            <w:vAlign w:val="top"/>
          </w:tcPr>
          <w:p>
            <w:pPr>
              <w:spacing w:before="0" w:after="20" w:line="240" w:lineRule="auto"/>
            </w:pPr>
            <w:r/>
            <w:r>
              <w:rPr>
                <w:rFonts w:ascii="Calibri" w:hAnsi="Calibri"/>
                <w:b w:val="0"/>
                <w:color w:val="1F1F1F"/>
                <w:sz w:val="16"/>
              </w:rPr>
              <w:t>Outliers</w:t>
            </w:r>
          </w:p>
        </w:tc>
        <w:tc>
          <w:tcPr>
            <w:tcW w:type="dxa" w:w="7272"/>
            <w:vAlign w:val="top"/>
          </w:tcPr>
          <w:p>
            <w:pPr>
              <w:spacing w:before="0" w:after="20" w:line="240" w:lineRule="auto"/>
            </w:pPr>
            <w:r/>
            <w:r>
              <w:rPr>
                <w:rFonts w:ascii="Calibri" w:hAnsi="Calibri"/>
                <w:b w:val="0"/>
                <w:color w:val="1F1F1F"/>
                <w:sz w:val="16"/>
              </w:rPr>
              <w:t>Do not exclude clinical values solely because they are extreme. Flag, review and document source/data-query status.</w:t>
            </w:r>
          </w:p>
        </w:tc>
      </w:tr>
      <w:tr>
        <w:tc>
          <w:tcPr>
            <w:tcW w:type="dxa" w:w="2088"/>
            <w:vAlign w:val="top"/>
          </w:tcPr>
          <w:p>
            <w:pPr>
              <w:spacing w:before="0" w:after="20" w:line="240" w:lineRule="auto"/>
            </w:pPr>
            <w:r/>
            <w:r>
              <w:rPr>
                <w:rFonts w:ascii="Calibri" w:hAnsi="Calibri"/>
                <w:b w:val="0"/>
                <w:color w:val="1F1F1F"/>
                <w:sz w:val="16"/>
              </w:rPr>
              <w:t>Synthetic data</w:t>
            </w:r>
          </w:p>
        </w:tc>
        <w:tc>
          <w:tcPr>
            <w:tcW w:type="dxa" w:w="7272"/>
            <w:vAlign w:val="top"/>
          </w:tcPr>
          <w:p>
            <w:pPr>
              <w:spacing w:before="0" w:after="20" w:line="240" w:lineRule="auto"/>
            </w:pPr>
            <w:r/>
            <w:r>
              <w:rPr>
                <w:rFonts w:ascii="Calibri" w:hAnsi="Calibri"/>
                <w:b w:val="0"/>
                <w:color w:val="1F1F1F"/>
                <w:sz w:val="16"/>
              </w:rPr>
              <w:t>Synthetic records must carry derivation/provenance flags and must not be mixed into real-data validation denominators.</w:t>
            </w:r>
          </w:p>
        </w:tc>
      </w:tr>
      <w:tr>
        <w:tc>
          <w:tcPr>
            <w:tcW w:type="dxa" w:w="2088"/>
            <w:vAlign w:val="top"/>
          </w:tcPr>
          <w:p>
            <w:pPr>
              <w:spacing w:before="0" w:after="20" w:line="240" w:lineRule="auto"/>
            </w:pPr>
            <w:r/>
            <w:r>
              <w:rPr>
                <w:rFonts w:ascii="Calibri" w:hAnsi="Calibri"/>
                <w:b w:val="0"/>
                <w:color w:val="1F1F1F"/>
                <w:sz w:val="16"/>
              </w:rPr>
              <w:t>Analysis-day convention</w:t>
            </w:r>
          </w:p>
        </w:tc>
        <w:tc>
          <w:tcPr>
            <w:tcW w:type="dxa" w:w="7272"/>
            <w:vAlign w:val="top"/>
          </w:tcPr>
          <w:p>
            <w:pPr>
              <w:spacing w:before="0" w:after="20" w:line="240" w:lineRule="auto"/>
            </w:pPr>
            <w:r/>
            <w:r>
              <w:rPr>
                <w:rFonts w:ascii="Calibri" w:hAnsi="Calibri"/>
                <w:b w:val="0"/>
                <w:color w:val="1F1F1F"/>
                <w:sz w:val="16"/>
              </w:rPr>
              <w:t>ADY is date minus reference start date plus one for dates on/after reference start; negative days follow CDISC convention.</w:t>
            </w:r>
          </w:p>
        </w:tc>
      </w:tr>
    </w:tbl>
    <w:p/>
    <w:p>
      <w:pPr>
        <w:pStyle w:val="Heading1"/>
      </w:pPr>
      <w:r>
        <w:t>15. CDISC implementation and metadata traceability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08"/>
            <w:vAlign w:val="top"/>
            <w:shd w:fill="1F4E79"/>
          </w:tcPr>
          <w:p>
            <w:pPr>
              <w:spacing w:before="0" w:after="20" w:line="240" w:lineRule="auto"/>
            </w:pPr>
            <w:r/>
            <w:r>
              <w:rPr>
                <w:rFonts w:ascii="Calibri" w:hAnsi="Calibri"/>
                <w:b/>
                <w:color w:val="FFFFFF"/>
                <w:sz w:val="14"/>
              </w:rPr>
              <w:t>Dataset</w:t>
            </w:r>
          </w:p>
        </w:tc>
        <w:tc>
          <w:tcPr>
            <w:tcW w:type="dxa" w:w="1728"/>
            <w:vAlign w:val="top"/>
            <w:shd w:fill="1F4E79"/>
          </w:tcPr>
          <w:p>
            <w:pPr>
              <w:spacing w:before="0" w:after="20" w:line="240" w:lineRule="auto"/>
            </w:pPr>
            <w:r/>
            <w:r>
              <w:rPr>
                <w:rFonts w:ascii="Calibri" w:hAnsi="Calibri"/>
                <w:b/>
                <w:color w:val="FFFFFF"/>
                <w:sz w:val="14"/>
              </w:rPr>
              <w:t>Class</w:t>
            </w:r>
          </w:p>
        </w:tc>
        <w:tc>
          <w:tcPr>
            <w:tcW w:type="dxa" w:w="1800"/>
            <w:vAlign w:val="top"/>
            <w:shd w:fill="1F4E79"/>
          </w:tcPr>
          <w:p>
            <w:pPr>
              <w:spacing w:before="0" w:after="20" w:line="240" w:lineRule="auto"/>
            </w:pPr>
            <w:r/>
            <w:r>
              <w:rPr>
                <w:rFonts w:ascii="Calibri" w:hAnsi="Calibri"/>
                <w:b/>
                <w:color w:val="FFFFFF"/>
                <w:sz w:val="14"/>
              </w:rPr>
              <w:t>Structure</w:t>
            </w:r>
          </w:p>
        </w:tc>
        <w:tc>
          <w:tcPr>
            <w:tcW w:type="dxa" w:w="1152"/>
            <w:vAlign w:val="top"/>
            <w:shd w:fill="1F4E79"/>
          </w:tcPr>
          <w:p>
            <w:pPr>
              <w:spacing w:before="0" w:after="20" w:line="240" w:lineRule="auto"/>
            </w:pPr>
            <w:r/>
            <w:r>
              <w:rPr>
                <w:rFonts w:ascii="Calibri" w:hAnsi="Calibri"/>
                <w:b/>
                <w:color w:val="FFFFFF"/>
                <w:sz w:val="14"/>
              </w:rPr>
              <w:t>Variable count</w:t>
            </w:r>
          </w:p>
        </w:tc>
        <w:tc>
          <w:tcPr>
            <w:tcW w:type="dxa" w:w="3672"/>
            <w:vAlign w:val="top"/>
            <w:shd w:fill="1F4E79"/>
          </w:tcPr>
          <w:p>
            <w:pPr>
              <w:spacing w:before="0" w:after="20" w:line="240" w:lineRule="auto"/>
            </w:pPr>
            <w:r/>
            <w:r>
              <w:rPr>
                <w:rFonts w:ascii="Calibri" w:hAnsi="Calibri"/>
                <w:b/>
                <w:color w:val="FFFFFF"/>
                <w:sz w:val="14"/>
              </w:rPr>
              <w:t>Purpose</w:t>
            </w:r>
          </w:p>
        </w:tc>
      </w:tr>
      <w:tr>
        <w:tc>
          <w:tcPr>
            <w:tcW w:type="dxa" w:w="1008"/>
            <w:vAlign w:val="top"/>
          </w:tcPr>
          <w:p>
            <w:pPr>
              <w:spacing w:before="0" w:after="20" w:line="240" w:lineRule="auto"/>
            </w:pPr>
            <w:r/>
            <w:r>
              <w:rPr>
                <w:rFonts w:ascii="Calibri" w:hAnsi="Calibri"/>
                <w:b w:val="0"/>
                <w:color w:val="1F1F1F"/>
                <w:sz w:val="14"/>
              </w:rPr>
              <w:t>ADSL</w:t>
            </w:r>
          </w:p>
        </w:tc>
        <w:tc>
          <w:tcPr>
            <w:tcW w:type="dxa" w:w="1728"/>
            <w:vAlign w:val="top"/>
          </w:tcPr>
          <w:p>
            <w:pPr>
              <w:spacing w:before="0" w:after="20" w:line="240" w:lineRule="auto"/>
            </w:pPr>
            <w:r/>
            <w:r>
              <w:rPr>
                <w:rFonts w:ascii="Calibri" w:hAnsi="Calibri"/>
                <w:b w:val="0"/>
                <w:color w:val="1F1F1F"/>
                <w:sz w:val="14"/>
              </w:rPr>
              <w:t>SUBJECT LEVEL ANALYSIS DATASET</w:t>
            </w:r>
          </w:p>
        </w:tc>
        <w:tc>
          <w:tcPr>
            <w:tcW w:type="dxa" w:w="1800"/>
            <w:vAlign w:val="top"/>
          </w:tcPr>
          <w:p>
            <w:pPr>
              <w:spacing w:before="0" w:after="20" w:line="240" w:lineRule="auto"/>
            </w:pPr>
            <w:r/>
            <w:r>
              <w:rPr>
                <w:rFonts w:ascii="Calibri" w:hAnsi="Calibri"/>
                <w:b w:val="0"/>
                <w:color w:val="1F1F1F"/>
                <w:sz w:val="14"/>
              </w:rPr>
              <w:t>One record per subject</w:t>
            </w:r>
          </w:p>
        </w:tc>
        <w:tc>
          <w:tcPr>
            <w:tcW w:type="dxa" w:w="1152"/>
            <w:vAlign w:val="top"/>
          </w:tcPr>
          <w:p>
            <w:pPr>
              <w:spacing w:before="0" w:after="20" w:line="240" w:lineRule="auto"/>
            </w:pPr>
            <w:r/>
            <w:r>
              <w:rPr>
                <w:rFonts w:ascii="Calibri" w:hAnsi="Calibri"/>
                <w:b w:val="0"/>
                <w:color w:val="1F1F1F"/>
                <w:sz w:val="14"/>
              </w:rPr>
              <w:t>42</w:t>
            </w:r>
          </w:p>
        </w:tc>
        <w:tc>
          <w:tcPr>
            <w:tcW w:type="dxa" w:w="3672"/>
            <w:vAlign w:val="top"/>
          </w:tcPr>
          <w:p>
            <w:pPr>
              <w:spacing w:before="0" w:after="20" w:line="240" w:lineRule="auto"/>
            </w:pPr>
            <w:r/>
            <w:r>
              <w:rPr>
                <w:rFonts w:ascii="Calibri" w:hAnsi="Calibri"/>
                <w:b w:val="0"/>
                <w:color w:val="1F1F1F"/>
                <w:sz w:val="14"/>
              </w:rPr>
              <w:t>Subject-level characteristics, treatment allocations, survival, and baseline covariates.</w:t>
            </w:r>
          </w:p>
        </w:tc>
      </w:tr>
      <w:tr>
        <w:tc>
          <w:tcPr>
            <w:tcW w:type="dxa" w:w="1008"/>
            <w:vAlign w:val="top"/>
          </w:tcPr>
          <w:p>
            <w:pPr>
              <w:spacing w:before="0" w:after="20" w:line="240" w:lineRule="auto"/>
            </w:pPr>
            <w:r/>
            <w:r>
              <w:rPr>
                <w:rFonts w:ascii="Calibri" w:hAnsi="Calibri"/>
                <w:b w:val="0"/>
                <w:color w:val="1F1F1F"/>
                <w:sz w:val="14"/>
              </w:rPr>
              <w:t>ADEX</w:t>
            </w:r>
          </w:p>
        </w:tc>
        <w:tc>
          <w:tcPr>
            <w:tcW w:type="dxa" w:w="1728"/>
            <w:vAlign w:val="top"/>
          </w:tcPr>
          <w:p>
            <w:pPr>
              <w:spacing w:before="0" w:after="20" w:line="240" w:lineRule="auto"/>
            </w:pPr>
            <w:r/>
            <w:r>
              <w:rPr>
                <w:rFonts w:ascii="Calibri" w:hAnsi="Calibri"/>
                <w:b w:val="0"/>
                <w:color w:val="1F1F1F"/>
                <w:sz w:val="14"/>
              </w:rPr>
              <w:t>BASIC DATA STRUCTURE</w:t>
            </w:r>
          </w:p>
        </w:tc>
        <w:tc>
          <w:tcPr>
            <w:tcW w:type="dxa" w:w="1800"/>
            <w:vAlign w:val="top"/>
          </w:tcPr>
          <w:p>
            <w:pPr>
              <w:spacing w:before="0" w:after="20" w:line="240" w:lineRule="auto"/>
            </w:pPr>
            <w:r/>
            <w:r>
              <w:rPr>
                <w:rFonts w:ascii="Calibri" w:hAnsi="Calibri"/>
                <w:b w:val="0"/>
                <w:color w:val="1F1F1F"/>
                <w:sz w:val="14"/>
              </w:rPr>
              <w:t>One record per subject per parameter per visit</w:t>
            </w:r>
          </w:p>
        </w:tc>
        <w:tc>
          <w:tcPr>
            <w:tcW w:type="dxa" w:w="1152"/>
            <w:vAlign w:val="top"/>
          </w:tcPr>
          <w:p>
            <w:pPr>
              <w:spacing w:before="0" w:after="20" w:line="240" w:lineRule="auto"/>
            </w:pPr>
            <w:r/>
            <w:r>
              <w:rPr>
                <w:rFonts w:ascii="Calibri" w:hAnsi="Calibri"/>
                <w:b w:val="0"/>
                <w:color w:val="1F1F1F"/>
                <w:sz w:val="14"/>
              </w:rPr>
              <w:t>14</w:t>
            </w:r>
          </w:p>
        </w:tc>
        <w:tc>
          <w:tcPr>
            <w:tcW w:type="dxa" w:w="3672"/>
            <w:vAlign w:val="top"/>
          </w:tcPr>
          <w:p>
            <w:pPr>
              <w:spacing w:before="0" w:after="20" w:line="240" w:lineRule="auto"/>
            </w:pPr>
            <w:r/>
            <w:r>
              <w:rPr>
                <w:rFonts w:ascii="Calibri" w:hAnsi="Calibri"/>
                <w:b w:val="0"/>
                <w:color w:val="1F1F1F"/>
                <w:sz w:val="14"/>
              </w:rPr>
              <w:t>Cycle-level actual dose performance, cumulative exposure, actual/planned dose intensities, and RDI calculations.</w:t>
            </w:r>
          </w:p>
        </w:tc>
      </w:tr>
      <w:tr>
        <w:tc>
          <w:tcPr>
            <w:tcW w:type="dxa" w:w="1008"/>
            <w:vAlign w:val="top"/>
          </w:tcPr>
          <w:p>
            <w:pPr>
              <w:spacing w:before="0" w:after="20" w:line="240" w:lineRule="auto"/>
            </w:pPr>
            <w:r/>
            <w:r>
              <w:rPr>
                <w:rFonts w:ascii="Calibri" w:hAnsi="Calibri"/>
                <w:b w:val="0"/>
                <w:color w:val="1F1F1F"/>
                <w:sz w:val="14"/>
              </w:rPr>
              <w:t>ADCM</w:t>
            </w:r>
          </w:p>
        </w:tc>
        <w:tc>
          <w:tcPr>
            <w:tcW w:type="dxa" w:w="1728"/>
            <w:vAlign w:val="top"/>
          </w:tcPr>
          <w:p>
            <w:pPr>
              <w:spacing w:before="0" w:after="20" w:line="240" w:lineRule="auto"/>
            </w:pPr>
            <w:r/>
            <w:r>
              <w:rPr>
                <w:rFonts w:ascii="Calibri" w:hAnsi="Calibri"/>
                <w:b w:val="0"/>
                <w:color w:val="1F1F1F"/>
                <w:sz w:val="14"/>
              </w:rPr>
              <w:t>OCCURRENCE DATA STRUCTURE</w:t>
            </w:r>
          </w:p>
        </w:tc>
        <w:tc>
          <w:tcPr>
            <w:tcW w:type="dxa" w:w="1800"/>
            <w:vAlign w:val="top"/>
          </w:tcPr>
          <w:p>
            <w:pPr>
              <w:spacing w:before="0" w:after="20" w:line="240" w:lineRule="auto"/>
            </w:pPr>
            <w:r/>
            <w:r>
              <w:rPr>
                <w:rFonts w:ascii="Calibri" w:hAnsi="Calibri"/>
                <w:b w:val="0"/>
                <w:color w:val="1F1F1F"/>
                <w:sz w:val="14"/>
              </w:rPr>
              <w:t>One record per subject per medication</w:t>
            </w:r>
          </w:p>
        </w:tc>
        <w:tc>
          <w:tcPr>
            <w:tcW w:type="dxa" w:w="1152"/>
            <w:vAlign w:val="top"/>
          </w:tcPr>
          <w:p>
            <w:pPr>
              <w:spacing w:before="0" w:after="20" w:line="240" w:lineRule="auto"/>
            </w:pPr>
            <w:r/>
            <w:r>
              <w:rPr>
                <w:rFonts w:ascii="Calibri" w:hAnsi="Calibri"/>
                <w:b w:val="0"/>
                <w:color w:val="1F1F1F"/>
                <w:sz w:val="14"/>
              </w:rPr>
              <w:t>15</w:t>
            </w:r>
          </w:p>
        </w:tc>
        <w:tc>
          <w:tcPr>
            <w:tcW w:type="dxa" w:w="3672"/>
            <w:vAlign w:val="top"/>
          </w:tcPr>
          <w:p>
            <w:pPr>
              <w:spacing w:before="0" w:after="20" w:line="240" w:lineRule="auto"/>
            </w:pPr>
            <w:r/>
            <w:r>
              <w:rPr>
                <w:rFonts w:ascii="Calibri" w:hAnsi="Calibri"/>
                <w:b w:val="0"/>
                <w:color w:val="1F1F1F"/>
                <w:sz w:val="14"/>
              </w:rPr>
              <w:t>Concomitant medication usage including G-CSF prophylaxis markers, prednisone compliance, and NACT timelines.</w:t>
            </w:r>
          </w:p>
        </w:tc>
      </w:tr>
      <w:tr>
        <w:tc>
          <w:tcPr>
            <w:tcW w:type="dxa" w:w="1008"/>
            <w:vAlign w:val="top"/>
          </w:tcPr>
          <w:p>
            <w:pPr>
              <w:spacing w:before="0" w:after="20" w:line="240" w:lineRule="auto"/>
            </w:pPr>
            <w:r/>
            <w:r>
              <w:rPr>
                <w:rFonts w:ascii="Calibri" w:hAnsi="Calibri"/>
                <w:b w:val="0"/>
                <w:color w:val="1F1F1F"/>
                <w:sz w:val="14"/>
              </w:rPr>
              <w:t>ADAE</w:t>
            </w:r>
          </w:p>
        </w:tc>
        <w:tc>
          <w:tcPr>
            <w:tcW w:type="dxa" w:w="1728"/>
            <w:vAlign w:val="top"/>
          </w:tcPr>
          <w:p>
            <w:pPr>
              <w:spacing w:before="0" w:after="20" w:line="240" w:lineRule="auto"/>
            </w:pPr>
            <w:r/>
            <w:r>
              <w:rPr>
                <w:rFonts w:ascii="Calibri" w:hAnsi="Calibri"/>
                <w:b w:val="0"/>
                <w:color w:val="1F1F1F"/>
                <w:sz w:val="14"/>
              </w:rPr>
              <w:t>OCCURRENCE DATA STRUCTURE</w:t>
            </w:r>
          </w:p>
        </w:tc>
        <w:tc>
          <w:tcPr>
            <w:tcW w:type="dxa" w:w="1800"/>
            <w:vAlign w:val="top"/>
          </w:tcPr>
          <w:p>
            <w:pPr>
              <w:spacing w:before="0" w:after="20" w:line="240" w:lineRule="auto"/>
            </w:pPr>
            <w:r/>
            <w:r>
              <w:rPr>
                <w:rFonts w:ascii="Calibri" w:hAnsi="Calibri"/>
                <w:b w:val="0"/>
                <w:color w:val="1F1F1F"/>
                <w:sz w:val="14"/>
              </w:rPr>
              <w:t>One record per subject per adverse event</w:t>
            </w:r>
          </w:p>
        </w:tc>
        <w:tc>
          <w:tcPr>
            <w:tcW w:type="dxa" w:w="1152"/>
            <w:vAlign w:val="top"/>
          </w:tcPr>
          <w:p>
            <w:pPr>
              <w:spacing w:before="0" w:after="20" w:line="240" w:lineRule="auto"/>
            </w:pPr>
            <w:r/>
            <w:r>
              <w:rPr>
                <w:rFonts w:ascii="Calibri" w:hAnsi="Calibri"/>
                <w:b w:val="0"/>
                <w:color w:val="1F1F1F"/>
                <w:sz w:val="14"/>
              </w:rPr>
              <w:t>29</w:t>
            </w:r>
          </w:p>
        </w:tc>
        <w:tc>
          <w:tcPr>
            <w:tcW w:type="dxa" w:w="3672"/>
            <w:vAlign w:val="top"/>
          </w:tcPr>
          <w:p>
            <w:pPr>
              <w:spacing w:before="0" w:after="20" w:line="240" w:lineRule="auto"/>
            </w:pPr>
            <w:r/>
            <w:r>
              <w:rPr>
                <w:rFonts w:ascii="Calibri" w:hAnsi="Calibri"/>
                <w:b w:val="0"/>
                <w:color w:val="1F1F1F"/>
                <w:sz w:val="14"/>
              </w:rPr>
              <w:t>Treatment-emergent adverse events, severity classifications, serious AEs, and custom myelosuppressive episode merging.</w:t>
            </w:r>
          </w:p>
        </w:tc>
      </w:tr>
      <w:tr>
        <w:tc>
          <w:tcPr>
            <w:tcW w:type="dxa" w:w="1008"/>
            <w:vAlign w:val="top"/>
          </w:tcPr>
          <w:p>
            <w:pPr>
              <w:spacing w:before="0" w:after="20" w:line="240" w:lineRule="auto"/>
            </w:pPr>
            <w:r/>
            <w:r>
              <w:rPr>
                <w:rFonts w:ascii="Calibri" w:hAnsi="Calibri"/>
                <w:b w:val="0"/>
                <w:color w:val="1F1F1F"/>
                <w:sz w:val="14"/>
              </w:rPr>
              <w:t>ADLB</w:t>
            </w:r>
          </w:p>
        </w:tc>
        <w:tc>
          <w:tcPr>
            <w:tcW w:type="dxa" w:w="1728"/>
            <w:vAlign w:val="top"/>
          </w:tcPr>
          <w:p>
            <w:pPr>
              <w:spacing w:before="0" w:after="20" w:line="240" w:lineRule="auto"/>
            </w:pPr>
            <w:r/>
            <w:r>
              <w:rPr>
                <w:rFonts w:ascii="Calibri" w:hAnsi="Calibri"/>
                <w:b w:val="0"/>
                <w:color w:val="1F1F1F"/>
                <w:sz w:val="14"/>
              </w:rPr>
              <w:t>BASIC DATA STRUCTURE</w:t>
            </w:r>
          </w:p>
        </w:tc>
        <w:tc>
          <w:tcPr>
            <w:tcW w:type="dxa" w:w="1800"/>
            <w:vAlign w:val="top"/>
          </w:tcPr>
          <w:p>
            <w:pPr>
              <w:spacing w:before="0" w:after="20" w:line="240" w:lineRule="auto"/>
            </w:pPr>
            <w:r/>
            <w:r>
              <w:rPr>
                <w:rFonts w:ascii="Calibri" w:hAnsi="Calibri"/>
                <w:b w:val="0"/>
                <w:color w:val="1F1F1F"/>
                <w:sz w:val="14"/>
              </w:rPr>
              <w:t>One record per subject per parameter per visit</w:t>
            </w:r>
          </w:p>
        </w:tc>
        <w:tc>
          <w:tcPr>
            <w:tcW w:type="dxa" w:w="1152"/>
            <w:vAlign w:val="top"/>
          </w:tcPr>
          <w:p>
            <w:pPr>
              <w:spacing w:before="0" w:after="20" w:line="240" w:lineRule="auto"/>
            </w:pPr>
            <w:r/>
            <w:r>
              <w:rPr>
                <w:rFonts w:ascii="Calibri" w:hAnsi="Calibri"/>
                <w:b w:val="0"/>
                <w:color w:val="1F1F1F"/>
                <w:sz w:val="14"/>
              </w:rPr>
              <w:t>27</w:t>
            </w:r>
          </w:p>
        </w:tc>
        <w:tc>
          <w:tcPr>
            <w:tcW w:type="dxa" w:w="3672"/>
            <w:vAlign w:val="top"/>
          </w:tcPr>
          <w:p>
            <w:pPr>
              <w:spacing w:before="0" w:after="20" w:line="240" w:lineRule="auto"/>
            </w:pPr>
            <w:r/>
            <w:r>
              <w:rPr>
                <w:rFonts w:ascii="Calibri" w:hAnsi="Calibri"/>
                <w:b w:val="0"/>
                <w:color w:val="1F1F1F"/>
                <w:sz w:val="14"/>
              </w:rPr>
              <w:t>Longitudinal absolute laboratory measurements, CTCAE grading, Worst-in-window flags (ANL01FL), and continuous nadir models.</w:t>
            </w:r>
          </w:p>
        </w:tc>
      </w:tr>
      <w:tr>
        <w:tc>
          <w:tcPr>
            <w:tcW w:type="dxa" w:w="1008"/>
            <w:vAlign w:val="top"/>
          </w:tcPr>
          <w:p>
            <w:pPr>
              <w:spacing w:before="0" w:after="20" w:line="240" w:lineRule="auto"/>
            </w:pPr>
            <w:r/>
            <w:r>
              <w:rPr>
                <w:rFonts w:ascii="Calibri" w:hAnsi="Calibri"/>
                <w:b w:val="0"/>
                <w:color w:val="1F1F1F"/>
                <w:sz w:val="14"/>
              </w:rPr>
              <w:t>ADRS</w:t>
            </w:r>
          </w:p>
        </w:tc>
        <w:tc>
          <w:tcPr>
            <w:tcW w:type="dxa" w:w="1728"/>
            <w:vAlign w:val="top"/>
          </w:tcPr>
          <w:p>
            <w:pPr>
              <w:spacing w:before="0" w:after="20" w:line="240" w:lineRule="auto"/>
            </w:pPr>
            <w:r/>
            <w:r>
              <w:rPr>
                <w:rFonts w:ascii="Calibri" w:hAnsi="Calibri"/>
                <w:b w:val="0"/>
                <w:color w:val="1F1F1F"/>
                <w:sz w:val="14"/>
              </w:rPr>
              <w:t>BASIC DATA STRUCTURE</w:t>
            </w:r>
          </w:p>
        </w:tc>
        <w:tc>
          <w:tcPr>
            <w:tcW w:type="dxa" w:w="1800"/>
            <w:vAlign w:val="top"/>
          </w:tcPr>
          <w:p>
            <w:pPr>
              <w:spacing w:before="0" w:after="20" w:line="240" w:lineRule="auto"/>
            </w:pPr>
            <w:r/>
            <w:r>
              <w:rPr>
                <w:rFonts w:ascii="Calibri" w:hAnsi="Calibri"/>
                <w:b w:val="0"/>
                <w:color w:val="1F1F1F"/>
                <w:sz w:val="14"/>
              </w:rPr>
              <w:t>One record per subject per parameter per visit</w:t>
            </w:r>
          </w:p>
        </w:tc>
        <w:tc>
          <w:tcPr>
            <w:tcW w:type="dxa" w:w="1152"/>
            <w:vAlign w:val="top"/>
          </w:tcPr>
          <w:p>
            <w:pPr>
              <w:spacing w:before="0" w:after="20" w:line="240" w:lineRule="auto"/>
            </w:pPr>
            <w:r/>
            <w:r>
              <w:rPr>
                <w:rFonts w:ascii="Calibri" w:hAnsi="Calibri"/>
                <w:b w:val="0"/>
                <w:color w:val="1F1F1F"/>
                <w:sz w:val="14"/>
              </w:rPr>
              <w:t>13</w:t>
            </w:r>
          </w:p>
        </w:tc>
        <w:tc>
          <w:tcPr>
            <w:tcW w:type="dxa" w:w="3672"/>
            <w:vAlign w:val="top"/>
          </w:tcPr>
          <w:p>
            <w:pPr>
              <w:spacing w:before="0" w:after="20" w:line="240" w:lineRule="auto"/>
            </w:pPr>
            <w:r/>
            <w:r>
              <w:rPr>
                <w:rFonts w:ascii="Calibri" w:hAnsi="Calibri"/>
                <w:b w:val="0"/>
                <w:color w:val="1F1F1F"/>
                <w:sz w:val="14"/>
              </w:rPr>
              <w:t>RECIST v1.0 soft-tissue assessments, bone-lesion scan progression tracking, objective responses, and PSA progressions.</w:t>
            </w:r>
          </w:p>
        </w:tc>
      </w:tr>
      <w:tr>
        <w:tc>
          <w:tcPr>
            <w:tcW w:type="dxa" w:w="1008"/>
            <w:vAlign w:val="top"/>
          </w:tcPr>
          <w:p>
            <w:pPr>
              <w:spacing w:before="0" w:after="20" w:line="240" w:lineRule="auto"/>
            </w:pPr>
            <w:r/>
            <w:r>
              <w:rPr>
                <w:rFonts w:ascii="Calibri" w:hAnsi="Calibri"/>
                <w:b w:val="0"/>
                <w:color w:val="1F1F1F"/>
                <w:sz w:val="14"/>
              </w:rPr>
              <w:t>ADTTE</w:t>
            </w:r>
          </w:p>
        </w:tc>
        <w:tc>
          <w:tcPr>
            <w:tcW w:type="dxa" w:w="1728"/>
            <w:vAlign w:val="top"/>
          </w:tcPr>
          <w:p>
            <w:pPr>
              <w:spacing w:before="0" w:after="20" w:line="240" w:lineRule="auto"/>
            </w:pPr>
            <w:r/>
            <w:r>
              <w:rPr>
                <w:rFonts w:ascii="Calibri" w:hAnsi="Calibri"/>
                <w:b w:val="0"/>
                <w:color w:val="1F1F1F"/>
                <w:sz w:val="14"/>
              </w:rPr>
              <w:t>BASIC DATA STRUCTURE</w:t>
            </w:r>
          </w:p>
        </w:tc>
        <w:tc>
          <w:tcPr>
            <w:tcW w:type="dxa" w:w="1800"/>
            <w:vAlign w:val="top"/>
          </w:tcPr>
          <w:p>
            <w:pPr>
              <w:spacing w:before="0" w:after="20" w:line="240" w:lineRule="auto"/>
            </w:pPr>
            <w:r/>
            <w:r>
              <w:rPr>
                <w:rFonts w:ascii="Calibri" w:hAnsi="Calibri"/>
                <w:b w:val="0"/>
                <w:color w:val="1F1F1F"/>
                <w:sz w:val="14"/>
              </w:rPr>
              <w:t>One record per subject per time-to-event parameter</w:t>
            </w:r>
          </w:p>
        </w:tc>
        <w:tc>
          <w:tcPr>
            <w:tcW w:type="dxa" w:w="1152"/>
            <w:vAlign w:val="top"/>
          </w:tcPr>
          <w:p>
            <w:pPr>
              <w:spacing w:before="0" w:after="20" w:line="240" w:lineRule="auto"/>
            </w:pPr>
            <w:r/>
            <w:r>
              <w:rPr>
                <w:rFonts w:ascii="Calibri" w:hAnsi="Calibri"/>
                <w:b w:val="0"/>
                <w:color w:val="1F1F1F"/>
                <w:sz w:val="14"/>
              </w:rPr>
              <w:t>19</w:t>
            </w:r>
          </w:p>
        </w:tc>
        <w:tc>
          <w:tcPr>
            <w:tcW w:type="dxa" w:w="3672"/>
            <w:vAlign w:val="top"/>
          </w:tcPr>
          <w:p>
            <w:pPr>
              <w:spacing w:before="0" w:after="20" w:line="240" w:lineRule="auto"/>
            </w:pPr>
            <w:r/>
            <w:r>
              <w:rPr>
                <w:rFonts w:ascii="Calibri" w:hAnsi="Calibri"/>
                <w:b w:val="0"/>
                <w:color w:val="1F1F1F"/>
                <w:sz w:val="14"/>
              </w:rPr>
              <w:t>Survival endpoints including Overall Survival (OS), Progression-Free Survival (PFS), TTPSA, and time-to-SAE endpoints.</w:t>
            </w:r>
          </w:p>
        </w:tc>
      </w:tr>
    </w:tbl>
    <w:p/>
    <w:p>
      <w:pPr>
        <w:pStyle w:val="ListBullet"/>
        <w:spacing w:after="40"/>
      </w:pPr>
      <w:r>
        <w:t>ADSL must contain exactly one record per subject and all population, treatment, stratification and key baseline variables needed for analysis.</w:t>
      </w:r>
    </w:p>
    <w:p>
      <w:pPr>
        <w:pStyle w:val="ListBullet"/>
        <w:spacing w:after="40"/>
      </w:pPr>
      <w:r>
        <w:t>BDS datasets must include PARAM/PARAMCD, AVAL/AVALC as applicable, analysis dates/days, visit/window variables and analysis flags.</w:t>
      </w:r>
    </w:p>
    <w:p>
      <w:pPr>
        <w:pStyle w:val="ListBullet"/>
        <w:spacing w:after="40"/>
      </w:pPr>
      <w:r>
        <w:t>OCCDS datasets must retain occurrence identity and derivation flags needed for incidence and episode analyses.</w:t>
      </w:r>
    </w:p>
    <w:p>
      <w:pPr>
        <w:pStyle w:val="ListBullet"/>
        <w:spacing w:after="40"/>
      </w:pPr>
      <w:r>
        <w:t>Define-XML v2.1 with ARM must align to physical datasets and SAP output catalog with no unresolved OIDs, WhereClauses, codelists or ResultDisplay references.</w:t>
      </w:r>
    </w:p>
    <w:p>
      <w:pPr>
        <w:pStyle w:val="ListBullet"/>
        <w:spacing w:after="40"/>
      </w:pPr>
      <w:r>
        <w:t>Every ADaM variable requires origin, predecessor, method and document reference. The current workbook Documents sheet is empty and must be remediated before release.</w:t>
      </w:r>
    </w:p>
    <w:p>
      <w:pPr>
        <w:pStyle w:val="ListBullet"/>
        <w:spacing w:after="40"/>
      </w:pPr>
      <w:r>
        <w:t>SDTMIG version claims must match the packaged tabulation datasets. If SDTMIG 3.4 is declared, the uplifted 3.4 layer must be the packaged source.</w:t>
      </w:r>
    </w:p>
    <w:p>
      <w:pPr>
        <w:pStyle w:val="Heading1"/>
      </w:pPr>
      <w:r>
        <w:t>16. Programming, independent QC and release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top"/>
            <w:shd w:fill="1F4E79"/>
          </w:tcPr>
          <w:p>
            <w:pPr>
              <w:spacing w:before="0" w:after="20" w:line="240" w:lineRule="auto"/>
            </w:pPr>
            <w:r/>
            <w:r>
              <w:rPr>
                <w:rFonts w:ascii="Calibri" w:hAnsi="Calibri"/>
                <w:b/>
                <w:color w:val="FFFFFF"/>
                <w:sz w:val="16"/>
              </w:rPr>
              <w:t>Gate</w:t>
            </w:r>
          </w:p>
        </w:tc>
        <w:tc>
          <w:tcPr>
            <w:tcW w:type="dxa" w:w="7128"/>
            <w:vAlign w:val="top"/>
            <w:shd w:fill="1F4E79"/>
          </w:tcPr>
          <w:p>
            <w:pPr>
              <w:spacing w:before="0" w:after="20" w:line="240" w:lineRule="auto"/>
            </w:pPr>
            <w:r/>
            <w:r>
              <w:rPr>
                <w:rFonts w:ascii="Calibri" w:hAnsi="Calibri"/>
                <w:b/>
                <w:color w:val="FFFFFF"/>
                <w:sz w:val="16"/>
              </w:rPr>
              <w:t>Pass criterion</w:t>
            </w:r>
          </w:p>
        </w:tc>
      </w:tr>
      <w:tr>
        <w:tc>
          <w:tcPr>
            <w:tcW w:type="dxa" w:w="2232"/>
            <w:vAlign w:val="top"/>
          </w:tcPr>
          <w:p>
            <w:pPr>
              <w:spacing w:before="0" w:after="20" w:line="240" w:lineRule="auto"/>
            </w:pPr>
            <w:r/>
            <w:r>
              <w:rPr>
                <w:rFonts w:ascii="Calibri" w:hAnsi="Calibri"/>
                <w:b w:val="0"/>
                <w:color w:val="1F1F1F"/>
                <w:sz w:val="16"/>
              </w:rPr>
              <w:t>SAP approval</w:t>
            </w:r>
          </w:p>
        </w:tc>
        <w:tc>
          <w:tcPr>
            <w:tcW w:type="dxa" w:w="7128"/>
            <w:vAlign w:val="top"/>
          </w:tcPr>
          <w:p>
            <w:pPr>
              <w:spacing w:before="0" w:after="20" w:line="240" w:lineRule="auto"/>
            </w:pPr>
            <w:r/>
            <w:r>
              <w:rPr>
                <w:rFonts w:ascii="Calibri" w:hAnsi="Calibri"/>
                <w:b w:val="0"/>
                <w:color w:val="1F1F1F"/>
                <w:sz w:val="16"/>
              </w:rPr>
              <w:t>Signed v4.0 or later approved before production rerun.</w:t>
            </w:r>
          </w:p>
        </w:tc>
      </w:tr>
      <w:tr>
        <w:tc>
          <w:tcPr>
            <w:tcW w:type="dxa" w:w="2232"/>
            <w:vAlign w:val="top"/>
          </w:tcPr>
          <w:p>
            <w:pPr>
              <w:spacing w:before="0" w:after="20" w:line="240" w:lineRule="auto"/>
            </w:pPr>
            <w:r/>
            <w:r>
              <w:rPr>
                <w:rFonts w:ascii="Calibri" w:hAnsi="Calibri"/>
                <w:b w:val="0"/>
                <w:color w:val="1F1F1F"/>
                <w:sz w:val="16"/>
              </w:rPr>
              <w:t>Dependency graph</w:t>
            </w:r>
          </w:p>
        </w:tc>
        <w:tc>
          <w:tcPr>
            <w:tcW w:type="dxa" w:w="7128"/>
            <w:vAlign w:val="top"/>
          </w:tcPr>
          <w:p>
            <w:pPr>
              <w:spacing w:before="0" w:after="20" w:line="240" w:lineRule="auto"/>
            </w:pPr>
            <w:r/>
            <w:r>
              <w:rPr>
                <w:rFonts w:ascii="Calibri" w:hAnsi="Calibri"/>
                <w:b w:val="0"/>
                <w:color w:val="1F1F1F"/>
                <w:sz w:val="16"/>
              </w:rPr>
              <w:t>No unexplained orphan, dangling reference, dead production code, specified-not-produced or produced-not-specified item.</w:t>
            </w:r>
          </w:p>
        </w:tc>
      </w:tr>
      <w:tr>
        <w:tc>
          <w:tcPr>
            <w:tcW w:type="dxa" w:w="2232"/>
            <w:vAlign w:val="top"/>
          </w:tcPr>
          <w:p>
            <w:pPr>
              <w:spacing w:before="0" w:after="20" w:line="240" w:lineRule="auto"/>
            </w:pPr>
            <w:r/>
            <w:r>
              <w:rPr>
                <w:rFonts w:ascii="Calibri" w:hAnsi="Calibri"/>
                <w:b w:val="0"/>
                <w:color w:val="1F1F1F"/>
                <w:sz w:val="16"/>
              </w:rPr>
              <w:t>Dual programming</w:t>
            </w:r>
          </w:p>
        </w:tc>
        <w:tc>
          <w:tcPr>
            <w:tcW w:type="dxa" w:w="7128"/>
            <w:vAlign w:val="top"/>
          </w:tcPr>
          <w:p>
            <w:pPr>
              <w:spacing w:before="0" w:after="20" w:line="240" w:lineRule="auto"/>
            </w:pPr>
            <w:r/>
            <w:r>
              <w:rPr>
                <w:rFonts w:ascii="Calibri" w:hAnsi="Calibri"/>
                <w:b w:val="0"/>
                <w:color w:val="1F1F1F"/>
                <w:sz w:val="16"/>
              </w:rPr>
              <w:t>SAS and R outputs match on keys, row counts, typed values, labels and hashes without lossy normalization.</w:t>
            </w:r>
          </w:p>
        </w:tc>
      </w:tr>
      <w:tr>
        <w:tc>
          <w:tcPr>
            <w:tcW w:type="dxa" w:w="2232"/>
            <w:vAlign w:val="top"/>
          </w:tcPr>
          <w:p>
            <w:pPr>
              <w:spacing w:before="0" w:after="20" w:line="240" w:lineRule="auto"/>
            </w:pPr>
            <w:r/>
            <w:r>
              <w:rPr>
                <w:rFonts w:ascii="Calibri" w:hAnsi="Calibri"/>
                <w:b w:val="0"/>
                <w:color w:val="1F1F1F"/>
                <w:sz w:val="16"/>
              </w:rPr>
              <w:t>Metadata/data concordance</w:t>
            </w:r>
          </w:p>
        </w:tc>
        <w:tc>
          <w:tcPr>
            <w:tcW w:type="dxa" w:w="7128"/>
            <w:vAlign w:val="top"/>
          </w:tcPr>
          <w:p>
            <w:pPr>
              <w:spacing w:before="0" w:after="20" w:line="240" w:lineRule="auto"/>
            </w:pPr>
            <w:r/>
            <w:r>
              <w:rPr>
                <w:rFonts w:ascii="Calibri" w:hAnsi="Calibri"/>
                <w:b w:val="0"/>
                <w:color w:val="1F1F1F"/>
                <w:sz w:val="16"/>
              </w:rPr>
              <w:t>ADaM spec, Define-XML, physical XPT and reviewer guides agree on datasets, variables, labels, types, lengths, codelists and methods.</w:t>
            </w:r>
          </w:p>
        </w:tc>
      </w:tr>
      <w:tr>
        <w:tc>
          <w:tcPr>
            <w:tcW w:type="dxa" w:w="2232"/>
            <w:vAlign w:val="top"/>
          </w:tcPr>
          <w:p>
            <w:pPr>
              <w:spacing w:before="0" w:after="20" w:line="240" w:lineRule="auto"/>
            </w:pPr>
            <w:r/>
            <w:r>
              <w:rPr>
                <w:rFonts w:ascii="Calibri" w:hAnsi="Calibri"/>
                <w:b w:val="0"/>
                <w:color w:val="1F1F1F"/>
                <w:sz w:val="16"/>
              </w:rPr>
              <w:t>Conformance</w:t>
            </w:r>
          </w:p>
        </w:tc>
        <w:tc>
          <w:tcPr>
            <w:tcW w:type="dxa" w:w="7128"/>
            <w:vAlign w:val="top"/>
          </w:tcPr>
          <w:p>
            <w:pPr>
              <w:spacing w:before="0" w:after="20" w:line="240" w:lineRule="auto"/>
            </w:pPr>
            <w:r/>
            <w:r>
              <w:rPr>
                <w:rFonts w:ascii="Calibri" w:hAnsi="Calibri"/>
                <w:b w:val="0"/>
                <w:color w:val="1F1F1F"/>
                <w:sz w:val="16"/>
              </w:rPr>
              <w:t>Supported CORE/Pinnacle 21/Define validation run on final delivered package; every issue dispositioned.</w:t>
            </w:r>
          </w:p>
        </w:tc>
      </w:tr>
      <w:tr>
        <w:tc>
          <w:tcPr>
            <w:tcW w:type="dxa" w:w="2232"/>
            <w:vAlign w:val="top"/>
          </w:tcPr>
          <w:p>
            <w:pPr>
              <w:spacing w:before="0" w:after="20" w:line="240" w:lineRule="auto"/>
            </w:pPr>
            <w:r/>
            <w:r>
              <w:rPr>
                <w:rFonts w:ascii="Calibri" w:hAnsi="Calibri"/>
                <w:b w:val="0"/>
                <w:color w:val="1F1F1F"/>
                <w:sz w:val="16"/>
              </w:rPr>
              <w:t>Logs</w:t>
            </w:r>
          </w:p>
        </w:tc>
        <w:tc>
          <w:tcPr>
            <w:tcW w:type="dxa" w:w="7128"/>
            <w:vAlign w:val="top"/>
          </w:tcPr>
          <w:p>
            <w:pPr>
              <w:spacing w:before="0" w:after="20" w:line="240" w:lineRule="auto"/>
            </w:pPr>
            <w:r/>
            <w:r>
              <w:rPr>
                <w:rFonts w:ascii="Calibri" w:hAnsi="Calibri"/>
                <w:b w:val="0"/>
                <w:color w:val="1F1F1F"/>
                <w:sz w:val="16"/>
              </w:rPr>
              <w:t>Production and QC logs clean or reviewed with approved exception list.</w:t>
            </w:r>
          </w:p>
        </w:tc>
      </w:tr>
      <w:tr>
        <w:tc>
          <w:tcPr>
            <w:tcW w:type="dxa" w:w="2232"/>
            <w:vAlign w:val="top"/>
          </w:tcPr>
          <w:p>
            <w:pPr>
              <w:spacing w:before="0" w:after="20" w:line="240" w:lineRule="auto"/>
            </w:pPr>
            <w:r/>
            <w:r>
              <w:rPr>
                <w:rFonts w:ascii="Calibri" w:hAnsi="Calibri"/>
                <w:b w:val="0"/>
                <w:color w:val="1F1F1F"/>
                <w:sz w:val="16"/>
              </w:rPr>
              <w:t>TFL QC</w:t>
            </w:r>
          </w:p>
        </w:tc>
        <w:tc>
          <w:tcPr>
            <w:tcW w:type="dxa" w:w="7128"/>
            <w:vAlign w:val="top"/>
          </w:tcPr>
          <w:p>
            <w:pPr>
              <w:spacing w:before="0" w:after="20" w:line="240" w:lineRule="auto"/>
            </w:pPr>
            <w:r/>
            <w:r>
              <w:rPr>
                <w:rFonts w:ascii="Calibri" w:hAnsi="Calibri"/>
                <w:b w:val="0"/>
                <w:color w:val="1F1F1F"/>
                <w:sz w:val="16"/>
              </w:rPr>
              <w:t>Every output has shell, SAP section, program, QC result, source data and approved status.</w:t>
            </w:r>
          </w:p>
        </w:tc>
      </w:tr>
      <w:tr>
        <w:tc>
          <w:tcPr>
            <w:tcW w:type="dxa" w:w="2232"/>
            <w:vAlign w:val="top"/>
          </w:tcPr>
          <w:p>
            <w:pPr>
              <w:spacing w:before="0" w:after="20" w:line="240" w:lineRule="auto"/>
            </w:pPr>
            <w:r/>
            <w:r>
              <w:rPr>
                <w:rFonts w:ascii="Calibri" w:hAnsi="Calibri"/>
                <w:b w:val="0"/>
                <w:color w:val="1F1F1F"/>
                <w:sz w:val="16"/>
              </w:rPr>
              <w:t>Package integrity</w:t>
            </w:r>
          </w:p>
        </w:tc>
        <w:tc>
          <w:tcPr>
            <w:tcW w:type="dxa" w:w="7128"/>
            <w:vAlign w:val="top"/>
          </w:tcPr>
          <w:p>
            <w:pPr>
              <w:spacing w:before="0" w:after="20" w:line="240" w:lineRule="auto"/>
            </w:pPr>
            <w:r/>
            <w:r>
              <w:rPr>
                <w:rFonts w:ascii="Calibri" w:hAnsi="Calibri"/>
                <w:b w:val="0"/>
                <w:color w:val="1F1F1F"/>
                <w:sz w:val="16"/>
              </w:rPr>
              <w:t>eCTD built atomically; every payload indexed; every leaf exists; hashes match final evidence manifest.</w:t>
            </w:r>
          </w:p>
        </w:tc>
      </w:tr>
      <w:tr>
        <w:tc>
          <w:tcPr>
            <w:tcW w:type="dxa" w:w="2232"/>
            <w:vAlign w:val="top"/>
          </w:tcPr>
          <w:p>
            <w:pPr>
              <w:spacing w:before="0" w:after="20" w:line="240" w:lineRule="auto"/>
            </w:pPr>
            <w:r/>
            <w:r>
              <w:rPr>
                <w:rFonts w:ascii="Calibri" w:hAnsi="Calibri"/>
                <w:b w:val="0"/>
                <w:color w:val="1F1F1F"/>
                <w:sz w:val="16"/>
              </w:rPr>
              <w:t>Part 11/process</w:t>
            </w:r>
          </w:p>
        </w:tc>
        <w:tc>
          <w:tcPr>
            <w:tcW w:type="dxa" w:w="7128"/>
            <w:vAlign w:val="top"/>
          </w:tcPr>
          <w:p>
            <w:pPr>
              <w:spacing w:before="0" w:after="20" w:line="240" w:lineRule="auto"/>
            </w:pPr>
            <w:r/>
            <w:r>
              <w:rPr>
                <w:rFonts w:ascii="Calibri" w:hAnsi="Calibri"/>
                <w:b w:val="0"/>
                <w:color w:val="1F1F1F"/>
                <w:sz w:val="16"/>
              </w:rPr>
              <w:t>Validated execution environment, access controls, audit trail and approval evidence available for regulated claims.</w:t>
            </w:r>
          </w:p>
        </w:tc>
      </w:tr>
    </w:tbl>
    <w:p/>
    <w:p>
      <w:pPr>
        <w:pStyle w:val="Heading2"/>
      </w:pPr>
      <w:r>
        <w:t>16.1 Dual-programming reconciliation specification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vAlign w:val="top"/>
            <w:shd w:fill="1F4E79"/>
          </w:tcPr>
          <w:p>
            <w:pPr>
              <w:spacing w:before="0" w:after="20" w:line="240" w:lineRule="auto"/>
            </w:pPr>
            <w:r/>
            <w:r>
              <w:rPr>
                <w:rFonts w:ascii="Calibri" w:hAnsi="Calibri"/>
                <w:b/>
                <w:color w:val="FFFFFF"/>
                <w:sz w:val="16"/>
              </w:rPr>
              <w:t>Object</w:t>
            </w:r>
          </w:p>
        </w:tc>
        <w:tc>
          <w:tcPr>
            <w:tcW w:type="dxa" w:w="7272"/>
            <w:vAlign w:val="top"/>
            <w:shd w:fill="1F4E79"/>
          </w:tcPr>
          <w:p>
            <w:pPr>
              <w:spacing w:before="0" w:after="20" w:line="240" w:lineRule="auto"/>
            </w:pPr>
            <w:r/>
            <w:r>
              <w:rPr>
                <w:rFonts w:ascii="Calibri" w:hAnsi="Calibri"/>
                <w:b/>
                <w:color w:val="FFFFFF"/>
                <w:sz w:val="16"/>
              </w:rPr>
              <w:t>Required comparison</w:t>
            </w:r>
          </w:p>
        </w:tc>
      </w:tr>
      <w:tr>
        <w:tc>
          <w:tcPr>
            <w:tcW w:type="dxa" w:w="2088"/>
            <w:vAlign w:val="top"/>
          </w:tcPr>
          <w:p>
            <w:pPr>
              <w:spacing w:before="0" w:after="20" w:line="240" w:lineRule="auto"/>
            </w:pPr>
            <w:r/>
            <w:r>
              <w:rPr>
                <w:rFonts w:ascii="Calibri" w:hAnsi="Calibri"/>
                <w:b w:val="0"/>
                <w:color w:val="1F1F1F"/>
                <w:sz w:val="16"/>
              </w:rPr>
              <w:t>ADaM datasets</w:t>
            </w:r>
          </w:p>
        </w:tc>
        <w:tc>
          <w:tcPr>
            <w:tcW w:type="dxa" w:w="7272"/>
            <w:vAlign w:val="top"/>
          </w:tcPr>
          <w:p>
            <w:pPr>
              <w:spacing w:before="0" w:after="20" w:line="240" w:lineRule="auto"/>
            </w:pPr>
            <w:r/>
            <w:r>
              <w:rPr>
                <w:rFonts w:ascii="Calibri" w:hAnsi="Calibri"/>
                <w:b w:val="0"/>
                <w:color w:val="1F1F1F"/>
                <w:sz w:val="16"/>
              </w:rPr>
              <w:t>Dataset existence, row count, keys, column order, type, length, label, codelist values, typed cell values and record-level hashes.</w:t>
            </w:r>
          </w:p>
        </w:tc>
      </w:tr>
      <w:tr>
        <w:tc>
          <w:tcPr>
            <w:tcW w:type="dxa" w:w="2088"/>
            <w:vAlign w:val="top"/>
          </w:tcPr>
          <w:p>
            <w:pPr>
              <w:spacing w:before="0" w:after="20" w:line="240" w:lineRule="auto"/>
            </w:pPr>
            <w:r/>
            <w:r>
              <w:rPr>
                <w:rFonts w:ascii="Calibri" w:hAnsi="Calibri"/>
                <w:b w:val="0"/>
                <w:color w:val="1F1F1F"/>
                <w:sz w:val="16"/>
              </w:rPr>
              <w:t>TFL numeric results</w:t>
            </w:r>
          </w:p>
        </w:tc>
        <w:tc>
          <w:tcPr>
            <w:tcW w:type="dxa" w:w="7272"/>
            <w:vAlign w:val="top"/>
          </w:tcPr>
          <w:p>
            <w:pPr>
              <w:spacing w:before="0" w:after="20" w:line="240" w:lineRule="auto"/>
            </w:pPr>
            <w:r/>
            <w:r>
              <w:rPr>
                <w:rFonts w:ascii="Calibri" w:hAnsi="Calibri"/>
                <w:b w:val="0"/>
                <w:color w:val="1F1F1F"/>
                <w:sz w:val="16"/>
              </w:rPr>
              <w:t>Independent recomputation of numerator, denominator, percentage, event count, median, CI, HR and p-value from analysis datasets.</w:t>
            </w:r>
          </w:p>
        </w:tc>
      </w:tr>
      <w:tr>
        <w:tc>
          <w:tcPr>
            <w:tcW w:type="dxa" w:w="2088"/>
            <w:vAlign w:val="top"/>
          </w:tcPr>
          <w:p>
            <w:pPr>
              <w:spacing w:before="0" w:after="20" w:line="240" w:lineRule="auto"/>
            </w:pPr>
            <w:r/>
            <w:r>
              <w:rPr>
                <w:rFonts w:ascii="Calibri" w:hAnsi="Calibri"/>
                <w:b w:val="0"/>
                <w:color w:val="1F1F1F"/>
                <w:sz w:val="16"/>
              </w:rPr>
              <w:t>Figures</w:t>
            </w:r>
          </w:p>
        </w:tc>
        <w:tc>
          <w:tcPr>
            <w:tcW w:type="dxa" w:w="7272"/>
            <w:vAlign w:val="top"/>
          </w:tcPr>
          <w:p>
            <w:pPr>
              <w:spacing w:before="0" w:after="20" w:line="240" w:lineRule="auto"/>
            </w:pPr>
            <w:r/>
            <w:r>
              <w:rPr>
                <w:rFonts w:ascii="Calibri" w:hAnsi="Calibri"/>
                <w:b w:val="0"/>
                <w:color w:val="1F1F1F"/>
                <w:sz w:val="16"/>
              </w:rPr>
              <w:t>Independent verification of input data, at-risk counts, axis labels, treatment labels, footnotes and synthetic/non-confirmatory annotation.</w:t>
            </w:r>
          </w:p>
        </w:tc>
      </w:tr>
      <w:tr>
        <w:tc>
          <w:tcPr>
            <w:tcW w:type="dxa" w:w="2088"/>
            <w:vAlign w:val="top"/>
          </w:tcPr>
          <w:p>
            <w:pPr>
              <w:spacing w:before="0" w:after="20" w:line="240" w:lineRule="auto"/>
            </w:pPr>
            <w:r/>
            <w:r>
              <w:rPr>
                <w:rFonts w:ascii="Calibri" w:hAnsi="Calibri"/>
                <w:b w:val="0"/>
                <w:color w:val="1F1F1F"/>
                <w:sz w:val="16"/>
              </w:rPr>
              <w:t>Listings</w:t>
            </w:r>
          </w:p>
        </w:tc>
        <w:tc>
          <w:tcPr>
            <w:tcW w:type="dxa" w:w="7272"/>
            <w:vAlign w:val="top"/>
          </w:tcPr>
          <w:p>
            <w:pPr>
              <w:spacing w:before="0" w:after="20" w:line="240" w:lineRule="auto"/>
            </w:pPr>
            <w:r/>
            <w:r>
              <w:rPr>
                <w:rFonts w:ascii="Calibri" w:hAnsi="Calibri"/>
                <w:b w:val="0"/>
                <w:color w:val="1F1F1F"/>
                <w:sz w:val="16"/>
              </w:rPr>
              <w:t>Record-level source traceability; no fabricated records; all dates and subject IDs sourced from data.</w:t>
            </w:r>
          </w:p>
        </w:tc>
      </w:tr>
      <w:tr>
        <w:tc>
          <w:tcPr>
            <w:tcW w:type="dxa" w:w="2088"/>
            <w:vAlign w:val="top"/>
          </w:tcPr>
          <w:p>
            <w:pPr>
              <w:spacing w:before="0" w:after="20" w:line="240" w:lineRule="auto"/>
            </w:pPr>
            <w:r/>
            <w:r>
              <w:rPr>
                <w:rFonts w:ascii="Calibri" w:hAnsi="Calibri"/>
                <w:b w:val="0"/>
                <w:color w:val="1F1F1F"/>
                <w:sz w:val="16"/>
              </w:rPr>
              <w:t>Logs</w:t>
            </w:r>
          </w:p>
        </w:tc>
        <w:tc>
          <w:tcPr>
            <w:tcW w:type="dxa" w:w="7272"/>
            <w:vAlign w:val="top"/>
          </w:tcPr>
          <w:p>
            <w:pPr>
              <w:spacing w:before="0" w:after="20" w:line="240" w:lineRule="auto"/>
            </w:pPr>
            <w:r/>
            <w:r>
              <w:rPr>
                <w:rFonts w:ascii="Calibri" w:hAnsi="Calibri"/>
                <w:b w:val="0"/>
                <w:color w:val="1F1F1F"/>
                <w:sz w:val="16"/>
              </w:rPr>
              <w:t>Automated scan plus human disposition of ERROR, WARNING, invalid INPUT, uninitialized variables, merge notes and package warnings.</w:t>
            </w:r>
          </w:p>
        </w:tc>
      </w:tr>
      <w:tr>
        <w:tc>
          <w:tcPr>
            <w:tcW w:type="dxa" w:w="2088"/>
            <w:vAlign w:val="top"/>
          </w:tcPr>
          <w:p>
            <w:pPr>
              <w:spacing w:before="0" w:after="20" w:line="240" w:lineRule="auto"/>
            </w:pPr>
            <w:r/>
            <w:r>
              <w:rPr>
                <w:rFonts w:ascii="Calibri" w:hAnsi="Calibri"/>
                <w:b w:val="0"/>
                <w:color w:val="1F1F1F"/>
                <w:sz w:val="16"/>
              </w:rPr>
              <w:t>Hash manifest</w:t>
            </w:r>
          </w:p>
        </w:tc>
        <w:tc>
          <w:tcPr>
            <w:tcW w:type="dxa" w:w="7272"/>
            <w:vAlign w:val="top"/>
          </w:tcPr>
          <w:p>
            <w:pPr>
              <w:spacing w:before="0" w:after="20" w:line="240" w:lineRule="auto"/>
            </w:pPr>
            <w:r/>
            <w:r>
              <w:rPr>
                <w:rFonts w:ascii="Calibri" w:hAnsi="Calibri"/>
                <w:b w:val="0"/>
                <w:color w:val="1F1F1F"/>
                <w:sz w:val="16"/>
              </w:rPr>
              <w:t>Every release dataset/output hash equals current physical payload and eCTD/index copy.</w:t>
            </w:r>
          </w:p>
        </w:tc>
      </w:tr>
    </w:tbl>
    <w:p/>
    <w:p>
      <w:pPr>
        <w:pStyle w:val="Heading2"/>
      </w:pPr>
      <w:r>
        <w:t>16.2 Release decision classes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vAlign w:val="top"/>
            <w:shd w:fill="1F4E79"/>
          </w:tcPr>
          <w:p>
            <w:pPr>
              <w:spacing w:before="0" w:after="20" w:line="240" w:lineRule="auto"/>
            </w:pPr>
            <w:r/>
            <w:r>
              <w:rPr>
                <w:rFonts w:ascii="Calibri" w:hAnsi="Calibri"/>
                <w:b/>
                <w:color w:val="FFFFFF"/>
                <w:sz w:val="16"/>
              </w:rPr>
              <w:t>Class</w:t>
            </w:r>
          </w:p>
        </w:tc>
        <w:tc>
          <w:tcPr>
            <w:tcW w:type="dxa" w:w="7632"/>
            <w:vAlign w:val="top"/>
            <w:shd w:fill="1F4E79"/>
          </w:tcPr>
          <w:p>
            <w:pPr>
              <w:spacing w:before="0" w:after="20" w:line="240" w:lineRule="auto"/>
            </w:pPr>
            <w:r/>
            <w:r>
              <w:rPr>
                <w:rFonts w:ascii="Calibri" w:hAnsi="Calibri"/>
                <w:b/>
                <w:color w:val="FFFFFF"/>
                <w:sz w:val="16"/>
              </w:rPr>
              <w:t>Meaning</w:t>
            </w:r>
          </w:p>
        </w:tc>
      </w:tr>
      <w:tr>
        <w:tc>
          <w:tcPr>
            <w:tcW w:type="dxa" w:w="1728"/>
            <w:vAlign w:val="top"/>
          </w:tcPr>
          <w:p>
            <w:pPr>
              <w:spacing w:before="0" w:after="20" w:line="240" w:lineRule="auto"/>
            </w:pPr>
            <w:r/>
            <w:r>
              <w:rPr>
                <w:rFonts w:ascii="Calibri" w:hAnsi="Calibri"/>
                <w:b w:val="0"/>
                <w:color w:val="1F1F1F"/>
                <w:sz w:val="16"/>
              </w:rPr>
              <w:t>Green</w:t>
            </w:r>
          </w:p>
        </w:tc>
        <w:tc>
          <w:tcPr>
            <w:tcW w:type="dxa" w:w="7632"/>
            <w:vAlign w:val="top"/>
          </w:tcPr>
          <w:p>
            <w:pPr>
              <w:spacing w:before="0" w:after="20" w:line="240" w:lineRule="auto"/>
            </w:pPr>
            <w:r/>
            <w:r>
              <w:rPr>
                <w:rFonts w:ascii="Calibri" w:hAnsi="Calibri"/>
                <w:b w:val="0"/>
                <w:color w:val="1F1F1F"/>
                <w:sz w:val="16"/>
              </w:rPr>
              <w:t>Source, program, QC, metadata, TFL and package evidence all agree; no open critical/major issue affects the object.</w:t>
            </w:r>
          </w:p>
        </w:tc>
      </w:tr>
      <w:tr>
        <w:tc>
          <w:tcPr>
            <w:tcW w:type="dxa" w:w="1728"/>
            <w:vAlign w:val="top"/>
          </w:tcPr>
          <w:p>
            <w:pPr>
              <w:spacing w:before="0" w:after="20" w:line="240" w:lineRule="auto"/>
            </w:pPr>
            <w:r/>
            <w:r>
              <w:rPr>
                <w:rFonts w:ascii="Calibri" w:hAnsi="Calibri"/>
                <w:b w:val="0"/>
                <w:color w:val="1F1F1F"/>
                <w:sz w:val="16"/>
              </w:rPr>
              <w:t>Amber</w:t>
            </w:r>
          </w:p>
        </w:tc>
        <w:tc>
          <w:tcPr>
            <w:tcW w:type="dxa" w:w="7632"/>
            <w:vAlign w:val="top"/>
          </w:tcPr>
          <w:p>
            <w:pPr>
              <w:spacing w:before="0" w:after="20" w:line="240" w:lineRule="auto"/>
            </w:pPr>
            <w:r/>
            <w:r>
              <w:rPr>
                <w:rFonts w:ascii="Calibri" w:hAnsi="Calibri"/>
                <w:b w:val="0"/>
                <w:color w:val="1F1F1F"/>
                <w:sz w:val="16"/>
              </w:rPr>
              <w:t>Object is scientifically usable for internal review with documented non-critical limitation; not submission-ready until limitation closed or approved.</w:t>
            </w:r>
          </w:p>
        </w:tc>
      </w:tr>
      <w:tr>
        <w:tc>
          <w:tcPr>
            <w:tcW w:type="dxa" w:w="1728"/>
            <w:vAlign w:val="top"/>
          </w:tcPr>
          <w:p>
            <w:pPr>
              <w:spacing w:before="0" w:after="20" w:line="240" w:lineRule="auto"/>
            </w:pPr>
            <w:r/>
            <w:r>
              <w:rPr>
                <w:rFonts w:ascii="Calibri" w:hAnsi="Calibri"/>
                <w:b w:val="0"/>
                <w:color w:val="1F1F1F"/>
                <w:sz w:val="16"/>
              </w:rPr>
              <w:t>Red</w:t>
            </w:r>
          </w:p>
        </w:tc>
        <w:tc>
          <w:tcPr>
            <w:tcW w:type="dxa" w:w="7632"/>
            <w:vAlign w:val="top"/>
          </w:tcPr>
          <w:p>
            <w:pPr>
              <w:spacing w:before="0" w:after="20" w:line="240" w:lineRule="auto"/>
            </w:pPr>
            <w:r/>
            <w:r>
              <w:rPr>
                <w:rFonts w:ascii="Calibri" w:hAnsi="Calibri"/>
                <w:b w:val="0"/>
                <w:color w:val="1F1F1F"/>
                <w:sz w:val="16"/>
              </w:rPr>
              <w:t>Object is blocked due confirmed defect, missing source basis, synthetic data mislabeling, metadata drift or failed validation.</w:t>
            </w:r>
          </w:p>
        </w:tc>
      </w:tr>
      <w:tr>
        <w:tc>
          <w:tcPr>
            <w:tcW w:type="dxa" w:w="1728"/>
            <w:vAlign w:val="top"/>
          </w:tcPr>
          <w:p>
            <w:pPr>
              <w:spacing w:before="0" w:after="20" w:line="240" w:lineRule="auto"/>
            </w:pPr>
            <w:r/>
            <w:r>
              <w:rPr>
                <w:rFonts w:ascii="Calibri" w:hAnsi="Calibri"/>
                <w:b w:val="0"/>
                <w:color w:val="1F1F1F"/>
                <w:sz w:val="16"/>
              </w:rPr>
              <w:t>Exploratory</w:t>
            </w:r>
          </w:p>
        </w:tc>
        <w:tc>
          <w:tcPr>
            <w:tcW w:type="dxa" w:w="7632"/>
            <w:vAlign w:val="top"/>
          </w:tcPr>
          <w:p>
            <w:pPr>
              <w:spacing w:before="0" w:after="20" w:line="240" w:lineRule="auto"/>
            </w:pPr>
            <w:r/>
            <w:r>
              <w:rPr>
                <w:rFonts w:ascii="Calibri" w:hAnsi="Calibri"/>
                <w:b w:val="0"/>
                <w:color w:val="1F1F1F"/>
                <w:sz w:val="16"/>
              </w:rPr>
              <w:t>Object is allowed only for hypothesis generation or pipeline demonstration; cannot support confirmatory clinical claims.</w:t>
            </w:r>
          </w:p>
        </w:tc>
      </w:tr>
    </w:tbl>
    <w:p/>
    <w:p>
      <w:pPr>
        <w:pStyle w:val="Heading1"/>
      </w:pPr>
      <w:r>
        <w:t>17. TFL catalog and shell control</w:t>
      </w:r>
    </w:p>
    <w:p>
      <w:pPr>
        <w:spacing w:after="80"/>
      </w:pPr>
      <w:r>
        <w:t>TFL IDs below are the controlled SAP target catalog. Current physical outputs are implementation evidence, not proof of completion. Outputs that are not produced must either be implemented and QC'd or removed by approved amendment. Outputs produced outside this catalog must be added to the SAP or removed from release.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80"/>
            <w:vAlign w:val="top"/>
            <w:shd w:fill="1F4E79"/>
          </w:tcPr>
          <w:p>
            <w:pPr>
              <w:spacing w:before="0" w:after="20" w:line="240" w:lineRule="auto"/>
            </w:pPr>
            <w:r/>
            <w:r>
              <w:rPr>
                <w:rFonts w:ascii="Calibri" w:hAnsi="Calibri"/>
                <w:b/>
                <w:color w:val="FFFFFF"/>
                <w:sz w:val="13"/>
              </w:rPr>
              <w:t>ID</w:t>
            </w:r>
          </w:p>
        </w:tc>
        <w:tc>
          <w:tcPr>
            <w:tcW w:type="dxa" w:w="3168"/>
            <w:vAlign w:val="top"/>
            <w:shd w:fill="1F4E79"/>
          </w:tcPr>
          <w:p>
            <w:pPr>
              <w:spacing w:before="0" w:after="20" w:line="240" w:lineRule="auto"/>
            </w:pPr>
            <w:r/>
            <w:r>
              <w:rPr>
                <w:rFonts w:ascii="Calibri" w:hAnsi="Calibri"/>
                <w:b/>
                <w:color w:val="FFFFFF"/>
                <w:sz w:val="13"/>
              </w:rPr>
              <w:t>Title</w:t>
            </w:r>
          </w:p>
        </w:tc>
        <w:tc>
          <w:tcPr>
            <w:tcW w:type="dxa" w:w="1872"/>
            <w:vAlign w:val="top"/>
            <w:shd w:fill="1F4E79"/>
          </w:tcPr>
          <w:p>
            <w:pPr>
              <w:spacing w:before="0" w:after="20" w:line="240" w:lineRule="auto"/>
            </w:pPr>
            <w:r/>
            <w:r>
              <w:rPr>
                <w:rFonts w:ascii="Calibri" w:hAnsi="Calibri"/>
                <w:b/>
                <w:color w:val="FFFFFF"/>
                <w:sz w:val="13"/>
              </w:rPr>
              <w:t>Dataset(s)</w:t>
            </w:r>
          </w:p>
        </w:tc>
        <w:tc>
          <w:tcPr>
            <w:tcW w:type="dxa" w:w="1296"/>
            <w:vAlign w:val="top"/>
            <w:shd w:fill="1F4E79"/>
          </w:tcPr>
          <w:p>
            <w:pPr>
              <w:spacing w:before="0" w:after="20" w:line="240" w:lineRule="auto"/>
            </w:pPr>
            <w:r/>
            <w:r>
              <w:rPr>
                <w:rFonts w:ascii="Calibri" w:hAnsi="Calibri"/>
                <w:b/>
                <w:color w:val="FFFFFF"/>
                <w:sz w:val="13"/>
              </w:rPr>
              <w:t>Population</w:t>
            </w:r>
          </w:p>
        </w:tc>
        <w:tc>
          <w:tcPr>
            <w:tcW w:type="dxa" w:w="1944"/>
            <w:vAlign w:val="top"/>
            <w:shd w:fill="1F4E79"/>
          </w:tcPr>
          <w:p>
            <w:pPr>
              <w:spacing w:before="0" w:after="20" w:line="240" w:lineRule="auto"/>
            </w:pPr>
            <w:r/>
            <w:r>
              <w:rPr>
                <w:rFonts w:ascii="Calibri" w:hAnsi="Calibri"/>
                <w:b/>
                <w:color w:val="FFFFFF"/>
                <w:sz w:val="13"/>
              </w:rPr>
              <w:t>Status</w:t>
            </w:r>
          </w:p>
        </w:tc>
      </w:tr>
      <w:tr>
        <w:tc>
          <w:tcPr>
            <w:tcW w:type="dxa" w:w="1080"/>
            <w:vAlign w:val="top"/>
          </w:tcPr>
          <w:p>
            <w:pPr>
              <w:spacing w:before="0" w:after="20" w:line="240" w:lineRule="auto"/>
            </w:pPr>
            <w:r/>
            <w:r>
              <w:rPr>
                <w:rFonts w:ascii="Calibri" w:hAnsi="Calibri"/>
                <w:b w:val="0"/>
                <w:color w:val="1F1F1F"/>
                <w:sz w:val="13"/>
              </w:rPr>
              <w:t>T-11-1</w:t>
            </w:r>
          </w:p>
        </w:tc>
        <w:tc>
          <w:tcPr>
            <w:tcW w:type="dxa" w:w="3168"/>
            <w:vAlign w:val="top"/>
          </w:tcPr>
          <w:p>
            <w:pPr>
              <w:spacing w:before="0" w:after="20" w:line="240" w:lineRule="auto"/>
            </w:pPr>
            <w:r/>
            <w:r>
              <w:rPr>
                <w:rFonts w:ascii="Calibri" w:hAnsi="Calibri"/>
                <w:b w:val="0"/>
                <w:color w:val="1F1F1F"/>
                <w:sz w:val="13"/>
              </w:rPr>
              <w:t>OS: Median, Events/N, HR, 95%CI, log-rank p</w:t>
            </w:r>
          </w:p>
        </w:tc>
        <w:tc>
          <w:tcPr>
            <w:tcW w:type="dxa" w:w="1872"/>
            <w:vAlign w:val="top"/>
          </w:tcPr>
          <w:p>
            <w:pPr>
              <w:spacing w:before="0" w:after="20" w:line="240" w:lineRule="auto"/>
            </w:pPr>
            <w:r/>
            <w:r>
              <w:rPr>
                <w:rFonts w:ascii="Calibri" w:hAnsi="Calibri"/>
                <w:b w:val="0"/>
                <w:color w:val="1F1F1F"/>
                <w:sz w:val="13"/>
              </w:rPr>
              <w:t>ADTTE OS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T-11-2</w:t>
            </w:r>
          </w:p>
        </w:tc>
        <w:tc>
          <w:tcPr>
            <w:tcW w:type="dxa" w:w="3168"/>
            <w:vAlign w:val="top"/>
          </w:tcPr>
          <w:p>
            <w:pPr>
              <w:spacing w:before="0" w:after="20" w:line="240" w:lineRule="auto"/>
            </w:pPr>
            <w:r/>
            <w:r>
              <w:rPr>
                <w:rFonts w:ascii="Calibri" w:hAnsi="Calibri"/>
                <w:b w:val="0"/>
                <w:color w:val="1F1F1F"/>
                <w:sz w:val="13"/>
              </w:rPr>
              <w:t>PFS: Median, Events/N, HR, 95%CI, log-rank p</w:t>
            </w:r>
          </w:p>
        </w:tc>
        <w:tc>
          <w:tcPr>
            <w:tcW w:type="dxa" w:w="1872"/>
            <w:vAlign w:val="top"/>
          </w:tcPr>
          <w:p>
            <w:pPr>
              <w:spacing w:before="0" w:after="20" w:line="240" w:lineRule="auto"/>
            </w:pPr>
            <w:r/>
            <w:r>
              <w:rPr>
                <w:rFonts w:ascii="Calibri" w:hAnsi="Calibri"/>
                <w:b w:val="0"/>
                <w:color w:val="1F1F1F"/>
                <w:sz w:val="13"/>
              </w:rPr>
              <w:t>ADTTE PFS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T-11-3</w:t>
            </w:r>
          </w:p>
        </w:tc>
        <w:tc>
          <w:tcPr>
            <w:tcW w:type="dxa" w:w="3168"/>
            <w:vAlign w:val="top"/>
          </w:tcPr>
          <w:p>
            <w:pPr>
              <w:spacing w:before="0" w:after="20" w:line="240" w:lineRule="auto"/>
            </w:pPr>
            <w:r/>
            <w:r>
              <w:rPr>
                <w:rFonts w:ascii="Calibri" w:hAnsi="Calibri"/>
                <w:b w:val="0"/>
                <w:color w:val="1F1F1F"/>
                <w:sz w:val="13"/>
              </w:rPr>
              <w:t>PSA Response Rate (&gt;=50% confirmed &gt;=3 wks; PSA&gt;=20 subset)</w:t>
            </w:r>
          </w:p>
        </w:tc>
        <w:tc>
          <w:tcPr>
            <w:tcW w:type="dxa" w:w="1872"/>
            <w:vAlign w:val="top"/>
          </w:tcPr>
          <w:p>
            <w:pPr>
              <w:spacing w:before="0" w:after="20" w:line="240" w:lineRule="auto"/>
            </w:pPr>
            <w:r/>
            <w:r>
              <w:rPr>
                <w:rFonts w:ascii="Calibri" w:hAnsi="Calibri"/>
                <w:b w:val="0"/>
                <w:color w:val="1F1F1F"/>
                <w:sz w:val="13"/>
              </w:rPr>
              <w:t>ADLB+ADSL</w:t>
            </w:r>
          </w:p>
        </w:tc>
        <w:tc>
          <w:tcPr>
            <w:tcW w:type="dxa" w:w="1296"/>
            <w:vAlign w:val="top"/>
          </w:tcPr>
          <w:p>
            <w:pPr>
              <w:spacing w:before="0" w:after="20" w:line="240" w:lineRule="auto"/>
            </w:pPr>
            <w:r/>
            <w:r>
              <w:rPr>
                <w:rFonts w:ascii="Calibri" w:hAnsi="Calibri"/>
                <w:b w:val="0"/>
                <w:color w:val="1F1F1F"/>
                <w:sz w:val="13"/>
              </w:rPr>
              <w:t>ITT PSA&gt;=20</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T-11-4</w:t>
            </w:r>
          </w:p>
        </w:tc>
        <w:tc>
          <w:tcPr>
            <w:tcW w:type="dxa" w:w="3168"/>
            <w:vAlign w:val="top"/>
          </w:tcPr>
          <w:p>
            <w:pPr>
              <w:spacing w:before="0" w:after="20" w:line="240" w:lineRule="auto"/>
            </w:pPr>
            <w:r/>
            <w:r>
              <w:rPr>
                <w:rFonts w:ascii="Calibri" w:hAnsi="Calibri"/>
                <w:b w:val="0"/>
                <w:color w:val="1F1F1F"/>
                <w:sz w:val="13"/>
              </w:rPr>
              <w:t>ORR per RECIST v1.0 (measurable subset)</w:t>
            </w:r>
          </w:p>
        </w:tc>
        <w:tc>
          <w:tcPr>
            <w:tcW w:type="dxa" w:w="1872"/>
            <w:vAlign w:val="top"/>
          </w:tcPr>
          <w:p>
            <w:pPr>
              <w:spacing w:before="0" w:after="20" w:line="240" w:lineRule="auto"/>
            </w:pPr>
            <w:r/>
            <w:r>
              <w:rPr>
                <w:rFonts w:ascii="Calibri" w:hAnsi="Calibri"/>
                <w:b w:val="0"/>
                <w:color w:val="1F1F1F"/>
                <w:sz w:val="13"/>
              </w:rPr>
              <w:t>ADRS+ADSL</w:t>
            </w:r>
          </w:p>
        </w:tc>
        <w:tc>
          <w:tcPr>
            <w:tcW w:type="dxa" w:w="1296"/>
            <w:vAlign w:val="top"/>
          </w:tcPr>
          <w:p>
            <w:pPr>
              <w:spacing w:before="0" w:after="20" w:line="240" w:lineRule="auto"/>
            </w:pPr>
            <w:r/>
            <w:r>
              <w:rPr>
                <w:rFonts w:ascii="Calibri" w:hAnsi="Calibri"/>
                <w:b w:val="0"/>
                <w:color w:val="1F1F1F"/>
                <w:sz w:val="13"/>
              </w:rPr>
              <w:t>ITT Meas</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T-11-5</w:t>
            </w:r>
          </w:p>
        </w:tc>
        <w:tc>
          <w:tcPr>
            <w:tcW w:type="dxa" w:w="3168"/>
            <w:vAlign w:val="top"/>
          </w:tcPr>
          <w:p>
            <w:pPr>
              <w:spacing w:before="0" w:after="20" w:line="240" w:lineRule="auto"/>
            </w:pPr>
            <w:r/>
            <w:r>
              <w:rPr>
                <w:rFonts w:ascii="Calibri" w:hAnsi="Calibri"/>
                <w:b w:val="0"/>
                <w:color w:val="1F1F1F"/>
                <w:sz w:val="13"/>
              </w:rPr>
              <w:t>Pain Response Rate (PAINBL='Y' subset)</w:t>
            </w:r>
          </w:p>
        </w:tc>
        <w:tc>
          <w:tcPr>
            <w:tcW w:type="dxa" w:w="1872"/>
            <w:vAlign w:val="top"/>
          </w:tcPr>
          <w:p>
            <w:pPr>
              <w:spacing w:before="0" w:after="20" w:line="240" w:lineRule="auto"/>
            </w:pPr>
            <w:r/>
            <w:r>
              <w:rPr>
                <w:rFonts w:ascii="Calibri" w:hAnsi="Calibri"/>
                <w:b w:val="0"/>
                <w:color w:val="1F1F1F"/>
                <w:sz w:val="13"/>
              </w:rPr>
              <w:t>ADRS+ADSL</w:t>
            </w:r>
          </w:p>
        </w:tc>
        <w:tc>
          <w:tcPr>
            <w:tcW w:type="dxa" w:w="1296"/>
            <w:vAlign w:val="top"/>
          </w:tcPr>
          <w:p>
            <w:pPr>
              <w:spacing w:before="0" w:after="20" w:line="240" w:lineRule="auto"/>
            </w:pPr>
            <w:r/>
            <w:r>
              <w:rPr>
                <w:rFonts w:ascii="Calibri" w:hAnsi="Calibri"/>
                <w:b w:val="0"/>
                <w:color w:val="1F1F1F"/>
                <w:sz w:val="13"/>
              </w:rPr>
              <w:t>PAINBL='Y'</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T-11-6</w:t>
            </w:r>
          </w:p>
        </w:tc>
        <w:tc>
          <w:tcPr>
            <w:tcW w:type="dxa" w:w="3168"/>
            <w:vAlign w:val="top"/>
          </w:tcPr>
          <w:p>
            <w:pPr>
              <w:spacing w:before="0" w:after="20" w:line="240" w:lineRule="auto"/>
            </w:pPr>
            <w:r/>
            <w:r>
              <w:rPr>
                <w:rFonts w:ascii="Calibri" w:hAnsi="Calibri"/>
                <w:b w:val="0"/>
                <w:color w:val="1F1F1F"/>
                <w:sz w:val="13"/>
              </w:rPr>
              <w:t>Time to Tumour Progression: Median (IQR), HR, p</w:t>
            </w:r>
          </w:p>
        </w:tc>
        <w:tc>
          <w:tcPr>
            <w:tcW w:type="dxa" w:w="1872"/>
            <w:vAlign w:val="top"/>
          </w:tcPr>
          <w:p>
            <w:pPr>
              <w:spacing w:before="0" w:after="20" w:line="240" w:lineRule="auto"/>
            </w:pPr>
            <w:r/>
            <w:r>
              <w:rPr>
                <w:rFonts w:ascii="Calibri" w:hAnsi="Calibri"/>
                <w:b w:val="0"/>
                <w:color w:val="1F1F1F"/>
                <w:sz w:val="13"/>
              </w:rPr>
              <w:t>ADTTE TTUMOR</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T-11-7</w:t>
            </w:r>
          </w:p>
        </w:tc>
        <w:tc>
          <w:tcPr>
            <w:tcW w:type="dxa" w:w="3168"/>
            <w:vAlign w:val="top"/>
          </w:tcPr>
          <w:p>
            <w:pPr>
              <w:spacing w:before="0" w:after="20" w:line="240" w:lineRule="auto"/>
            </w:pPr>
            <w:r/>
            <w:r>
              <w:rPr>
                <w:rFonts w:ascii="Calibri" w:hAnsi="Calibri"/>
                <w:b w:val="0"/>
                <w:color w:val="1F1F1F"/>
                <w:sz w:val="13"/>
              </w:rPr>
              <w:t>Time to PSA Progression: Median (IQR), HR, p</w:t>
            </w:r>
          </w:p>
        </w:tc>
        <w:tc>
          <w:tcPr>
            <w:tcW w:type="dxa" w:w="1872"/>
            <w:vAlign w:val="top"/>
          </w:tcPr>
          <w:p>
            <w:pPr>
              <w:spacing w:before="0" w:after="20" w:line="240" w:lineRule="auto"/>
            </w:pPr>
            <w:r/>
            <w:r>
              <w:rPr>
                <w:rFonts w:ascii="Calibri" w:hAnsi="Calibri"/>
                <w:b w:val="0"/>
                <w:color w:val="1F1F1F"/>
                <w:sz w:val="13"/>
              </w:rPr>
              <w:t>ADTTE TTPSA</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T-11-8</w:t>
            </w:r>
          </w:p>
        </w:tc>
        <w:tc>
          <w:tcPr>
            <w:tcW w:type="dxa" w:w="3168"/>
            <w:vAlign w:val="top"/>
          </w:tcPr>
          <w:p>
            <w:pPr>
              <w:spacing w:before="0" w:after="20" w:line="240" w:lineRule="auto"/>
            </w:pPr>
            <w:r/>
            <w:r>
              <w:rPr>
                <w:rFonts w:ascii="Calibri" w:hAnsi="Calibri"/>
                <w:b w:val="0"/>
                <w:color w:val="1F1F1F"/>
                <w:sz w:val="13"/>
              </w:rPr>
              <w:t>Time to Pain Progression: Median (IQR), HR, p</w:t>
            </w:r>
          </w:p>
        </w:tc>
        <w:tc>
          <w:tcPr>
            <w:tcW w:type="dxa" w:w="1872"/>
            <w:vAlign w:val="top"/>
          </w:tcPr>
          <w:p>
            <w:pPr>
              <w:spacing w:before="0" w:after="20" w:line="240" w:lineRule="auto"/>
            </w:pPr>
            <w:r/>
            <w:r>
              <w:rPr>
                <w:rFonts w:ascii="Calibri" w:hAnsi="Calibri"/>
                <w:b w:val="0"/>
                <w:color w:val="1F1F1F"/>
                <w:sz w:val="13"/>
              </w:rPr>
              <w:t>ADTTE TTPAIN</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T-12-1</w:t>
            </w:r>
          </w:p>
        </w:tc>
        <w:tc>
          <w:tcPr>
            <w:tcW w:type="dxa" w:w="3168"/>
            <w:vAlign w:val="top"/>
          </w:tcPr>
          <w:p>
            <w:pPr>
              <w:spacing w:before="0" w:after="20" w:line="240" w:lineRule="auto"/>
            </w:pPr>
            <w:r/>
            <w:r>
              <w:rPr>
                <w:rFonts w:ascii="Calibri" w:hAnsi="Calibri"/>
                <w:b w:val="0"/>
                <w:color w:val="1F1F1F"/>
                <w:sz w:val="13"/>
              </w:rPr>
              <w:t>OS Sensitivity: RMST at tau=12 months</w:t>
            </w:r>
          </w:p>
        </w:tc>
        <w:tc>
          <w:tcPr>
            <w:tcW w:type="dxa" w:w="1872"/>
            <w:vAlign w:val="top"/>
          </w:tcPr>
          <w:p>
            <w:pPr>
              <w:spacing w:before="0" w:after="20" w:line="240" w:lineRule="auto"/>
            </w:pPr>
            <w:r/>
            <w:r>
              <w:rPr>
                <w:rFonts w:ascii="Calibri" w:hAnsi="Calibri"/>
                <w:b w:val="0"/>
                <w:color w:val="1F1F1F"/>
                <w:sz w:val="13"/>
              </w:rPr>
              <w:t>ADTTE OS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Target output; implementation status requires reconciliation.</w:t>
            </w:r>
          </w:p>
        </w:tc>
      </w:tr>
      <w:tr>
        <w:tc>
          <w:tcPr>
            <w:tcW w:type="dxa" w:w="1080"/>
            <w:vAlign w:val="top"/>
          </w:tcPr>
          <w:p>
            <w:pPr>
              <w:spacing w:before="0" w:after="20" w:line="240" w:lineRule="auto"/>
            </w:pPr>
            <w:r/>
            <w:r>
              <w:rPr>
                <w:rFonts w:ascii="Calibri" w:hAnsi="Calibri"/>
                <w:b w:val="0"/>
                <w:color w:val="1F1F1F"/>
                <w:sz w:val="13"/>
              </w:rPr>
              <w:t>T-12-2</w:t>
            </w:r>
          </w:p>
        </w:tc>
        <w:tc>
          <w:tcPr>
            <w:tcW w:type="dxa" w:w="3168"/>
            <w:vAlign w:val="top"/>
          </w:tcPr>
          <w:p>
            <w:pPr>
              <w:spacing w:before="0" w:after="20" w:line="240" w:lineRule="auto"/>
            </w:pPr>
            <w:r/>
            <w:r>
              <w:rPr>
                <w:rFonts w:ascii="Calibri" w:hAnsi="Calibri"/>
                <w:b w:val="0"/>
                <w:color w:val="1F1F1F"/>
                <w:sz w:val="13"/>
              </w:rPr>
              <w:t>OS Sensitivity: Landmark at 6 and 12 months</w:t>
            </w:r>
          </w:p>
        </w:tc>
        <w:tc>
          <w:tcPr>
            <w:tcW w:type="dxa" w:w="1872"/>
            <w:vAlign w:val="top"/>
          </w:tcPr>
          <w:p>
            <w:pPr>
              <w:spacing w:before="0" w:after="20" w:line="240" w:lineRule="auto"/>
            </w:pPr>
            <w:r/>
            <w:r>
              <w:rPr>
                <w:rFonts w:ascii="Calibri" w:hAnsi="Calibri"/>
                <w:b w:val="0"/>
                <w:color w:val="1F1F1F"/>
                <w:sz w:val="13"/>
              </w:rPr>
              <w:t>ADTTE OS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Target output; implementation status requires reconciliation.</w:t>
            </w:r>
          </w:p>
        </w:tc>
      </w:tr>
      <w:tr>
        <w:tc>
          <w:tcPr>
            <w:tcW w:type="dxa" w:w="1080"/>
            <w:vAlign w:val="top"/>
          </w:tcPr>
          <w:p>
            <w:pPr>
              <w:spacing w:before="0" w:after="20" w:line="240" w:lineRule="auto"/>
            </w:pPr>
            <w:r/>
            <w:r>
              <w:rPr>
                <w:rFonts w:ascii="Calibri" w:hAnsi="Calibri"/>
                <w:b w:val="0"/>
                <w:color w:val="1F1F1F"/>
                <w:sz w:val="13"/>
              </w:rPr>
              <w:t>T-13-1</w:t>
            </w:r>
          </w:p>
        </w:tc>
        <w:tc>
          <w:tcPr>
            <w:tcW w:type="dxa" w:w="3168"/>
            <w:vAlign w:val="top"/>
          </w:tcPr>
          <w:p>
            <w:pPr>
              <w:spacing w:before="0" w:after="20" w:line="240" w:lineRule="auto"/>
            </w:pPr>
            <w:r/>
            <w:r>
              <w:rPr>
                <w:rFonts w:ascii="Calibri" w:hAnsi="Calibri"/>
                <w:b w:val="0"/>
                <w:color w:val="1F1F1F"/>
                <w:sz w:val="13"/>
              </w:rPr>
              <w:t>Exposure: Duration, Cycles, Cumulative Dose, RDI</w:t>
            </w:r>
          </w:p>
        </w:tc>
        <w:tc>
          <w:tcPr>
            <w:tcW w:type="dxa" w:w="1872"/>
            <w:vAlign w:val="top"/>
          </w:tcPr>
          <w:p>
            <w:pPr>
              <w:spacing w:before="0" w:after="20" w:line="240" w:lineRule="auto"/>
            </w:pPr>
            <w:r/>
            <w:r>
              <w:rPr>
                <w:rFonts w:ascii="Calibri" w:hAnsi="Calibri"/>
                <w:b w:val="0"/>
                <w:color w:val="1F1F1F"/>
                <w:sz w:val="13"/>
              </w:rPr>
              <w:t>ADEX</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T-13-2</w:t>
            </w:r>
          </w:p>
        </w:tc>
        <w:tc>
          <w:tcPr>
            <w:tcW w:type="dxa" w:w="3168"/>
            <w:vAlign w:val="top"/>
          </w:tcPr>
          <w:p>
            <w:pPr>
              <w:spacing w:before="0" w:after="20" w:line="240" w:lineRule="auto"/>
            </w:pPr>
            <w:r/>
            <w:r>
              <w:rPr>
                <w:rFonts w:ascii="Calibri" w:hAnsi="Calibri"/>
                <w:b w:val="0"/>
                <w:color w:val="1F1F1F"/>
                <w:sz w:val="13"/>
              </w:rPr>
              <w:t>Dose Modifications: Reductions and Delays by Arm</w:t>
            </w:r>
          </w:p>
        </w:tc>
        <w:tc>
          <w:tcPr>
            <w:tcW w:type="dxa" w:w="1872"/>
            <w:vAlign w:val="top"/>
          </w:tcPr>
          <w:p>
            <w:pPr>
              <w:spacing w:before="0" w:after="20" w:line="240" w:lineRule="auto"/>
            </w:pPr>
            <w:r/>
            <w:r>
              <w:rPr>
                <w:rFonts w:ascii="Calibri" w:hAnsi="Calibri"/>
                <w:b w:val="0"/>
                <w:color w:val="1F1F1F"/>
                <w:sz w:val="13"/>
              </w:rPr>
              <w:t>ADEX</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T-13-3</w:t>
            </w:r>
          </w:p>
        </w:tc>
        <w:tc>
          <w:tcPr>
            <w:tcW w:type="dxa" w:w="3168"/>
            <w:vAlign w:val="top"/>
          </w:tcPr>
          <w:p>
            <w:pPr>
              <w:spacing w:before="0" w:after="20" w:line="240" w:lineRule="auto"/>
            </w:pPr>
            <w:r/>
            <w:r>
              <w:rPr>
                <w:rFonts w:ascii="Calibri" w:hAnsi="Calibri"/>
                <w:b w:val="0"/>
                <w:color w:val="1F1F1F"/>
                <w:sz w:val="13"/>
              </w:rPr>
              <w:t>Discontinuation Reasons by Arm</w:t>
            </w:r>
          </w:p>
        </w:tc>
        <w:tc>
          <w:tcPr>
            <w:tcW w:type="dxa" w:w="1872"/>
            <w:vAlign w:val="top"/>
          </w:tcPr>
          <w:p>
            <w:pPr>
              <w:spacing w:before="0" w:after="20" w:line="240" w:lineRule="auto"/>
            </w:pPr>
            <w:r/>
            <w:r>
              <w:rPr>
                <w:rFonts w:ascii="Calibri" w:hAnsi="Calibri"/>
                <w:b w:val="0"/>
                <w:color w:val="1F1F1F"/>
                <w:sz w:val="13"/>
              </w:rPr>
              <w:t>ADEX+ADSL</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T-14-1</w:t>
            </w:r>
          </w:p>
        </w:tc>
        <w:tc>
          <w:tcPr>
            <w:tcW w:type="dxa" w:w="3168"/>
            <w:vAlign w:val="top"/>
          </w:tcPr>
          <w:p>
            <w:pPr>
              <w:spacing w:before="0" w:after="20" w:line="240" w:lineRule="auto"/>
            </w:pPr>
            <w:r/>
            <w:r>
              <w:rPr>
                <w:rFonts w:ascii="Calibri" w:hAnsi="Calibri"/>
                <w:b w:val="0"/>
                <w:color w:val="1F1F1F"/>
                <w:sz w:val="13"/>
              </w:rPr>
              <w:t>All TEAEs by SOC and PT (n, %)</w:t>
            </w:r>
          </w:p>
        </w:tc>
        <w:tc>
          <w:tcPr>
            <w:tcW w:type="dxa" w:w="1872"/>
            <w:vAlign w:val="top"/>
          </w:tcPr>
          <w:p>
            <w:pPr>
              <w:spacing w:before="0" w:after="20" w:line="240" w:lineRule="auto"/>
            </w:pPr>
            <w:r/>
            <w:r>
              <w:rPr>
                <w:rFonts w:ascii="Calibri" w:hAnsi="Calibri"/>
                <w:b w:val="0"/>
                <w:color w:val="1F1F1F"/>
                <w:sz w:val="13"/>
              </w:rPr>
              <w:t>ADAE</w:t>
            </w:r>
          </w:p>
        </w:tc>
        <w:tc>
          <w:tcPr>
            <w:tcW w:type="dxa" w:w="1296"/>
            <w:vAlign w:val="top"/>
          </w:tcPr>
          <w:p>
            <w:pPr>
              <w:spacing w:before="0" w:after="20" w:line="240" w:lineRule="auto"/>
            </w:pPr>
            <w:r/>
            <w:r>
              <w:rPr>
                <w:rFonts w:ascii="Calibri" w:hAnsi="Calibri"/>
                <w:b w:val="0"/>
                <w:color w:val="1F1F1F"/>
                <w:sz w:val="13"/>
              </w:rPr>
              <w:t>Safety N=371</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T-14-2</w:t>
            </w:r>
          </w:p>
        </w:tc>
        <w:tc>
          <w:tcPr>
            <w:tcW w:type="dxa" w:w="3168"/>
            <w:vAlign w:val="top"/>
          </w:tcPr>
          <w:p>
            <w:pPr>
              <w:spacing w:before="0" w:after="20" w:line="240" w:lineRule="auto"/>
            </w:pPr>
            <w:r/>
            <w:r>
              <w:rPr>
                <w:rFonts w:ascii="Calibri" w:hAnsi="Calibri"/>
                <w:b w:val="0"/>
                <w:color w:val="1F1F1F"/>
                <w:sz w:val="13"/>
              </w:rPr>
              <w:t>Grade &gt;=3 TEAEs by SOC and PT (n, %)</w:t>
            </w:r>
          </w:p>
        </w:tc>
        <w:tc>
          <w:tcPr>
            <w:tcW w:type="dxa" w:w="1872"/>
            <w:vAlign w:val="top"/>
          </w:tcPr>
          <w:p>
            <w:pPr>
              <w:spacing w:before="0" w:after="20" w:line="240" w:lineRule="auto"/>
            </w:pPr>
            <w:r/>
            <w:r>
              <w:rPr>
                <w:rFonts w:ascii="Calibri" w:hAnsi="Calibri"/>
                <w:b w:val="0"/>
                <w:color w:val="1F1F1F"/>
                <w:sz w:val="13"/>
              </w:rPr>
              <w:t>ADAE</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T-14-3</w:t>
            </w:r>
          </w:p>
        </w:tc>
        <w:tc>
          <w:tcPr>
            <w:tcW w:type="dxa" w:w="3168"/>
            <w:vAlign w:val="top"/>
          </w:tcPr>
          <w:p>
            <w:pPr>
              <w:spacing w:before="0" w:after="20" w:line="240" w:lineRule="auto"/>
            </w:pPr>
            <w:r/>
            <w:r>
              <w:rPr>
                <w:rFonts w:ascii="Calibri" w:hAnsi="Calibri"/>
                <w:b w:val="0"/>
                <w:color w:val="1F1F1F"/>
                <w:sz w:val="13"/>
              </w:rPr>
              <w:t>Serious TEAEs (AESER='Y')</w:t>
            </w:r>
          </w:p>
        </w:tc>
        <w:tc>
          <w:tcPr>
            <w:tcW w:type="dxa" w:w="1872"/>
            <w:vAlign w:val="top"/>
          </w:tcPr>
          <w:p>
            <w:pPr>
              <w:spacing w:before="0" w:after="20" w:line="240" w:lineRule="auto"/>
            </w:pPr>
            <w:r/>
            <w:r>
              <w:rPr>
                <w:rFonts w:ascii="Calibri" w:hAnsi="Calibri"/>
                <w:b w:val="0"/>
                <w:color w:val="1F1F1F"/>
                <w:sz w:val="13"/>
              </w:rPr>
              <w:t>ADAE</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T-14-4</w:t>
            </w:r>
          </w:p>
        </w:tc>
        <w:tc>
          <w:tcPr>
            <w:tcW w:type="dxa" w:w="3168"/>
            <w:vAlign w:val="top"/>
          </w:tcPr>
          <w:p>
            <w:pPr>
              <w:spacing w:before="0" w:after="20" w:line="240" w:lineRule="auto"/>
            </w:pPr>
            <w:r/>
            <w:r>
              <w:rPr>
                <w:rFonts w:ascii="Calibri" w:hAnsi="Calibri"/>
                <w:b w:val="0"/>
                <w:color w:val="1F1F1F"/>
                <w:sz w:val="13"/>
              </w:rPr>
              <w:t>TEAEs Leading to Dose Modification or Discontinuation</w:t>
            </w:r>
          </w:p>
        </w:tc>
        <w:tc>
          <w:tcPr>
            <w:tcW w:type="dxa" w:w="1872"/>
            <w:vAlign w:val="top"/>
          </w:tcPr>
          <w:p>
            <w:pPr>
              <w:spacing w:before="0" w:after="20" w:line="240" w:lineRule="auto"/>
            </w:pPr>
            <w:r/>
            <w:r>
              <w:rPr>
                <w:rFonts w:ascii="Calibri" w:hAnsi="Calibri"/>
                <w:b w:val="0"/>
                <w:color w:val="1F1F1F"/>
                <w:sz w:val="13"/>
              </w:rPr>
              <w:t>ADAE</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T-14-5</w:t>
            </w:r>
          </w:p>
        </w:tc>
        <w:tc>
          <w:tcPr>
            <w:tcW w:type="dxa" w:w="3168"/>
            <w:vAlign w:val="top"/>
          </w:tcPr>
          <w:p>
            <w:pPr>
              <w:spacing w:before="0" w:after="20" w:line="240" w:lineRule="auto"/>
            </w:pPr>
            <w:r/>
            <w:r>
              <w:rPr>
                <w:rFonts w:ascii="Calibri" w:hAnsi="Calibri"/>
                <w:b w:val="0"/>
                <w:color w:val="1F1F1F"/>
                <w:sz w:val="13"/>
              </w:rPr>
              <w:t>Deaths &lt;=30 Days of Last Dose - cause (reproduces Table 5)</w:t>
            </w:r>
          </w:p>
        </w:tc>
        <w:tc>
          <w:tcPr>
            <w:tcW w:type="dxa" w:w="1872"/>
            <w:vAlign w:val="top"/>
          </w:tcPr>
          <w:p>
            <w:pPr>
              <w:spacing w:before="0" w:after="20" w:line="240" w:lineRule="auto"/>
            </w:pPr>
            <w:r/>
            <w:r>
              <w:rPr>
                <w:rFonts w:ascii="Calibri" w:hAnsi="Calibri"/>
                <w:b w:val="0"/>
                <w:color w:val="1F1F1F"/>
                <w:sz w:val="13"/>
              </w:rPr>
              <w:t>ADAE+ADSL</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T-14-6</w:t>
            </w:r>
          </w:p>
        </w:tc>
        <w:tc>
          <w:tcPr>
            <w:tcW w:type="dxa" w:w="3168"/>
            <w:vAlign w:val="top"/>
          </w:tcPr>
          <w:p>
            <w:pPr>
              <w:spacing w:before="0" w:after="20" w:line="240" w:lineRule="auto"/>
            </w:pPr>
            <w:r/>
            <w:r>
              <w:rPr>
                <w:rFonts w:ascii="Calibri" w:hAnsi="Calibri"/>
                <w:b w:val="0"/>
                <w:color w:val="1F1F1F"/>
                <w:sz w:val="13"/>
              </w:rPr>
              <w:t>Full Deaths Table (reproduces Table 5 complete)</w:t>
            </w:r>
          </w:p>
        </w:tc>
        <w:tc>
          <w:tcPr>
            <w:tcW w:type="dxa" w:w="1872"/>
            <w:vAlign w:val="top"/>
          </w:tcPr>
          <w:p>
            <w:pPr>
              <w:spacing w:before="0" w:after="20" w:line="240" w:lineRule="auto"/>
            </w:pPr>
            <w:r/>
            <w:r>
              <w:rPr>
                <w:rFonts w:ascii="Calibri" w:hAnsi="Calibri"/>
                <w:b w:val="0"/>
                <w:color w:val="1F1F1F"/>
                <w:sz w:val="13"/>
              </w:rPr>
              <w:t>ADSL+ADAE</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T-15-1</w:t>
            </w:r>
          </w:p>
        </w:tc>
        <w:tc>
          <w:tcPr>
            <w:tcW w:type="dxa" w:w="3168"/>
            <w:vAlign w:val="top"/>
          </w:tcPr>
          <w:p>
            <w:pPr>
              <w:spacing w:before="0" w:after="20" w:line="240" w:lineRule="auto"/>
            </w:pPr>
            <w:r/>
            <w:r>
              <w:rPr>
                <w:rFonts w:ascii="Calibri" w:hAnsi="Calibri"/>
                <w:b w:val="0"/>
                <w:color w:val="1F1F1F"/>
                <w:sz w:val="13"/>
              </w:rPr>
              <w:t>G-CSF Use by Arm, Cycle, Type (Prophylactic / Therapeutic)</w:t>
            </w:r>
          </w:p>
        </w:tc>
        <w:tc>
          <w:tcPr>
            <w:tcW w:type="dxa" w:w="1872"/>
            <w:vAlign w:val="top"/>
          </w:tcPr>
          <w:p>
            <w:pPr>
              <w:spacing w:before="0" w:after="20" w:line="240" w:lineRule="auto"/>
            </w:pPr>
            <w:r/>
            <w:r>
              <w:rPr>
                <w:rFonts w:ascii="Calibri" w:hAnsi="Calibri"/>
                <w:b w:val="0"/>
                <w:color w:val="1F1F1F"/>
                <w:sz w:val="13"/>
              </w:rPr>
              <w:t>ADCM</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T-16-1</w:t>
            </w:r>
          </w:p>
        </w:tc>
        <w:tc>
          <w:tcPr>
            <w:tcW w:type="dxa" w:w="3168"/>
            <w:vAlign w:val="top"/>
          </w:tcPr>
          <w:p>
            <w:pPr>
              <w:spacing w:before="0" w:after="20" w:line="240" w:lineRule="auto"/>
            </w:pPr>
            <w:r/>
            <w:r>
              <w:rPr>
                <w:rFonts w:ascii="Calibri" w:hAnsi="Calibri"/>
                <w:b w:val="0"/>
                <w:color w:val="1F1F1F"/>
                <w:sz w:val="13"/>
              </w:rPr>
              <w:t>Haematology Values by Visit and Arm</w:t>
            </w:r>
          </w:p>
        </w:tc>
        <w:tc>
          <w:tcPr>
            <w:tcW w:type="dxa" w:w="1872"/>
            <w:vAlign w:val="top"/>
          </w:tcPr>
          <w:p>
            <w:pPr>
              <w:spacing w:before="0" w:after="20" w:line="240" w:lineRule="auto"/>
            </w:pPr>
            <w:r/>
            <w:r>
              <w:rPr>
                <w:rFonts w:ascii="Calibri" w:hAnsi="Calibri"/>
                <w:b w:val="0"/>
                <w:color w:val="1F1F1F"/>
                <w:sz w:val="13"/>
              </w:rPr>
              <w:t>ADLB</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T-16-2</w:t>
            </w:r>
          </w:p>
        </w:tc>
        <w:tc>
          <w:tcPr>
            <w:tcW w:type="dxa" w:w="3168"/>
            <w:vAlign w:val="top"/>
          </w:tcPr>
          <w:p>
            <w:pPr>
              <w:spacing w:before="0" w:after="20" w:line="240" w:lineRule="auto"/>
            </w:pPr>
            <w:r/>
            <w:r>
              <w:rPr>
                <w:rFonts w:ascii="Calibri" w:hAnsi="Calibri"/>
                <w:b w:val="0"/>
                <w:color w:val="1F1F1F"/>
                <w:sz w:val="13"/>
              </w:rPr>
              <w:t>Worst CTCAE v3.0 Grade per Haematology Parameter</w:t>
            </w:r>
          </w:p>
        </w:tc>
        <w:tc>
          <w:tcPr>
            <w:tcW w:type="dxa" w:w="1872"/>
            <w:vAlign w:val="top"/>
          </w:tcPr>
          <w:p>
            <w:pPr>
              <w:spacing w:before="0" w:after="20" w:line="240" w:lineRule="auto"/>
            </w:pPr>
            <w:r/>
            <w:r>
              <w:rPr>
                <w:rFonts w:ascii="Calibri" w:hAnsi="Calibri"/>
                <w:b w:val="0"/>
                <w:color w:val="1F1F1F"/>
                <w:sz w:val="13"/>
              </w:rPr>
              <w:t>ADLB</w:t>
            </w:r>
          </w:p>
        </w:tc>
        <w:tc>
          <w:tcPr>
            <w:tcW w:type="dxa" w:w="1296"/>
            <w:vAlign w:val="top"/>
          </w:tcPr>
          <w:p>
            <w:pPr>
              <w:spacing w:before="0" w:after="20" w:line="240" w:lineRule="auto"/>
            </w:pPr>
            <w:r/>
            <w:r>
              <w:rPr>
                <w:rFonts w:ascii="Calibri" w:hAnsi="Calibri"/>
                <w:b w:val="0"/>
                <w:color w:val="1F1F1F"/>
                <w:sz w:val="13"/>
              </w:rPr>
              <w:t>Safety</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T-17-1</w:t>
            </w:r>
          </w:p>
        </w:tc>
        <w:tc>
          <w:tcPr>
            <w:tcW w:type="dxa" w:w="3168"/>
            <w:vAlign w:val="top"/>
          </w:tcPr>
          <w:p>
            <w:pPr>
              <w:spacing w:before="0" w:after="20" w:line="240" w:lineRule="auto"/>
            </w:pPr>
            <w:r/>
            <w:r>
              <w:rPr>
                <w:rFonts w:ascii="Calibri" w:hAnsi="Calibri"/>
                <w:b w:val="0"/>
                <w:color w:val="1F1F1F"/>
                <w:sz w:val="13"/>
              </w:rPr>
              <w:t>RDI by Arm and Cycle (Optimus)</w:t>
            </w:r>
          </w:p>
        </w:tc>
        <w:tc>
          <w:tcPr>
            <w:tcW w:type="dxa" w:w="1872"/>
            <w:vAlign w:val="top"/>
          </w:tcPr>
          <w:p>
            <w:pPr>
              <w:spacing w:before="0" w:after="20" w:line="240" w:lineRule="auto"/>
            </w:pPr>
            <w:r/>
            <w:r>
              <w:rPr>
                <w:rFonts w:ascii="Calibri" w:hAnsi="Calibri"/>
                <w:b w:val="0"/>
                <w:color w:val="1F1F1F"/>
                <w:sz w:val="13"/>
              </w:rPr>
              <w:t>ADEX</w:t>
            </w:r>
          </w:p>
        </w:tc>
        <w:tc>
          <w:tcPr>
            <w:tcW w:type="dxa" w:w="1296"/>
            <w:vAlign w:val="top"/>
          </w:tcPr>
          <w:p>
            <w:pPr>
              <w:spacing w:before="0" w:after="20" w:line="240" w:lineRule="auto"/>
            </w:pPr>
            <w:r/>
            <w:r>
              <w:rPr>
                <w:rFonts w:ascii="Calibri" w:hAnsi="Calibri"/>
                <w:b w:val="0"/>
                <w:color w:val="1F1F1F"/>
                <w:sz w:val="13"/>
              </w:rPr>
              <w:t>CbzP Safety</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T-17-2</w:t>
            </w:r>
          </w:p>
        </w:tc>
        <w:tc>
          <w:tcPr>
            <w:tcW w:type="dxa" w:w="3168"/>
            <w:vAlign w:val="top"/>
          </w:tcPr>
          <w:p>
            <w:pPr>
              <w:spacing w:before="0" w:after="20" w:line="240" w:lineRule="auto"/>
            </w:pPr>
            <w:r/>
            <w:r>
              <w:rPr>
                <w:rFonts w:ascii="Calibri" w:hAnsi="Calibri"/>
                <w:b w:val="0"/>
                <w:color w:val="1F1F1F"/>
                <w:sz w:val="13"/>
              </w:rPr>
              <w:t>ANC Nadir by Cycle x G-CSF Status (Optimus)</w:t>
            </w:r>
          </w:p>
        </w:tc>
        <w:tc>
          <w:tcPr>
            <w:tcW w:type="dxa" w:w="1872"/>
            <w:vAlign w:val="top"/>
          </w:tcPr>
          <w:p>
            <w:pPr>
              <w:spacing w:before="0" w:after="20" w:line="240" w:lineRule="auto"/>
            </w:pPr>
            <w:r/>
            <w:r>
              <w:rPr>
                <w:rFonts w:ascii="Calibri" w:hAnsi="Calibri"/>
                <w:b w:val="0"/>
                <w:color w:val="1F1F1F"/>
                <w:sz w:val="13"/>
              </w:rPr>
              <w:t>ADLB+ADCM</w:t>
            </w:r>
          </w:p>
        </w:tc>
        <w:tc>
          <w:tcPr>
            <w:tcW w:type="dxa" w:w="1296"/>
            <w:vAlign w:val="top"/>
          </w:tcPr>
          <w:p>
            <w:pPr>
              <w:spacing w:before="0" w:after="20" w:line="240" w:lineRule="auto"/>
            </w:pPr>
            <w:r/>
            <w:r>
              <w:rPr>
                <w:rFonts w:ascii="Calibri" w:hAnsi="Calibri"/>
                <w:b w:val="0"/>
                <w:color w:val="1F1F1F"/>
                <w:sz w:val="13"/>
              </w:rPr>
              <w:t>CbzP Safety</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T-17-3</w:t>
            </w:r>
          </w:p>
        </w:tc>
        <w:tc>
          <w:tcPr>
            <w:tcW w:type="dxa" w:w="3168"/>
            <w:vAlign w:val="top"/>
          </w:tcPr>
          <w:p>
            <w:pPr>
              <w:spacing w:before="0" w:after="20" w:line="240" w:lineRule="auto"/>
            </w:pPr>
            <w:r/>
            <w:r>
              <w:rPr>
                <w:rFonts w:ascii="Calibri" w:hAnsi="Calibri"/>
                <w:b w:val="0"/>
                <w:color w:val="1F1F1F"/>
                <w:sz w:val="13"/>
              </w:rPr>
              <w:t>ANC Recovery Latency vs. Delay Status (Optimus)</w:t>
            </w:r>
          </w:p>
        </w:tc>
        <w:tc>
          <w:tcPr>
            <w:tcW w:type="dxa" w:w="1872"/>
            <w:vAlign w:val="top"/>
          </w:tcPr>
          <w:p>
            <w:pPr>
              <w:spacing w:before="0" w:after="20" w:line="240" w:lineRule="auto"/>
            </w:pPr>
            <w:r/>
            <w:r>
              <w:rPr>
                <w:rFonts w:ascii="Calibri" w:hAnsi="Calibri"/>
                <w:b w:val="0"/>
                <w:color w:val="1F1F1F"/>
                <w:sz w:val="13"/>
              </w:rPr>
              <w:t>ADLB+ADEX</w:t>
            </w:r>
          </w:p>
        </w:tc>
        <w:tc>
          <w:tcPr>
            <w:tcW w:type="dxa" w:w="1296"/>
            <w:vAlign w:val="top"/>
          </w:tcPr>
          <w:p>
            <w:pPr>
              <w:spacing w:before="0" w:after="20" w:line="240" w:lineRule="auto"/>
            </w:pPr>
            <w:r/>
            <w:r>
              <w:rPr>
                <w:rFonts w:ascii="Calibri" w:hAnsi="Calibri"/>
                <w:b w:val="0"/>
                <w:color w:val="1F1F1F"/>
                <w:sz w:val="13"/>
              </w:rPr>
              <w:t>CbzP Safety</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T-17-4</w:t>
            </w:r>
          </w:p>
        </w:tc>
        <w:tc>
          <w:tcPr>
            <w:tcW w:type="dxa" w:w="3168"/>
            <w:vAlign w:val="top"/>
          </w:tcPr>
          <w:p>
            <w:pPr>
              <w:spacing w:before="0" w:after="20" w:line="240" w:lineRule="auto"/>
            </w:pPr>
            <w:r/>
            <w:r>
              <w:rPr>
                <w:rFonts w:ascii="Calibri" w:hAnsi="Calibri"/>
                <w:b w:val="0"/>
                <w:color w:val="1F1F1F"/>
                <w:sz w:val="13"/>
              </w:rPr>
              <w:t>Benefit-Risk by RDI Tertile (Optimus)</w:t>
            </w:r>
          </w:p>
        </w:tc>
        <w:tc>
          <w:tcPr>
            <w:tcW w:type="dxa" w:w="1872"/>
            <w:vAlign w:val="top"/>
          </w:tcPr>
          <w:p>
            <w:pPr>
              <w:spacing w:before="0" w:after="20" w:line="240" w:lineRule="auto"/>
            </w:pPr>
            <w:r/>
            <w:r>
              <w:rPr>
                <w:rFonts w:ascii="Calibri" w:hAnsi="Calibri"/>
                <w:b w:val="0"/>
                <w:color w:val="1F1F1F"/>
                <w:sz w:val="13"/>
              </w:rPr>
              <w:t>ADEX+ADTTE+ADAE</w:t>
            </w:r>
          </w:p>
        </w:tc>
        <w:tc>
          <w:tcPr>
            <w:tcW w:type="dxa" w:w="1296"/>
            <w:vAlign w:val="top"/>
          </w:tcPr>
          <w:p>
            <w:pPr>
              <w:spacing w:before="0" w:after="20" w:line="240" w:lineRule="auto"/>
            </w:pPr>
            <w:r/>
            <w:r>
              <w:rPr>
                <w:rFonts w:ascii="Calibri" w:hAnsi="Calibri"/>
                <w:b w:val="0"/>
                <w:color w:val="1F1F1F"/>
                <w:sz w:val="13"/>
              </w:rPr>
              <w:t>CbzP</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F-11-1</w:t>
            </w:r>
          </w:p>
        </w:tc>
        <w:tc>
          <w:tcPr>
            <w:tcW w:type="dxa" w:w="3168"/>
            <w:vAlign w:val="top"/>
          </w:tcPr>
          <w:p>
            <w:pPr>
              <w:spacing w:before="0" w:after="20" w:line="240" w:lineRule="auto"/>
            </w:pPr>
            <w:r/>
            <w:r>
              <w:rPr>
                <w:rFonts w:ascii="Calibri" w:hAnsi="Calibri"/>
                <w:b w:val="0"/>
                <w:color w:val="1F1F1F"/>
                <w:sz w:val="13"/>
              </w:rPr>
              <w:t>KM Curve - OS - reproduce Lancet Figure 2A</w:t>
            </w:r>
          </w:p>
        </w:tc>
        <w:tc>
          <w:tcPr>
            <w:tcW w:type="dxa" w:w="1872"/>
            <w:vAlign w:val="top"/>
          </w:tcPr>
          <w:p>
            <w:pPr>
              <w:spacing w:before="0" w:after="20" w:line="240" w:lineRule="auto"/>
            </w:pPr>
            <w:r/>
            <w:r>
              <w:rPr>
                <w:rFonts w:ascii="Calibri" w:hAnsi="Calibri"/>
                <w:b w:val="0"/>
                <w:color w:val="1F1F1F"/>
                <w:sz w:val="13"/>
              </w:rPr>
              <w:t>ADTTE OS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F-11-2</w:t>
            </w:r>
          </w:p>
        </w:tc>
        <w:tc>
          <w:tcPr>
            <w:tcW w:type="dxa" w:w="3168"/>
            <w:vAlign w:val="top"/>
          </w:tcPr>
          <w:p>
            <w:pPr>
              <w:spacing w:before="0" w:after="20" w:line="240" w:lineRule="auto"/>
            </w:pPr>
            <w:r/>
            <w:r>
              <w:rPr>
                <w:rFonts w:ascii="Calibri" w:hAnsi="Calibri"/>
                <w:b w:val="0"/>
                <w:color w:val="1F1F1F"/>
                <w:sz w:val="13"/>
              </w:rPr>
              <w:t>KM Curve - PFS - reproduce Lancet Figure 3</w:t>
            </w:r>
          </w:p>
        </w:tc>
        <w:tc>
          <w:tcPr>
            <w:tcW w:type="dxa" w:w="1872"/>
            <w:vAlign w:val="top"/>
          </w:tcPr>
          <w:p>
            <w:pPr>
              <w:spacing w:before="0" w:after="20" w:line="240" w:lineRule="auto"/>
            </w:pPr>
            <w:r/>
            <w:r>
              <w:rPr>
                <w:rFonts w:ascii="Calibri" w:hAnsi="Calibri"/>
                <w:b w:val="0"/>
                <w:color w:val="1F1F1F"/>
                <w:sz w:val="13"/>
              </w:rPr>
              <w:t>ADTTE PFS</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F-12-1</w:t>
            </w:r>
          </w:p>
        </w:tc>
        <w:tc>
          <w:tcPr>
            <w:tcW w:type="dxa" w:w="3168"/>
            <w:vAlign w:val="top"/>
          </w:tcPr>
          <w:p>
            <w:pPr>
              <w:spacing w:before="0" w:after="20" w:line="240" w:lineRule="auto"/>
            </w:pPr>
            <w:r/>
            <w:r>
              <w:rPr>
                <w:rFonts w:ascii="Calibri" w:hAnsi="Calibri"/>
                <w:b w:val="0"/>
                <w:color w:val="1F1F1F"/>
                <w:sz w:val="13"/>
              </w:rPr>
              <w:t>Forest Plot - OS Subgroups - reproduce Lancet Figure 2B</w:t>
            </w:r>
          </w:p>
        </w:tc>
        <w:tc>
          <w:tcPr>
            <w:tcW w:type="dxa" w:w="1872"/>
            <w:vAlign w:val="top"/>
          </w:tcPr>
          <w:p>
            <w:pPr>
              <w:spacing w:before="0" w:after="20" w:line="240" w:lineRule="auto"/>
            </w:pPr>
            <w:r/>
            <w:r>
              <w:rPr>
                <w:rFonts w:ascii="Calibri" w:hAnsi="Calibri"/>
                <w:b w:val="0"/>
                <w:color w:val="1F1F1F"/>
                <w:sz w:val="13"/>
              </w:rPr>
              <w:t>ADTTE+ADSL</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r>
        <w:tc>
          <w:tcPr>
            <w:tcW w:type="dxa" w:w="1080"/>
            <w:vAlign w:val="top"/>
          </w:tcPr>
          <w:p>
            <w:pPr>
              <w:spacing w:before="0" w:after="20" w:line="240" w:lineRule="auto"/>
            </w:pPr>
            <w:r/>
            <w:r>
              <w:rPr>
                <w:rFonts w:ascii="Calibri" w:hAnsi="Calibri"/>
                <w:b w:val="0"/>
                <w:color w:val="1F1F1F"/>
                <w:sz w:val="13"/>
              </w:rPr>
              <w:t>F-12-2</w:t>
            </w:r>
          </w:p>
        </w:tc>
        <w:tc>
          <w:tcPr>
            <w:tcW w:type="dxa" w:w="3168"/>
            <w:vAlign w:val="top"/>
          </w:tcPr>
          <w:p>
            <w:pPr>
              <w:spacing w:before="0" w:after="20" w:line="240" w:lineRule="auto"/>
            </w:pPr>
            <w:r/>
            <w:r>
              <w:rPr>
                <w:rFonts w:ascii="Calibri" w:hAnsi="Calibri"/>
                <w:b w:val="0"/>
                <w:color w:val="1F1F1F"/>
                <w:sz w:val="13"/>
              </w:rPr>
              <w:t>Forest Plot - PFS Subgroups</w:t>
            </w:r>
          </w:p>
        </w:tc>
        <w:tc>
          <w:tcPr>
            <w:tcW w:type="dxa" w:w="1872"/>
            <w:vAlign w:val="top"/>
          </w:tcPr>
          <w:p>
            <w:pPr>
              <w:spacing w:before="0" w:after="20" w:line="240" w:lineRule="auto"/>
            </w:pPr>
            <w:r/>
            <w:r>
              <w:rPr>
                <w:rFonts w:ascii="Calibri" w:hAnsi="Calibri"/>
                <w:b w:val="0"/>
                <w:color w:val="1F1F1F"/>
                <w:sz w:val="13"/>
              </w:rPr>
              <w:t>ADTTE+ADSL</w:t>
            </w:r>
          </w:p>
        </w:tc>
        <w:tc>
          <w:tcPr>
            <w:tcW w:type="dxa" w:w="1296"/>
            <w:vAlign w:val="top"/>
          </w:tcPr>
          <w:p>
            <w:pPr>
              <w:spacing w:before="0" w:after="20" w:line="240" w:lineRule="auto"/>
            </w:pPr>
            <w:r/>
            <w:r>
              <w:rPr>
                <w:rFonts w:ascii="Calibri" w:hAnsi="Calibri"/>
                <w:b w:val="0"/>
                <w:color w:val="1F1F1F"/>
                <w:sz w:val="13"/>
              </w:rPr>
              <w:t>ITT</w:t>
            </w:r>
          </w:p>
        </w:tc>
        <w:tc>
          <w:tcPr>
            <w:tcW w:type="dxa" w:w="1944"/>
            <w:vAlign w:val="top"/>
          </w:tcPr>
          <w:p>
            <w:pPr>
              <w:spacing w:before="0" w:after="20" w:line="240" w:lineRule="auto"/>
            </w:pPr>
            <w:r/>
            <w:r>
              <w:rPr>
                <w:rFonts w:ascii="Calibri" w:hAnsi="Calibri"/>
                <w:b w:val="0"/>
                <w:color w:val="1F1F1F"/>
                <w:sz w:val="13"/>
              </w:rPr>
              <w:t>Planned; not currently produced as a controlled output.</w:t>
            </w:r>
          </w:p>
        </w:tc>
      </w:tr>
      <w:tr>
        <w:tc>
          <w:tcPr>
            <w:tcW w:type="dxa" w:w="1080"/>
            <w:vAlign w:val="top"/>
          </w:tcPr>
          <w:p>
            <w:pPr>
              <w:spacing w:before="0" w:after="20" w:line="240" w:lineRule="auto"/>
            </w:pPr>
            <w:r/>
            <w:r>
              <w:rPr>
                <w:rFonts w:ascii="Calibri" w:hAnsi="Calibri"/>
                <w:b w:val="0"/>
                <w:color w:val="1F1F1F"/>
                <w:sz w:val="13"/>
              </w:rPr>
              <w:t>F-17-1</w:t>
            </w:r>
          </w:p>
        </w:tc>
        <w:tc>
          <w:tcPr>
            <w:tcW w:type="dxa" w:w="3168"/>
            <w:vAlign w:val="top"/>
          </w:tcPr>
          <w:p>
            <w:pPr>
              <w:spacing w:before="0" w:after="20" w:line="240" w:lineRule="auto"/>
            </w:pPr>
            <w:r/>
            <w:r>
              <w:rPr>
                <w:rFonts w:ascii="Calibri" w:hAnsi="Calibri"/>
                <w:b w:val="0"/>
                <w:color w:val="1F1F1F"/>
                <w:sz w:val="13"/>
              </w:rPr>
              <w:t>Scatter: RDI vs ANC Nadir (Optimus E-R)</w:t>
            </w:r>
          </w:p>
        </w:tc>
        <w:tc>
          <w:tcPr>
            <w:tcW w:type="dxa" w:w="1872"/>
            <w:vAlign w:val="top"/>
          </w:tcPr>
          <w:p>
            <w:pPr>
              <w:spacing w:before="0" w:after="20" w:line="240" w:lineRule="auto"/>
            </w:pPr>
            <w:r/>
            <w:r>
              <w:rPr>
                <w:rFonts w:ascii="Calibri" w:hAnsi="Calibri"/>
                <w:b w:val="0"/>
                <w:color w:val="1F1F1F"/>
                <w:sz w:val="13"/>
              </w:rPr>
              <w:t>ADEX+ADLB+ADCM</w:t>
            </w:r>
          </w:p>
        </w:tc>
        <w:tc>
          <w:tcPr>
            <w:tcW w:type="dxa" w:w="1296"/>
            <w:vAlign w:val="top"/>
          </w:tcPr>
          <w:p>
            <w:pPr>
              <w:spacing w:before="0" w:after="20" w:line="240" w:lineRule="auto"/>
            </w:pPr>
            <w:r/>
            <w:r>
              <w:rPr>
                <w:rFonts w:ascii="Calibri" w:hAnsi="Calibri"/>
                <w:b w:val="0"/>
                <w:color w:val="1F1F1F"/>
                <w:sz w:val="13"/>
              </w:rPr>
              <w:t>CbzP</w:t>
            </w:r>
          </w:p>
        </w:tc>
        <w:tc>
          <w:tcPr>
            <w:tcW w:type="dxa" w:w="1944"/>
            <w:vAlign w:val="top"/>
          </w:tcPr>
          <w:p>
            <w:pPr>
              <w:spacing w:before="0" w:after="20" w:line="240" w:lineRule="auto"/>
            </w:pPr>
            <w:r/>
            <w:r>
              <w:rPr>
                <w:rFonts w:ascii="Calibri" w:hAnsi="Calibri"/>
                <w:b w:val="0"/>
                <w:color w:val="1F1F1F"/>
                <w:sz w:val="13"/>
              </w:rPr>
              <w:t>Current physical output exists; requires v4 shell/QC status check.</w:t>
            </w:r>
          </w:p>
        </w:tc>
      </w:tr>
    </w:tbl>
    <w:p/>
    <w:p>
      <w:pPr>
        <w:pStyle w:val="Heading2"/>
      </w:pPr>
      <w:r>
        <w:t>17.1 Shell requirements for every TFL</w:t>
      </w:r>
    </w:p>
    <w:p>
      <w:pPr>
        <w:pStyle w:val="ListBullet"/>
        <w:spacing w:after="40"/>
      </w:pPr>
      <w:r>
        <w:t>Shell must state population, denominator, treatment columns, statistic rows, sorting rules, precision, missing/NE handling and footnotes.</w:t>
      </w:r>
    </w:p>
    <w:p>
      <w:pPr>
        <w:pStyle w:val="ListBullet"/>
        <w:spacing w:after="40"/>
      </w:pPr>
      <w:r>
        <w:t>Shell must identify whether the output is confirmatory, supportive, safety, exploratory or synthetic-comparator demonstration.</w:t>
      </w:r>
    </w:p>
    <w:p>
      <w:pPr>
        <w:pStyle w:val="ListBullet"/>
        <w:spacing w:after="40"/>
      </w:pPr>
      <w:r>
        <w:t>Shell must map to SAP section and ADaM datasets/variables before programming begins.</w:t>
      </w:r>
    </w:p>
    <w:p>
      <w:pPr>
        <w:pStyle w:val="ListBullet"/>
        <w:spacing w:after="40"/>
      </w:pPr>
      <w:r>
        <w:t>A produced output without shell approval is not release-ready even if code runs and numbers look plausible.</w:t>
      </w:r>
    </w:p>
    <w:p>
      <w:pPr>
        <w:pStyle w:val="ListBullet"/>
        <w:spacing w:after="40"/>
      </w:pPr>
      <w:r>
        <w:t>Any output not in the controlled catalog must be removed or added by SAP amendment before package release.</w:t>
      </w:r>
    </w:p>
    <w:p>
      <w:pPr>
        <w:pStyle w:val="Heading1"/>
      </w:pPr>
      <w:r>
        <w:t>18. Known limitations and remediation controls</w:t>
      </w:r>
    </w:p>
    <w:tbl>
      <w:tblPr>
        <w:tblW w:type="auto" w:w="0"/>
        <w:jc w:val="center"/>
        <w:tblLook w:firstColumn="1" w:firstRow="1" w:lastColumn="0" w:lastRow="0" w:noHBand="0" w:noVBand="1" w:val="04A0"/>
      </w:tblPr>
      <w:tblGrid>
        <w:gridCol w:w="10166"/>
      </w:tblGrid>
      <w:tr>
        <w:tc>
          <w:tcPr>
            <w:tcW w:type="dxa" w:w="10166"/>
            <w:shd w:fill="FCE4D6"/>
            <w:vAlign w:val="top"/>
          </w:tcPr>
          <w:p>
            <w:pPr>
              <w:spacing w:before="0" w:after="20" w:line="240" w:lineRule="auto"/>
            </w:pPr>
            <w:r/>
            <w:r>
              <w:rPr>
                <w:rFonts w:ascii="Calibri" w:hAnsi="Calibri"/>
                <w:b/>
                <w:color w:val="9C0006"/>
                <w:sz w:val="17"/>
              </w:rPr>
              <w:t>The limitations below are not cosmetic. They control whether the project can make clinical, regulatory or submission-readiness claims.</w:t>
            </w:r>
          </w:p>
        </w:tc>
      </w:tr>
    </w:tbl>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vAlign w:val="top"/>
            <w:shd w:fill="1F4E79"/>
          </w:tcPr>
          <w:p>
            <w:pPr>
              <w:spacing w:before="0" w:after="20" w:line="240" w:lineRule="auto"/>
            </w:pPr>
            <w:r/>
            <w:r>
              <w:rPr>
                <w:rFonts w:ascii="Calibri" w:hAnsi="Calibri"/>
                <w:b/>
                <w:color w:val="FFFFFF"/>
                <w:sz w:val="14"/>
              </w:rPr>
              <w:t>Finding</w:t>
            </w:r>
          </w:p>
        </w:tc>
        <w:tc>
          <w:tcPr>
            <w:tcW w:type="dxa" w:w="1080"/>
            <w:vAlign w:val="top"/>
            <w:shd w:fill="1F4E79"/>
          </w:tcPr>
          <w:p>
            <w:pPr>
              <w:spacing w:before="0" w:after="20" w:line="240" w:lineRule="auto"/>
            </w:pPr>
            <w:r/>
            <w:r>
              <w:rPr>
                <w:rFonts w:ascii="Calibri" w:hAnsi="Calibri"/>
                <w:b/>
                <w:color w:val="FFFFFF"/>
                <w:sz w:val="14"/>
              </w:rPr>
              <w:t>Severity</w:t>
            </w:r>
          </w:p>
        </w:tc>
        <w:tc>
          <w:tcPr>
            <w:tcW w:type="dxa" w:w="2016"/>
            <w:vAlign w:val="top"/>
            <w:shd w:fill="1F4E79"/>
          </w:tcPr>
          <w:p>
            <w:pPr>
              <w:spacing w:before="0" w:after="20" w:line="240" w:lineRule="auto"/>
            </w:pPr>
            <w:r/>
            <w:r>
              <w:rPr>
                <w:rFonts w:ascii="Calibri" w:hAnsi="Calibri"/>
                <w:b/>
                <w:color w:val="FFFFFF"/>
                <w:sz w:val="14"/>
              </w:rPr>
              <w:t>Category</w:t>
            </w:r>
          </w:p>
        </w:tc>
        <w:tc>
          <w:tcPr>
            <w:tcW w:type="dxa" w:w="5184"/>
            <w:vAlign w:val="top"/>
            <w:shd w:fill="1F4E79"/>
          </w:tcPr>
          <w:p>
            <w:pPr>
              <w:spacing w:before="0" w:after="20" w:line="240" w:lineRule="auto"/>
            </w:pPr>
            <w:r/>
            <w:r>
              <w:rPr>
                <w:rFonts w:ascii="Calibri" w:hAnsi="Calibri"/>
                <w:b/>
                <w:color w:val="FFFFFF"/>
                <w:sz w:val="14"/>
              </w:rPr>
              <w:t>Required closure</w:t>
            </w:r>
          </w:p>
        </w:tc>
      </w:tr>
      <w:tr>
        <w:tc>
          <w:tcPr>
            <w:tcW w:type="dxa" w:w="1080"/>
            <w:vAlign w:val="top"/>
          </w:tcPr>
          <w:p>
            <w:pPr>
              <w:spacing w:before="0" w:after="20" w:line="240" w:lineRule="auto"/>
            </w:pPr>
            <w:r/>
            <w:r>
              <w:rPr>
                <w:rFonts w:ascii="Calibri" w:hAnsi="Calibri"/>
                <w:b w:val="0"/>
                <w:color w:val="1F1F1F"/>
                <w:sz w:val="14"/>
              </w:rPr>
              <w:t>F-001</w:t>
            </w:r>
          </w:p>
        </w:tc>
        <w:tc>
          <w:tcPr>
            <w:tcW w:type="dxa" w:w="1080"/>
            <w:vAlign w:val="top"/>
          </w:tcPr>
          <w:p>
            <w:pPr>
              <w:spacing w:before="0" w:after="20" w:line="240" w:lineRule="auto"/>
            </w:pPr>
            <w:r/>
            <w:r>
              <w:rPr>
                <w:rFonts w:ascii="Calibri" w:hAnsi="Calibri"/>
                <w:b w:val="0"/>
                <w:color w:val="1F1F1F"/>
                <w:sz w:val="14"/>
              </w:rPr>
              <w:t>Critical</w:t>
            </w:r>
          </w:p>
        </w:tc>
        <w:tc>
          <w:tcPr>
            <w:tcW w:type="dxa" w:w="2016"/>
            <w:vAlign w:val="top"/>
          </w:tcPr>
          <w:p>
            <w:pPr>
              <w:spacing w:before="0" w:after="20" w:line="240" w:lineRule="auto"/>
            </w:pPr>
            <w:r/>
            <w:r>
              <w:rPr>
                <w:rFonts w:ascii="Calibri" w:hAnsi="Calibri"/>
                <w:b w:val="0"/>
                <w:color w:val="1F1F1F"/>
                <w:sz w:val="14"/>
              </w:rPr>
              <w:t>eCTD integrity</w:t>
            </w:r>
          </w:p>
        </w:tc>
        <w:tc>
          <w:tcPr>
            <w:tcW w:type="dxa" w:w="5184"/>
            <w:vAlign w:val="top"/>
          </w:tcPr>
          <w:p>
            <w:pPr>
              <w:spacing w:before="0" w:after="20" w:line="240" w:lineRule="auto"/>
            </w:pPr>
            <w:r/>
            <w:r>
              <w:rPr>
                <w:rFonts w:ascii="Calibri" w:hAnsi="Calibri"/>
                <w:b w:val="0"/>
                <w:color w:val="1F1F1F"/>
                <w:sz w:val="14"/>
              </w:rPr>
              <w:t>Delete the sequence; rebuild full or preview atomically in a new directory; fail on any unindexed payload or missing leaf; verify after final copy.</w:t>
            </w:r>
          </w:p>
        </w:tc>
      </w:tr>
      <w:tr>
        <w:tc>
          <w:tcPr>
            <w:tcW w:type="dxa" w:w="1080"/>
            <w:vAlign w:val="top"/>
          </w:tcPr>
          <w:p>
            <w:pPr>
              <w:spacing w:before="0" w:after="20" w:line="240" w:lineRule="auto"/>
            </w:pPr>
            <w:r/>
            <w:r>
              <w:rPr>
                <w:rFonts w:ascii="Calibri" w:hAnsi="Calibri"/>
                <w:b w:val="0"/>
                <w:color w:val="1F1F1F"/>
                <w:sz w:val="14"/>
              </w:rPr>
              <w:t>F-002</w:t>
            </w:r>
          </w:p>
        </w:tc>
        <w:tc>
          <w:tcPr>
            <w:tcW w:type="dxa" w:w="1080"/>
            <w:vAlign w:val="top"/>
          </w:tcPr>
          <w:p>
            <w:pPr>
              <w:spacing w:before="0" w:after="20" w:line="240" w:lineRule="auto"/>
            </w:pPr>
            <w:r/>
            <w:r>
              <w:rPr>
                <w:rFonts w:ascii="Calibri" w:hAnsi="Calibri"/>
                <w:b w:val="0"/>
                <w:color w:val="1F1F1F"/>
                <w:sz w:val="14"/>
              </w:rPr>
              <w:t>Critical</w:t>
            </w:r>
          </w:p>
        </w:tc>
        <w:tc>
          <w:tcPr>
            <w:tcW w:type="dxa" w:w="2016"/>
            <w:vAlign w:val="top"/>
          </w:tcPr>
          <w:p>
            <w:pPr>
              <w:spacing w:before="0" w:after="20" w:line="240" w:lineRule="auto"/>
            </w:pPr>
            <w:r/>
            <w:r>
              <w:rPr>
                <w:rFonts w:ascii="Calibri" w:hAnsi="Calibri"/>
                <w:b w:val="0"/>
                <w:color w:val="1F1F1F"/>
                <w:sz w:val="14"/>
              </w:rPr>
              <w:t>SDTM metadata/data drift</w:t>
            </w:r>
          </w:p>
        </w:tc>
        <w:tc>
          <w:tcPr>
            <w:tcW w:type="dxa" w:w="5184"/>
            <w:vAlign w:val="top"/>
          </w:tcPr>
          <w:p>
            <w:pPr>
              <w:spacing w:before="0" w:after="20" w:line="240" w:lineRule="auto"/>
            </w:pPr>
            <w:r/>
            <w:r>
              <w:rPr>
                <w:rFonts w:ascii="Calibri" w:hAnsi="Calibri"/>
                <w:b w:val="0"/>
                <w:color w:val="1F1F1F"/>
                <w:sz w:val="14"/>
              </w:rPr>
              <w:t>Package only the uplifted 3.4 layer; define all delivered domains/variables; rerun full-package CORE/P21 and metadata/data comparison.</w:t>
            </w:r>
          </w:p>
        </w:tc>
      </w:tr>
      <w:tr>
        <w:tc>
          <w:tcPr>
            <w:tcW w:type="dxa" w:w="1080"/>
            <w:vAlign w:val="top"/>
          </w:tcPr>
          <w:p>
            <w:pPr>
              <w:spacing w:before="0" w:after="20" w:line="240" w:lineRule="auto"/>
            </w:pPr>
            <w:r/>
            <w:r>
              <w:rPr>
                <w:rFonts w:ascii="Calibri" w:hAnsi="Calibri"/>
                <w:b w:val="0"/>
                <w:color w:val="1F1F1F"/>
                <w:sz w:val="14"/>
              </w:rPr>
              <w:t>F-003</w:t>
            </w:r>
          </w:p>
        </w:tc>
        <w:tc>
          <w:tcPr>
            <w:tcW w:type="dxa" w:w="1080"/>
            <w:vAlign w:val="top"/>
          </w:tcPr>
          <w:p>
            <w:pPr>
              <w:spacing w:before="0" w:after="20" w:line="240" w:lineRule="auto"/>
            </w:pPr>
            <w:r/>
            <w:r>
              <w:rPr>
                <w:rFonts w:ascii="Calibri" w:hAnsi="Calibri"/>
                <w:b w:val="0"/>
                <w:color w:val="1F1F1F"/>
                <w:sz w:val="14"/>
              </w:rPr>
              <w:t>Critical</w:t>
            </w:r>
          </w:p>
        </w:tc>
        <w:tc>
          <w:tcPr>
            <w:tcW w:type="dxa" w:w="2016"/>
            <w:vAlign w:val="top"/>
          </w:tcPr>
          <w:p>
            <w:pPr>
              <w:spacing w:before="0" w:after="20" w:line="240" w:lineRule="auto"/>
            </w:pPr>
            <w:r/>
            <w:r>
              <w:rPr>
                <w:rFonts w:ascii="Calibri" w:hAnsi="Calibri"/>
                <w:b w:val="0"/>
                <w:color w:val="1F1F1F"/>
                <w:sz w:val="14"/>
              </w:rPr>
              <w:t>Scientific validity / synthetic data</w:t>
            </w:r>
          </w:p>
        </w:tc>
        <w:tc>
          <w:tcPr>
            <w:tcW w:type="dxa" w:w="5184"/>
            <w:vAlign w:val="top"/>
          </w:tcPr>
          <w:p>
            <w:pPr>
              <w:spacing w:before="0" w:after="20" w:line="240" w:lineRule="auto"/>
            </w:pPr>
            <w:r/>
            <w:r>
              <w:rPr>
                <w:rFonts w:ascii="Calibri" w:hAnsi="Calibri"/>
                <w:b w:val="0"/>
                <w:color w:val="1F1F1F"/>
                <w:sz w:val="14"/>
              </w:rPr>
              <w:t>Do not represent illustrative reconstructed/simulated comparator results as submission analyses. Obtain the complete clinical data and rerun, or clearly segregate this repository as a non-regulatory demonstration.</w:t>
            </w:r>
          </w:p>
        </w:tc>
      </w:tr>
      <w:tr>
        <w:tc>
          <w:tcPr>
            <w:tcW w:type="dxa" w:w="1080"/>
            <w:vAlign w:val="top"/>
          </w:tcPr>
          <w:p>
            <w:pPr>
              <w:spacing w:before="0" w:after="20" w:line="240" w:lineRule="auto"/>
            </w:pPr>
            <w:r/>
            <w:r>
              <w:rPr>
                <w:rFonts w:ascii="Calibri" w:hAnsi="Calibri"/>
                <w:b w:val="0"/>
                <w:color w:val="1F1F1F"/>
                <w:sz w:val="14"/>
              </w:rPr>
              <w:t>F-004</w:t>
            </w:r>
          </w:p>
        </w:tc>
        <w:tc>
          <w:tcPr>
            <w:tcW w:type="dxa" w:w="1080"/>
            <w:vAlign w:val="top"/>
          </w:tcPr>
          <w:p>
            <w:pPr>
              <w:spacing w:before="0" w:after="20" w:line="240" w:lineRule="auto"/>
            </w:pPr>
            <w:r/>
            <w:r>
              <w:rPr>
                <w:rFonts w:ascii="Calibri" w:hAnsi="Calibri"/>
                <w:b w:val="0"/>
                <w:color w:val="1F1F1F"/>
                <w:sz w:val="14"/>
              </w:rPr>
              <w:t>Critical</w:t>
            </w:r>
          </w:p>
        </w:tc>
        <w:tc>
          <w:tcPr>
            <w:tcW w:type="dxa" w:w="2016"/>
            <w:vAlign w:val="top"/>
          </w:tcPr>
          <w:p>
            <w:pPr>
              <w:spacing w:before="0" w:after="20" w:line="240" w:lineRule="auto"/>
            </w:pPr>
            <w:r/>
            <w:r>
              <w:rPr>
                <w:rFonts w:ascii="Calibri" w:hAnsi="Calibri"/>
                <w:b w:val="0"/>
                <w:color w:val="1F1F1F"/>
                <w:sz w:val="14"/>
              </w:rPr>
              <w:t>False clinical listing</w:t>
            </w:r>
          </w:p>
        </w:tc>
        <w:tc>
          <w:tcPr>
            <w:tcW w:type="dxa" w:w="5184"/>
            <w:vAlign w:val="top"/>
          </w:tcPr>
          <w:p>
            <w:pPr>
              <w:spacing w:before="0" w:after="20" w:line="240" w:lineRule="auto"/>
            </w:pPr>
            <w:r/>
            <w:r>
              <w:rPr>
                <w:rFonts w:ascii="Calibri" w:hAnsi="Calibri"/>
                <w:b w:val="0"/>
                <w:color w:val="1F1F1F"/>
                <w:sz w:val="14"/>
              </w:rPr>
              <w:t>Remove the placeholder from m5/eCTD. Generate the listing from ADSL/DS/EX with independent QC and approved shells.</w:t>
            </w:r>
          </w:p>
        </w:tc>
      </w:tr>
      <w:tr>
        <w:tc>
          <w:tcPr>
            <w:tcW w:type="dxa" w:w="1080"/>
            <w:vAlign w:val="top"/>
          </w:tcPr>
          <w:p>
            <w:pPr>
              <w:spacing w:before="0" w:after="20" w:line="240" w:lineRule="auto"/>
            </w:pPr>
            <w:r/>
            <w:r>
              <w:rPr>
                <w:rFonts w:ascii="Calibri" w:hAnsi="Calibri"/>
                <w:b w:val="0"/>
                <w:color w:val="1F1F1F"/>
                <w:sz w:val="14"/>
              </w:rPr>
              <w:t>F-005</w:t>
            </w:r>
          </w:p>
        </w:tc>
        <w:tc>
          <w:tcPr>
            <w:tcW w:type="dxa" w:w="1080"/>
            <w:vAlign w:val="top"/>
          </w:tcPr>
          <w:p>
            <w:pPr>
              <w:spacing w:before="0" w:after="20" w:line="240" w:lineRule="auto"/>
            </w:pPr>
            <w:r/>
            <w:r>
              <w:rPr>
                <w:rFonts w:ascii="Calibri" w:hAnsi="Calibri"/>
                <w:b w:val="0"/>
                <w:color w:val="1F1F1F"/>
                <w:sz w:val="14"/>
              </w:rPr>
              <w:t>Critical</w:t>
            </w:r>
          </w:p>
        </w:tc>
        <w:tc>
          <w:tcPr>
            <w:tcW w:type="dxa" w:w="2016"/>
            <w:vAlign w:val="top"/>
          </w:tcPr>
          <w:p>
            <w:pPr>
              <w:spacing w:before="0" w:after="20" w:line="240" w:lineRule="auto"/>
            </w:pPr>
            <w:r/>
            <w:r>
              <w:rPr>
                <w:rFonts w:ascii="Calibri" w:hAnsi="Calibri"/>
                <w:b w:val="0"/>
                <w:color w:val="1F1F1F"/>
                <w:sz w:val="14"/>
              </w:rPr>
              <w:t>Submission placeholders</w:t>
            </w:r>
          </w:p>
        </w:tc>
        <w:tc>
          <w:tcPr>
            <w:tcW w:type="dxa" w:w="5184"/>
            <w:vAlign w:val="top"/>
          </w:tcPr>
          <w:p>
            <w:pPr>
              <w:spacing w:before="0" w:after="20" w:line="240" w:lineRule="auto"/>
            </w:pPr>
            <w:r/>
            <w:r>
              <w:rPr>
                <w:rFonts w:ascii="Calibri" w:hAnsi="Calibri"/>
                <w:b w:val="0"/>
                <w:color w:val="1F1F1F"/>
                <w:sz w:val="14"/>
              </w:rPr>
              <w:t>Replace application/submission metadata with assigned values and provide the actual annotated CRF with page-level origin links before any submission build.</w:t>
            </w:r>
          </w:p>
        </w:tc>
      </w:tr>
    </w:tbl>
    <w:p/>
    <w:p>
      <w:pPr>
        <w:pStyle w:val="ListBullet"/>
        <w:spacing w:after="40"/>
      </w:pPr>
      <w:r>
        <w:t>Major findings F-006 through F-025 remain release-blocking unless closed or formally risk-accepted by the appropriate owner.</w:t>
      </w:r>
    </w:p>
    <w:p>
      <w:pPr>
        <w:pStyle w:val="ListBullet"/>
        <w:spacing w:after="40"/>
      </w:pPr>
      <w:r>
        <w:t>Synthetic comparator analyses must remain labeled non-confirmatory until complete authoritative CbzP patient-level data are available and analyzed under an approved SAP.</w:t>
      </w:r>
    </w:p>
    <w:p>
      <w:pPr>
        <w:pStyle w:val="ListBullet"/>
        <w:spacing w:after="40"/>
      </w:pPr>
      <w:r>
        <w:t>No reviewer guide may claim clean traceability until generated from reconciled metadata and final program manifests.</w:t>
      </w:r>
    </w:p>
    <w:p>
      <w:pPr>
        <w:pStyle w:val="Heading1"/>
      </w:pPr>
      <w:r>
        <w:t>19. References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vAlign w:val="top"/>
            <w:shd w:fill="1F4E79"/>
          </w:tcPr>
          <w:p>
            <w:pPr>
              <w:spacing w:before="0" w:after="20" w:line="240" w:lineRule="auto"/>
            </w:pPr>
            <w:r/>
            <w:r>
              <w:rPr>
                <w:rFonts w:ascii="Calibri" w:hAnsi="Calibri"/>
                <w:b/>
                <w:color w:val="FFFFFF"/>
                <w:sz w:val="14"/>
              </w:rPr>
              <w:t>Reference</w:t>
            </w:r>
          </w:p>
        </w:tc>
        <w:tc>
          <w:tcPr>
            <w:tcW w:type="dxa" w:w="5760"/>
            <w:vAlign w:val="top"/>
            <w:shd w:fill="1F4E79"/>
          </w:tcPr>
          <w:p>
            <w:pPr>
              <w:spacing w:before="0" w:after="20" w:line="240" w:lineRule="auto"/>
            </w:pPr>
            <w:r/>
            <w:r>
              <w:rPr>
                <w:rFonts w:ascii="Calibri" w:hAnsi="Calibri"/>
                <w:b/>
                <w:color w:val="FFFFFF"/>
                <w:sz w:val="14"/>
              </w:rPr>
              <w:t>URL / repo path</w:t>
            </w:r>
          </w:p>
        </w:tc>
      </w:tr>
      <w:tr>
        <w:tc>
          <w:tcPr>
            <w:tcW w:type="dxa" w:w="3600"/>
            <w:vAlign w:val="top"/>
          </w:tcPr>
          <w:p>
            <w:pPr>
              <w:spacing w:before="0" w:after="20" w:line="240" w:lineRule="auto"/>
            </w:pPr>
            <w:r/>
            <w:r>
              <w:rPr>
                <w:rFonts w:ascii="Calibri" w:hAnsi="Calibri"/>
                <w:b w:val="0"/>
                <w:color w:val="1F1F1F"/>
                <w:sz w:val="14"/>
              </w:rPr>
              <w:t>FDA Study Data Technical Conformance Guide, June 2026</w:t>
            </w:r>
          </w:p>
        </w:tc>
        <w:tc>
          <w:tcPr>
            <w:tcW w:type="dxa" w:w="5760"/>
            <w:vAlign w:val="top"/>
          </w:tcPr>
          <w:p>
            <w:pPr>
              <w:spacing w:before="0" w:after="20" w:line="240" w:lineRule="auto"/>
            </w:pPr>
            <w:r/>
            <w:r>
              <w:rPr>
                <w:rFonts w:ascii="Calibri" w:hAnsi="Calibri"/>
                <w:b w:val="0"/>
                <w:color w:val="1F1F1F"/>
                <w:sz w:val="14"/>
              </w:rPr>
              <w:t>https://www.fda.gov/regulatory-information/search-fda-guidance-documents/study-data-technical-conformance-guide-technical-specifications-document</w:t>
            </w:r>
          </w:p>
        </w:tc>
      </w:tr>
      <w:tr>
        <w:tc>
          <w:tcPr>
            <w:tcW w:type="dxa" w:w="3600"/>
            <w:vAlign w:val="top"/>
          </w:tcPr>
          <w:p>
            <w:pPr>
              <w:spacing w:before="0" w:after="20" w:line="240" w:lineRule="auto"/>
            </w:pPr>
            <w:r/>
            <w:r>
              <w:rPr>
                <w:rFonts w:ascii="Calibri" w:hAnsi="Calibri"/>
                <w:b w:val="0"/>
                <w:color w:val="1F1F1F"/>
                <w:sz w:val="14"/>
              </w:rPr>
              <w:t>FDA Study Data Standards Resources</w:t>
            </w:r>
          </w:p>
        </w:tc>
        <w:tc>
          <w:tcPr>
            <w:tcW w:type="dxa" w:w="5760"/>
            <w:vAlign w:val="top"/>
          </w:tcPr>
          <w:p>
            <w:pPr>
              <w:spacing w:before="0" w:after="20" w:line="240" w:lineRule="auto"/>
            </w:pPr>
            <w:r/>
            <w:r>
              <w:rPr>
                <w:rFonts w:ascii="Calibri" w:hAnsi="Calibri"/>
                <w:b w:val="0"/>
                <w:color w:val="1F1F1F"/>
                <w:sz w:val="14"/>
              </w:rPr>
              <w:t>https://www.fda.gov/industry/fda-data-standards-advisory-board/study-data-standards-resources</w:t>
            </w:r>
          </w:p>
        </w:tc>
      </w:tr>
      <w:tr>
        <w:tc>
          <w:tcPr>
            <w:tcW w:type="dxa" w:w="3600"/>
            <w:vAlign w:val="top"/>
          </w:tcPr>
          <w:p>
            <w:pPr>
              <w:spacing w:before="0" w:after="20" w:line="240" w:lineRule="auto"/>
            </w:pPr>
            <w:r/>
            <w:r>
              <w:rPr>
                <w:rFonts w:ascii="Calibri" w:hAnsi="Calibri"/>
                <w:b w:val="0"/>
                <w:color w:val="1F1F1F"/>
                <w:sz w:val="14"/>
              </w:rPr>
              <w:t>ICH/FDA E9(R1) estimands and sensitivity analysis</w:t>
            </w:r>
          </w:p>
        </w:tc>
        <w:tc>
          <w:tcPr>
            <w:tcW w:type="dxa" w:w="5760"/>
            <w:vAlign w:val="top"/>
          </w:tcPr>
          <w:p>
            <w:pPr>
              <w:spacing w:before="0" w:after="20" w:line="240" w:lineRule="auto"/>
            </w:pPr>
            <w:r/>
            <w:r>
              <w:rPr>
                <w:rFonts w:ascii="Calibri" w:hAnsi="Calibri"/>
                <w:b w:val="0"/>
                <w:color w:val="1F1F1F"/>
                <w:sz w:val="14"/>
              </w:rPr>
              <w:t>https://www.fda.gov/regulatory-information/search-fda-guidance-documents/e9r1-statistical-principles-clinical-trials-addendum-estimands-and-sensitivity-analysis-clinical</w:t>
            </w:r>
          </w:p>
        </w:tc>
      </w:tr>
      <w:tr>
        <w:tc>
          <w:tcPr>
            <w:tcW w:type="dxa" w:w="3600"/>
            <w:vAlign w:val="top"/>
          </w:tcPr>
          <w:p>
            <w:pPr>
              <w:spacing w:before="0" w:after="20" w:line="240" w:lineRule="auto"/>
            </w:pPr>
            <w:r/>
            <w:r>
              <w:rPr>
                <w:rFonts w:ascii="Calibri" w:hAnsi="Calibri"/>
                <w:b w:val="0"/>
                <w:color w:val="1F1F1F"/>
                <w:sz w:val="14"/>
              </w:rPr>
              <w:t>FDA Project Optimus</w:t>
            </w:r>
          </w:p>
        </w:tc>
        <w:tc>
          <w:tcPr>
            <w:tcW w:type="dxa" w:w="5760"/>
            <w:vAlign w:val="top"/>
          </w:tcPr>
          <w:p>
            <w:pPr>
              <w:spacing w:before="0" w:after="20" w:line="240" w:lineRule="auto"/>
            </w:pPr>
            <w:r/>
            <w:r>
              <w:rPr>
                <w:rFonts w:ascii="Calibri" w:hAnsi="Calibri"/>
                <w:b w:val="0"/>
                <w:color w:val="1F1F1F"/>
                <w:sz w:val="14"/>
              </w:rPr>
              <w:t>https://www.fda.gov/about-fda/oncology-center-excellence/project-optimus</w:t>
            </w:r>
          </w:p>
        </w:tc>
      </w:tr>
      <w:tr>
        <w:tc>
          <w:tcPr>
            <w:tcW w:type="dxa" w:w="3600"/>
            <w:vAlign w:val="top"/>
          </w:tcPr>
          <w:p>
            <w:pPr>
              <w:spacing w:before="0" w:after="20" w:line="240" w:lineRule="auto"/>
            </w:pPr>
            <w:r/>
            <w:r>
              <w:rPr>
                <w:rFonts w:ascii="Calibri" w:hAnsi="Calibri"/>
                <w:b w:val="0"/>
                <w:color w:val="1F1F1F"/>
                <w:sz w:val="14"/>
              </w:rPr>
              <w:t>FDA oncology dosage optimization guidance</w:t>
            </w:r>
          </w:p>
        </w:tc>
        <w:tc>
          <w:tcPr>
            <w:tcW w:type="dxa" w:w="5760"/>
            <w:vAlign w:val="top"/>
          </w:tcPr>
          <w:p>
            <w:pPr>
              <w:spacing w:before="0" w:after="20" w:line="240" w:lineRule="auto"/>
            </w:pPr>
            <w:r/>
            <w:r>
              <w:rPr>
                <w:rFonts w:ascii="Calibri" w:hAnsi="Calibri"/>
                <w:b w:val="0"/>
                <w:color w:val="1F1F1F"/>
                <w:sz w:val="14"/>
              </w:rPr>
              <w:t>https://www.fda.gov/regulatory-information/search-fda-guidance-documents/optimizing-dosage-human-prescription-drugs-and-biological-products-treatment-oncologic-diseases</w:t>
            </w:r>
          </w:p>
        </w:tc>
      </w:tr>
      <w:tr>
        <w:tc>
          <w:tcPr>
            <w:tcW w:type="dxa" w:w="3600"/>
            <w:vAlign w:val="top"/>
          </w:tcPr>
          <w:p>
            <w:pPr>
              <w:spacing w:before="0" w:after="20" w:line="240" w:lineRule="auto"/>
            </w:pPr>
            <w:r/>
            <w:r>
              <w:rPr>
                <w:rFonts w:ascii="Calibri" w:hAnsi="Calibri"/>
                <w:b w:val="0"/>
                <w:color w:val="1F1F1F"/>
                <w:sz w:val="14"/>
              </w:rPr>
              <w:t>CDISC ADaMIG v1.3</w:t>
            </w:r>
          </w:p>
        </w:tc>
        <w:tc>
          <w:tcPr>
            <w:tcW w:type="dxa" w:w="5760"/>
            <w:vAlign w:val="top"/>
          </w:tcPr>
          <w:p>
            <w:pPr>
              <w:spacing w:before="0" w:after="20" w:line="240" w:lineRule="auto"/>
            </w:pPr>
            <w:r/>
            <w:r>
              <w:rPr>
                <w:rFonts w:ascii="Calibri" w:hAnsi="Calibri"/>
                <w:b w:val="0"/>
                <w:color w:val="1F1F1F"/>
                <w:sz w:val="14"/>
              </w:rPr>
              <w:t>https://www.cdisc.org/standards/foundational/adam/adamig-v1-3</w:t>
            </w:r>
          </w:p>
        </w:tc>
      </w:tr>
      <w:tr>
        <w:tc>
          <w:tcPr>
            <w:tcW w:type="dxa" w:w="3600"/>
            <w:vAlign w:val="top"/>
          </w:tcPr>
          <w:p>
            <w:pPr>
              <w:spacing w:before="0" w:after="20" w:line="240" w:lineRule="auto"/>
            </w:pPr>
            <w:r/>
            <w:r>
              <w:rPr>
                <w:rFonts w:ascii="Calibri" w:hAnsi="Calibri"/>
                <w:b w:val="0"/>
                <w:color w:val="1F1F1F"/>
                <w:sz w:val="14"/>
              </w:rPr>
              <w:t>CDISC ADaM v2.1</w:t>
            </w:r>
          </w:p>
        </w:tc>
        <w:tc>
          <w:tcPr>
            <w:tcW w:type="dxa" w:w="5760"/>
            <w:vAlign w:val="top"/>
          </w:tcPr>
          <w:p>
            <w:pPr>
              <w:spacing w:before="0" w:after="20" w:line="240" w:lineRule="auto"/>
            </w:pPr>
            <w:r/>
            <w:r>
              <w:rPr>
                <w:rFonts w:ascii="Calibri" w:hAnsi="Calibri"/>
                <w:b w:val="0"/>
                <w:color w:val="1F1F1F"/>
                <w:sz w:val="14"/>
              </w:rPr>
              <w:t>https://www.cdisc.org/standards/foundational/adam/adam-v2-1</w:t>
            </w:r>
          </w:p>
        </w:tc>
      </w:tr>
      <w:tr>
        <w:tc>
          <w:tcPr>
            <w:tcW w:type="dxa" w:w="3600"/>
            <w:vAlign w:val="top"/>
          </w:tcPr>
          <w:p>
            <w:pPr>
              <w:spacing w:before="0" w:after="20" w:line="240" w:lineRule="auto"/>
            </w:pPr>
            <w:r/>
            <w:r>
              <w:rPr>
                <w:rFonts w:ascii="Calibri" w:hAnsi="Calibri"/>
                <w:b w:val="0"/>
                <w:color w:val="1F1F1F"/>
                <w:sz w:val="14"/>
              </w:rPr>
              <w:t>CDISC SDTMIG v3.4</w:t>
            </w:r>
          </w:p>
        </w:tc>
        <w:tc>
          <w:tcPr>
            <w:tcW w:type="dxa" w:w="5760"/>
            <w:vAlign w:val="top"/>
          </w:tcPr>
          <w:p>
            <w:pPr>
              <w:spacing w:before="0" w:after="20" w:line="240" w:lineRule="auto"/>
            </w:pPr>
            <w:r/>
            <w:r>
              <w:rPr>
                <w:rFonts w:ascii="Calibri" w:hAnsi="Calibri"/>
                <w:b w:val="0"/>
                <w:color w:val="1F1F1F"/>
                <w:sz w:val="14"/>
              </w:rPr>
              <w:t>https://www.cdisc.org/standards/foundational/sdtmig/sdtmig-v3-4</w:t>
            </w:r>
          </w:p>
        </w:tc>
      </w:tr>
      <w:tr>
        <w:tc>
          <w:tcPr>
            <w:tcW w:type="dxa" w:w="3600"/>
            <w:vAlign w:val="top"/>
          </w:tcPr>
          <w:p>
            <w:pPr>
              <w:spacing w:before="0" w:after="20" w:line="240" w:lineRule="auto"/>
            </w:pPr>
            <w:r/>
            <w:r>
              <w:rPr>
                <w:rFonts w:ascii="Calibri" w:hAnsi="Calibri"/>
                <w:b w:val="0"/>
                <w:color w:val="1F1F1F"/>
                <w:sz w:val="14"/>
              </w:rPr>
              <w:t>CDISC Define-XML v2.1</w:t>
            </w:r>
          </w:p>
        </w:tc>
        <w:tc>
          <w:tcPr>
            <w:tcW w:type="dxa" w:w="5760"/>
            <w:vAlign w:val="top"/>
          </w:tcPr>
          <w:p>
            <w:pPr>
              <w:spacing w:before="0" w:after="20" w:line="240" w:lineRule="auto"/>
            </w:pPr>
            <w:r/>
            <w:r>
              <w:rPr>
                <w:rFonts w:ascii="Calibri" w:hAnsi="Calibri"/>
                <w:b w:val="0"/>
                <w:color w:val="1F1F1F"/>
                <w:sz w:val="14"/>
              </w:rPr>
              <w:t>https://www.cdisc.org/standards/data-exchange/define-xml/define-xml-v2-1</w:t>
            </w:r>
          </w:p>
        </w:tc>
      </w:tr>
      <w:tr>
        <w:tc>
          <w:tcPr>
            <w:tcW w:type="dxa" w:w="3600"/>
            <w:vAlign w:val="top"/>
          </w:tcPr>
          <w:p>
            <w:pPr>
              <w:spacing w:before="0" w:after="20" w:line="240" w:lineRule="auto"/>
            </w:pPr>
            <w:r/>
            <w:r>
              <w:rPr>
                <w:rFonts w:ascii="Calibri" w:hAnsi="Calibri"/>
                <w:b w:val="0"/>
                <w:color w:val="1F1F1F"/>
                <w:sz w:val="14"/>
              </w:rPr>
              <w:t>CDISC Controlled Terminology release 2026-03-27</w:t>
            </w:r>
          </w:p>
        </w:tc>
        <w:tc>
          <w:tcPr>
            <w:tcW w:type="dxa" w:w="5760"/>
            <w:vAlign w:val="top"/>
          </w:tcPr>
          <w:p>
            <w:pPr>
              <w:spacing w:before="0" w:after="20" w:line="240" w:lineRule="auto"/>
            </w:pPr>
            <w:r/>
            <w:r>
              <w:rPr>
                <w:rFonts w:ascii="Calibri" w:hAnsi="Calibri"/>
                <w:b w:val="0"/>
                <w:color w:val="1F1F1F"/>
                <w:sz w:val="14"/>
              </w:rPr>
              <w:t>https://www.cdisc.org/standards/terminology/controlled-terminology</w:t>
            </w:r>
          </w:p>
        </w:tc>
      </w:tr>
      <w:tr>
        <w:tc>
          <w:tcPr>
            <w:tcW w:type="dxa" w:w="3600"/>
            <w:vAlign w:val="top"/>
          </w:tcPr>
          <w:p>
            <w:pPr>
              <w:spacing w:before="0" w:after="20" w:line="240" w:lineRule="auto"/>
            </w:pPr>
            <w:r/>
            <w:r>
              <w:rPr>
                <w:rFonts w:ascii="Calibri" w:hAnsi="Calibri"/>
                <w:b w:val="0"/>
                <w:color w:val="1F1F1F"/>
                <w:sz w:val="14"/>
              </w:rPr>
              <w:t>21 CFR Part 11</w:t>
            </w:r>
          </w:p>
        </w:tc>
        <w:tc>
          <w:tcPr>
            <w:tcW w:type="dxa" w:w="5760"/>
            <w:vAlign w:val="top"/>
          </w:tcPr>
          <w:p>
            <w:pPr>
              <w:spacing w:before="0" w:after="20" w:line="240" w:lineRule="auto"/>
            </w:pPr>
            <w:r/>
            <w:r>
              <w:rPr>
                <w:rFonts w:ascii="Calibri" w:hAnsi="Calibri"/>
                <w:b w:val="0"/>
                <w:color w:val="1F1F1F"/>
                <w:sz w:val="14"/>
              </w:rPr>
              <w:t>https://www.ecfr.gov/current/title-21/chapter-I/subchapter-A/part-11</w:t>
            </w:r>
          </w:p>
        </w:tc>
      </w:tr>
      <w:tr>
        <w:tc>
          <w:tcPr>
            <w:tcW w:type="dxa" w:w="3600"/>
            <w:vAlign w:val="top"/>
          </w:tcPr>
          <w:p>
            <w:pPr>
              <w:spacing w:before="0" w:after="20" w:line="240" w:lineRule="auto"/>
            </w:pPr>
            <w:r/>
            <w:r>
              <w:rPr>
                <w:rFonts w:ascii="Calibri" w:hAnsi="Calibri"/>
                <w:b w:val="0"/>
                <w:color w:val="1F1F1F"/>
                <w:sz w:val="14"/>
              </w:rPr>
              <w:t>TROPIC protocol</w:t>
            </w:r>
          </w:p>
        </w:tc>
        <w:tc>
          <w:tcPr>
            <w:tcW w:type="dxa" w:w="5760"/>
            <w:vAlign w:val="top"/>
          </w:tcPr>
          <w:p>
            <w:pPr>
              <w:spacing w:before="0" w:after="20" w:line="240" w:lineRule="auto"/>
            </w:pPr>
            <w:r/>
            <w:r>
              <w:rPr>
                <w:rFonts w:ascii="Calibri" w:hAnsi="Calibri"/>
                <w:b w:val="0"/>
                <w:color w:val="1F1F1F"/>
                <w:sz w:val="14"/>
              </w:rPr>
              <w:t>01_raw_source/Sanofi Study Protocol Tropic.pdf</w:t>
            </w:r>
          </w:p>
        </w:tc>
      </w:tr>
      <w:tr>
        <w:tc>
          <w:tcPr>
            <w:tcW w:type="dxa" w:w="3600"/>
            <w:vAlign w:val="top"/>
          </w:tcPr>
          <w:p>
            <w:pPr>
              <w:spacing w:before="0" w:after="20" w:line="240" w:lineRule="auto"/>
            </w:pPr>
            <w:r/>
            <w:r>
              <w:rPr>
                <w:rFonts w:ascii="Calibri" w:hAnsi="Calibri"/>
                <w:b w:val="0"/>
                <w:color w:val="1F1F1F"/>
                <w:sz w:val="14"/>
              </w:rPr>
              <w:t>TROPIC publication</w:t>
            </w:r>
          </w:p>
        </w:tc>
        <w:tc>
          <w:tcPr>
            <w:tcW w:type="dxa" w:w="5760"/>
            <w:vAlign w:val="top"/>
          </w:tcPr>
          <w:p>
            <w:pPr>
              <w:spacing w:before="0" w:after="20" w:line="240" w:lineRule="auto"/>
            </w:pPr>
            <w:r/>
            <w:r>
              <w:rPr>
                <w:rFonts w:ascii="Calibri" w:hAnsi="Calibri"/>
                <w:b w:val="0"/>
                <w:color w:val="1F1F1F"/>
                <w:sz w:val="14"/>
              </w:rPr>
              <w:t>01_raw_source/reference_literature/de_bono_lancet_2010.pdf</w:t>
            </w:r>
          </w:p>
        </w:tc>
      </w:tr>
    </w:tbl>
    <w:p/>
    <w:p>
      <w:r>
        <w:br w:type="page"/>
      </w:r>
    </w:p>
    <w:p>
      <w:pPr>
        <w:pStyle w:val="Heading1"/>
      </w:pPr>
      <w:r>
        <w:t>Appendix A. Source register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top"/>
            <w:shd w:fill="1F4E79"/>
          </w:tcPr>
          <w:p>
            <w:pPr>
              <w:spacing w:before="0" w:after="20" w:line="240" w:lineRule="auto"/>
            </w:pPr>
            <w:r/>
            <w:r>
              <w:rPr>
                <w:rFonts w:ascii="Calibri" w:hAnsi="Calibri"/>
                <w:b/>
                <w:color w:val="FFFFFF"/>
                <w:sz w:val="14"/>
              </w:rPr>
              <w:t>Source</w:t>
            </w:r>
          </w:p>
        </w:tc>
        <w:tc>
          <w:tcPr>
            <w:tcW w:type="dxa" w:w="2376"/>
            <w:vAlign w:val="top"/>
            <w:shd w:fill="1F4E79"/>
          </w:tcPr>
          <w:p>
            <w:pPr>
              <w:spacing w:before="0" w:after="20" w:line="240" w:lineRule="auto"/>
            </w:pPr>
            <w:r/>
            <w:r>
              <w:rPr>
                <w:rFonts w:ascii="Calibri" w:hAnsi="Calibri"/>
                <w:b/>
                <w:color w:val="FFFFFF"/>
                <w:sz w:val="14"/>
              </w:rPr>
              <w:t>File / location</w:t>
            </w:r>
          </w:p>
        </w:tc>
        <w:tc>
          <w:tcPr>
            <w:tcW w:type="dxa" w:w="2664"/>
            <w:vAlign w:val="top"/>
            <w:shd w:fill="1F4E79"/>
          </w:tcPr>
          <w:p>
            <w:pPr>
              <w:spacing w:before="0" w:after="20" w:line="240" w:lineRule="auto"/>
            </w:pPr>
            <w:r/>
            <w:r>
              <w:rPr>
                <w:rFonts w:ascii="Calibri" w:hAnsi="Calibri"/>
                <w:b/>
                <w:color w:val="FFFFFF"/>
                <w:sz w:val="14"/>
              </w:rPr>
              <w:t>SAP use</w:t>
            </w:r>
          </w:p>
        </w:tc>
        <w:tc>
          <w:tcPr>
            <w:tcW w:type="dxa" w:w="2088"/>
            <w:vAlign w:val="top"/>
            <w:shd w:fill="1F4E79"/>
          </w:tcPr>
          <w:p>
            <w:pPr>
              <w:spacing w:before="0" w:after="20" w:line="240" w:lineRule="auto"/>
            </w:pPr>
            <w:r/>
            <w:r>
              <w:rPr>
                <w:rFonts w:ascii="Calibri" w:hAnsi="Calibri"/>
                <w:b/>
                <w:color w:val="FFFFFF"/>
                <w:sz w:val="14"/>
              </w:rPr>
              <w:t>Reliability / caveat</w:t>
            </w:r>
          </w:p>
        </w:tc>
      </w:tr>
      <w:tr>
        <w:tc>
          <w:tcPr>
            <w:tcW w:type="dxa" w:w="2232"/>
            <w:vAlign w:val="top"/>
          </w:tcPr>
          <w:p>
            <w:pPr>
              <w:spacing w:before="0" w:after="20" w:line="240" w:lineRule="auto"/>
            </w:pPr>
            <w:r/>
            <w:r>
              <w:rPr>
                <w:rFonts w:ascii="Calibri" w:hAnsi="Calibri"/>
                <w:b w:val="0"/>
                <w:color w:val="1F1F1F"/>
                <w:sz w:val="14"/>
              </w:rPr>
              <w:t>Protocol Amendment 5, 21-Jul-2008</w:t>
            </w:r>
          </w:p>
        </w:tc>
        <w:tc>
          <w:tcPr>
            <w:tcW w:type="dxa" w:w="2376"/>
            <w:vAlign w:val="top"/>
          </w:tcPr>
          <w:p>
            <w:pPr>
              <w:spacing w:before="0" w:after="20" w:line="240" w:lineRule="auto"/>
            </w:pPr>
            <w:r/>
            <w:r>
              <w:rPr>
                <w:rFonts w:ascii="Calibri" w:hAnsi="Calibri"/>
                <w:b w:val="0"/>
                <w:color w:val="1F1F1F"/>
                <w:sz w:val="14"/>
              </w:rPr>
              <w:t>01_raw_source/Sanofi Study Protocol Tropic.pdf</w:t>
            </w:r>
          </w:p>
        </w:tc>
        <w:tc>
          <w:tcPr>
            <w:tcW w:type="dxa" w:w="2664"/>
            <w:vAlign w:val="top"/>
          </w:tcPr>
          <w:p>
            <w:pPr>
              <w:spacing w:before="0" w:after="20" w:line="240" w:lineRule="auto"/>
            </w:pPr>
            <w:r/>
            <w:r>
              <w:rPr>
                <w:rFonts w:ascii="Calibri" w:hAnsi="Calibri"/>
                <w:b w:val="0"/>
                <w:color w:val="1F1F1F"/>
                <w:sz w:val="14"/>
              </w:rPr>
              <w:t>Objectives, treatment arms, randomization, strata, populations, endpoint definitions, sample size, CTCAE grading, assessment schedule.</w:t>
            </w:r>
          </w:p>
        </w:tc>
        <w:tc>
          <w:tcPr>
            <w:tcW w:type="dxa" w:w="2088"/>
            <w:vAlign w:val="top"/>
          </w:tcPr>
          <w:p>
            <w:pPr>
              <w:spacing w:before="0" w:after="20" w:line="240" w:lineRule="auto"/>
            </w:pPr>
            <w:r/>
            <w:r>
              <w:rPr>
                <w:rFonts w:ascii="Calibri" w:hAnsi="Calibri"/>
                <w:b w:val="0"/>
                <w:color w:val="1F1F1F"/>
                <w:sz w:val="14"/>
              </w:rPr>
              <w:t>High for intended trial design; source is sponsor protocol PDF available in repo.</w:t>
            </w:r>
          </w:p>
        </w:tc>
      </w:tr>
      <w:tr>
        <w:tc>
          <w:tcPr>
            <w:tcW w:type="dxa" w:w="2232"/>
            <w:vAlign w:val="top"/>
          </w:tcPr>
          <w:p>
            <w:pPr>
              <w:spacing w:before="0" w:after="20" w:line="240" w:lineRule="auto"/>
            </w:pPr>
            <w:r/>
            <w:r>
              <w:rPr>
                <w:rFonts w:ascii="Calibri" w:hAnsi="Calibri"/>
                <w:b w:val="0"/>
                <w:color w:val="1F1F1F"/>
                <w:sz w:val="14"/>
              </w:rPr>
              <w:t>de Bono et al. Lancet 2010 corrected publication</w:t>
            </w:r>
          </w:p>
        </w:tc>
        <w:tc>
          <w:tcPr>
            <w:tcW w:type="dxa" w:w="2376"/>
            <w:vAlign w:val="top"/>
          </w:tcPr>
          <w:p>
            <w:pPr>
              <w:spacing w:before="0" w:after="20" w:line="240" w:lineRule="auto"/>
            </w:pPr>
            <w:r/>
            <w:r>
              <w:rPr>
                <w:rFonts w:ascii="Calibri" w:hAnsi="Calibri"/>
                <w:b w:val="0"/>
                <w:color w:val="1F1F1F"/>
                <w:sz w:val="14"/>
              </w:rPr>
              <w:t>01_raw_source/reference_literature/de_bono_lancet_2010.pdf</w:t>
            </w:r>
          </w:p>
        </w:tc>
        <w:tc>
          <w:tcPr>
            <w:tcW w:type="dxa" w:w="2664"/>
            <w:vAlign w:val="top"/>
          </w:tcPr>
          <w:p>
            <w:pPr>
              <w:spacing w:before="0" w:after="20" w:line="240" w:lineRule="auto"/>
            </w:pPr>
            <w:r/>
            <w:r>
              <w:rPr>
                <w:rFonts w:ascii="Calibri" w:hAnsi="Calibri"/>
                <w:b w:val="0"/>
                <w:color w:val="1F1F1F"/>
                <w:sz w:val="14"/>
              </w:rPr>
              <w:t>Final cut-off, published ITT/safety counts, primary/secondary results, safety tables, references to CTCAE v3.0 and MedDRA v12.0.</w:t>
            </w:r>
          </w:p>
        </w:tc>
        <w:tc>
          <w:tcPr>
            <w:tcW w:type="dxa" w:w="2088"/>
            <w:vAlign w:val="top"/>
          </w:tcPr>
          <w:p>
            <w:pPr>
              <w:spacing w:before="0" w:after="20" w:line="240" w:lineRule="auto"/>
            </w:pPr>
            <w:r/>
            <w:r>
              <w:rPr>
                <w:rFonts w:ascii="Calibri" w:hAnsi="Calibri"/>
                <w:b w:val="0"/>
                <w:color w:val="1F1F1F"/>
                <w:sz w:val="14"/>
              </w:rPr>
              <w:t>High for public reconciliation targets; not a substitute for original locked analysis datasets.</w:t>
            </w:r>
          </w:p>
        </w:tc>
      </w:tr>
      <w:tr>
        <w:tc>
          <w:tcPr>
            <w:tcW w:type="dxa" w:w="2232"/>
            <w:vAlign w:val="top"/>
          </w:tcPr>
          <w:p>
            <w:pPr>
              <w:spacing w:before="0" w:after="20" w:line="240" w:lineRule="auto"/>
            </w:pPr>
            <w:r/>
            <w:r>
              <w:rPr>
                <w:rFonts w:ascii="Calibri" w:hAnsi="Calibri"/>
                <w:b w:val="0"/>
                <w:color w:val="1F1F1F"/>
                <w:sz w:val="14"/>
              </w:rPr>
              <w:t>Sanofi CRF TROPIC</w:t>
            </w:r>
          </w:p>
        </w:tc>
        <w:tc>
          <w:tcPr>
            <w:tcW w:type="dxa" w:w="2376"/>
            <w:vAlign w:val="top"/>
          </w:tcPr>
          <w:p>
            <w:pPr>
              <w:spacing w:before="0" w:after="20" w:line="240" w:lineRule="auto"/>
            </w:pPr>
            <w:r/>
            <w:r>
              <w:rPr>
                <w:rFonts w:ascii="Calibri" w:hAnsi="Calibri"/>
                <w:b w:val="0"/>
                <w:color w:val="1F1F1F"/>
                <w:sz w:val="14"/>
              </w:rPr>
              <w:t>01_raw_source/Sanofi CRF Tropic.pdf</w:t>
            </w:r>
          </w:p>
        </w:tc>
        <w:tc>
          <w:tcPr>
            <w:tcW w:type="dxa" w:w="2664"/>
            <w:vAlign w:val="top"/>
          </w:tcPr>
          <w:p>
            <w:pPr>
              <w:spacing w:before="0" w:after="20" w:line="240" w:lineRule="auto"/>
            </w:pPr>
            <w:r/>
            <w:r>
              <w:rPr>
                <w:rFonts w:ascii="Calibri" w:hAnsi="Calibri"/>
                <w:b w:val="0"/>
                <w:color w:val="1F1F1F"/>
                <w:sz w:val="14"/>
              </w:rPr>
              <w:t>CRF capture context for eligibility, RECIST, labs, pain, AE, exposure, concomitant medication and follow-up forms.</w:t>
            </w:r>
          </w:p>
        </w:tc>
        <w:tc>
          <w:tcPr>
            <w:tcW w:type="dxa" w:w="2088"/>
            <w:vAlign w:val="top"/>
          </w:tcPr>
          <w:p>
            <w:pPr>
              <w:spacing w:before="0" w:after="20" w:line="240" w:lineRule="auto"/>
            </w:pPr>
            <w:r/>
            <w:r>
              <w:rPr>
                <w:rFonts w:ascii="Calibri" w:hAnsi="Calibri"/>
                <w:b w:val="0"/>
                <w:color w:val="1F1F1F"/>
                <w:sz w:val="14"/>
              </w:rPr>
              <w:t>Medium-high for collection design; not sufficient alone for derivation algorithms.</w:t>
            </w:r>
          </w:p>
        </w:tc>
      </w:tr>
      <w:tr>
        <w:tc>
          <w:tcPr>
            <w:tcW w:type="dxa" w:w="2232"/>
            <w:vAlign w:val="top"/>
          </w:tcPr>
          <w:p>
            <w:pPr>
              <w:spacing w:before="0" w:after="20" w:line="240" w:lineRule="auto"/>
            </w:pPr>
            <w:r/>
            <w:r>
              <w:rPr>
                <w:rFonts w:ascii="Calibri" w:hAnsi="Calibri"/>
                <w:b w:val="0"/>
                <w:color w:val="1F1F1F"/>
                <w:sz w:val="14"/>
              </w:rPr>
              <w:t>PDS / Sanofi public SDTM release</w:t>
            </w:r>
          </w:p>
        </w:tc>
        <w:tc>
          <w:tcPr>
            <w:tcW w:type="dxa" w:w="2376"/>
            <w:vAlign w:val="top"/>
          </w:tcPr>
          <w:p>
            <w:pPr>
              <w:spacing w:before="0" w:after="20" w:line="240" w:lineRule="auto"/>
            </w:pPr>
            <w:r/>
            <w:r>
              <w:rPr>
                <w:rFonts w:ascii="Calibri" w:hAnsi="Calibri"/>
                <w:b w:val="0"/>
                <w:color w:val="1F1F1F"/>
                <w:sz w:val="14"/>
              </w:rPr>
              <w:t>01_raw_source/real_sdtm/*.sas7bdat</w:t>
            </w:r>
          </w:p>
        </w:tc>
        <w:tc>
          <w:tcPr>
            <w:tcW w:type="dxa" w:w="2664"/>
            <w:vAlign w:val="top"/>
          </w:tcPr>
          <w:p>
            <w:pPr>
              <w:spacing w:before="0" w:after="20" w:line="240" w:lineRule="auto"/>
            </w:pPr>
            <w:r/>
            <w:r>
              <w:rPr>
                <w:rFonts w:ascii="Calibri" w:hAnsi="Calibri"/>
                <w:b w:val="0"/>
                <w:color w:val="1F1F1F"/>
                <w:sz w:val="14"/>
              </w:rPr>
              <w:t>Real patient-level MP arm data in the current repo pipeline.</w:t>
            </w:r>
          </w:p>
        </w:tc>
        <w:tc>
          <w:tcPr>
            <w:tcW w:type="dxa" w:w="2088"/>
            <w:vAlign w:val="top"/>
          </w:tcPr>
          <w:p>
            <w:pPr>
              <w:spacing w:before="0" w:after="20" w:line="240" w:lineRule="auto"/>
            </w:pPr>
            <w:r/>
            <w:r>
              <w:rPr>
                <w:rFonts w:ascii="Calibri" w:hAnsi="Calibri"/>
                <w:b w:val="0"/>
                <w:color w:val="1F1F1F"/>
                <w:sz w:val="14"/>
              </w:rPr>
              <w:t>High for MP arm analyses; incomplete for original two-arm confirmatory inference.</w:t>
            </w:r>
          </w:p>
        </w:tc>
      </w:tr>
      <w:tr>
        <w:tc>
          <w:tcPr>
            <w:tcW w:type="dxa" w:w="2232"/>
            <w:vAlign w:val="top"/>
          </w:tcPr>
          <w:p>
            <w:pPr>
              <w:spacing w:before="0" w:after="20" w:line="240" w:lineRule="auto"/>
            </w:pPr>
            <w:r/>
            <w:r>
              <w:rPr>
                <w:rFonts w:ascii="Calibri" w:hAnsi="Calibri"/>
                <w:b w:val="0"/>
                <w:color w:val="1F1F1F"/>
                <w:sz w:val="14"/>
              </w:rPr>
              <w:t>ADaM specification workbook</w:t>
            </w:r>
          </w:p>
        </w:tc>
        <w:tc>
          <w:tcPr>
            <w:tcW w:type="dxa" w:w="2376"/>
            <w:vAlign w:val="top"/>
          </w:tcPr>
          <w:p>
            <w:pPr>
              <w:spacing w:before="0" w:after="20" w:line="240" w:lineRule="auto"/>
            </w:pPr>
            <w:r/>
            <w:r>
              <w:rPr>
                <w:rFonts w:ascii="Calibri" w:hAnsi="Calibri"/>
                <w:b w:val="0"/>
                <w:color w:val="1F1F1F"/>
                <w:sz w:val="14"/>
              </w:rPr>
              <w:t>00_specifications/ADaM_spec.xlsx</w:t>
            </w:r>
          </w:p>
        </w:tc>
        <w:tc>
          <w:tcPr>
            <w:tcW w:type="dxa" w:w="2664"/>
            <w:vAlign w:val="top"/>
          </w:tcPr>
          <w:p>
            <w:pPr>
              <w:spacing w:before="0" w:after="20" w:line="240" w:lineRule="auto"/>
            </w:pPr>
            <w:r/>
            <w:r>
              <w:rPr>
                <w:rFonts w:ascii="Calibri" w:hAnsi="Calibri"/>
                <w:b w:val="0"/>
                <w:color w:val="1F1F1F"/>
                <w:sz w:val="14"/>
              </w:rPr>
              <w:t>ADaM datasets, variables, codelists, methods, value-level metadata and WhereClauses.</w:t>
            </w:r>
          </w:p>
        </w:tc>
        <w:tc>
          <w:tcPr>
            <w:tcW w:type="dxa" w:w="2088"/>
            <w:vAlign w:val="top"/>
          </w:tcPr>
          <w:p>
            <w:pPr>
              <w:spacing w:before="0" w:after="20" w:line="240" w:lineRule="auto"/>
            </w:pPr>
            <w:r/>
            <w:r>
              <w:rPr>
                <w:rFonts w:ascii="Calibri" w:hAnsi="Calibri"/>
                <w:b w:val="0"/>
                <w:color w:val="1F1F1F"/>
                <w:sz w:val="14"/>
              </w:rPr>
              <w:t>Implementation baseline; currently requires traceability completion before release authority.</w:t>
            </w:r>
          </w:p>
        </w:tc>
      </w:tr>
      <w:tr>
        <w:tc>
          <w:tcPr>
            <w:tcW w:type="dxa" w:w="2232"/>
            <w:vAlign w:val="top"/>
          </w:tcPr>
          <w:p>
            <w:pPr>
              <w:spacing w:before="0" w:after="20" w:line="240" w:lineRule="auto"/>
            </w:pPr>
            <w:r/>
            <w:r>
              <w:rPr>
                <w:rFonts w:ascii="Calibri" w:hAnsi="Calibri"/>
                <w:b w:val="0"/>
                <w:color w:val="1F1F1F"/>
                <w:sz w:val="14"/>
              </w:rPr>
              <w:t>Audit evidence pack</w:t>
            </w:r>
          </w:p>
        </w:tc>
        <w:tc>
          <w:tcPr>
            <w:tcW w:type="dxa" w:w="2376"/>
            <w:vAlign w:val="top"/>
          </w:tcPr>
          <w:p>
            <w:pPr>
              <w:spacing w:before="0" w:after="20" w:line="240" w:lineRule="auto"/>
            </w:pPr>
            <w:r/>
            <w:r>
              <w:rPr>
                <w:rFonts w:ascii="Calibri" w:hAnsi="Calibri"/>
                <w:b w:val="0"/>
                <w:color w:val="1F1F1F"/>
                <w:sz w:val="14"/>
              </w:rPr>
              <w:t>audit/AUDIT_REPORT.md and audit/findings_register.csv</w:t>
            </w:r>
          </w:p>
        </w:tc>
        <w:tc>
          <w:tcPr>
            <w:tcW w:type="dxa" w:w="2664"/>
            <w:vAlign w:val="top"/>
          </w:tcPr>
          <w:p>
            <w:pPr>
              <w:spacing w:before="0" w:after="20" w:line="240" w:lineRule="auto"/>
            </w:pPr>
            <w:r/>
            <w:r>
              <w:rPr>
                <w:rFonts w:ascii="Calibri" w:hAnsi="Calibri"/>
                <w:b w:val="0"/>
                <w:color w:val="1F1F1F"/>
                <w:sz w:val="14"/>
              </w:rPr>
              <w:t>Critical and Major defects that must be closed or risk-accepted before submission-readiness claims.</w:t>
            </w:r>
          </w:p>
        </w:tc>
        <w:tc>
          <w:tcPr>
            <w:tcW w:type="dxa" w:w="2088"/>
            <w:vAlign w:val="top"/>
          </w:tcPr>
          <w:p>
            <w:pPr>
              <w:spacing w:before="0" w:after="20" w:line="240" w:lineRule="auto"/>
            </w:pPr>
            <w:r/>
            <w:r>
              <w:rPr>
                <w:rFonts w:ascii="Calibri" w:hAnsi="Calibri"/>
                <w:b w:val="0"/>
                <w:color w:val="1F1F1F"/>
                <w:sz w:val="14"/>
              </w:rPr>
              <w:t>High for remediation control; not a clinical source document.</w:t>
            </w:r>
          </w:p>
        </w:tc>
      </w:tr>
      <w:tr>
        <w:tc>
          <w:tcPr>
            <w:tcW w:type="dxa" w:w="2232"/>
            <w:vAlign w:val="top"/>
          </w:tcPr>
          <w:p>
            <w:pPr>
              <w:spacing w:before="0" w:after="20" w:line="240" w:lineRule="auto"/>
            </w:pPr>
            <w:r/>
            <w:r>
              <w:rPr>
                <w:rFonts w:ascii="Calibri" w:hAnsi="Calibri"/>
                <w:b w:val="0"/>
                <w:color w:val="1F1F1F"/>
                <w:sz w:val="14"/>
              </w:rPr>
              <w:t>Reconstruction programs and digitized KM inputs</w:t>
            </w:r>
          </w:p>
        </w:tc>
        <w:tc>
          <w:tcPr>
            <w:tcW w:type="dxa" w:w="2376"/>
            <w:vAlign w:val="top"/>
          </w:tcPr>
          <w:p>
            <w:pPr>
              <w:spacing w:before="0" w:after="20" w:line="240" w:lineRule="auto"/>
            </w:pPr>
            <w:r/>
            <w:r>
              <w:rPr>
                <w:rFonts w:ascii="Calibri" w:hAnsi="Calibri"/>
                <w:b w:val="0"/>
                <w:color w:val="1F1F1F"/>
                <w:sz w:val="14"/>
              </w:rPr>
              <w:t>01_raw_source/reconstruct_cbzp_guyot.R; 01_raw_source/reconstruct_cbzp_arm.R; 01_raw_source/guyot_digitised/*</w:t>
            </w:r>
          </w:p>
        </w:tc>
        <w:tc>
          <w:tcPr>
            <w:tcW w:type="dxa" w:w="2664"/>
            <w:vAlign w:val="top"/>
          </w:tcPr>
          <w:p>
            <w:pPr>
              <w:spacing w:before="0" w:after="20" w:line="240" w:lineRule="auto"/>
            </w:pPr>
            <w:r/>
            <w:r>
              <w:rPr>
                <w:rFonts w:ascii="Calibri" w:hAnsi="Calibri"/>
                <w:b w:val="0"/>
                <w:color w:val="1F1F1F"/>
                <w:sz w:val="14"/>
              </w:rPr>
              <w:t>Synthetic/reconstructed CbzP data generation for demonstration.</w:t>
            </w:r>
          </w:p>
        </w:tc>
        <w:tc>
          <w:tcPr>
            <w:tcW w:type="dxa" w:w="2088"/>
            <w:vAlign w:val="top"/>
          </w:tcPr>
          <w:p>
            <w:pPr>
              <w:spacing w:before="0" w:after="20" w:line="240" w:lineRule="auto"/>
            </w:pPr>
            <w:r/>
            <w:r>
              <w:rPr>
                <w:rFonts w:ascii="Calibri" w:hAnsi="Calibri"/>
                <w:b w:val="0"/>
                <w:color w:val="1F1F1F"/>
                <w:sz w:val="14"/>
              </w:rPr>
              <w:t>Valid only for explicitly non-confirmatory demonstration unless formally justified and approved.</w:t>
            </w:r>
          </w:p>
        </w:tc>
      </w:tr>
    </w:tbl>
    <w:p/>
    <w:p>
      <w:pPr>
        <w:pStyle w:val="Heading1"/>
      </w:pPr>
      <w:r>
        <w:t>Appendix B. Endpoint algorithm details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vAlign w:val="top"/>
            <w:shd w:fill="1F4E79"/>
          </w:tcPr>
          <w:p>
            <w:pPr>
              <w:spacing w:before="0" w:after="20" w:line="240" w:lineRule="auto"/>
            </w:pPr>
            <w:r/>
            <w:r>
              <w:rPr>
                <w:rFonts w:ascii="Calibri" w:hAnsi="Calibri"/>
                <w:b/>
                <w:color w:val="FFFFFF"/>
                <w:sz w:val="14"/>
              </w:rPr>
              <w:t>Endpoint</w:t>
            </w:r>
          </w:p>
        </w:tc>
        <w:tc>
          <w:tcPr>
            <w:tcW w:type="dxa" w:w="1584"/>
            <w:vAlign w:val="top"/>
            <w:shd w:fill="1F4E79"/>
          </w:tcPr>
          <w:p>
            <w:pPr>
              <w:spacing w:before="0" w:after="20" w:line="240" w:lineRule="auto"/>
            </w:pPr>
            <w:r/>
            <w:r>
              <w:rPr>
                <w:rFonts w:ascii="Calibri" w:hAnsi="Calibri"/>
                <w:b/>
                <w:color w:val="FFFFFF"/>
                <w:sz w:val="14"/>
              </w:rPr>
              <w:t>ADaM target</w:t>
            </w:r>
          </w:p>
        </w:tc>
        <w:tc>
          <w:tcPr>
            <w:tcW w:type="dxa" w:w="2736"/>
            <w:vAlign w:val="top"/>
            <w:shd w:fill="1F4E79"/>
          </w:tcPr>
          <w:p>
            <w:pPr>
              <w:spacing w:before="0" w:after="20" w:line="240" w:lineRule="auto"/>
            </w:pPr>
            <w:r/>
            <w:r>
              <w:rPr>
                <w:rFonts w:ascii="Calibri" w:hAnsi="Calibri"/>
                <w:b/>
                <w:color w:val="FFFFFF"/>
                <w:sz w:val="14"/>
              </w:rPr>
              <w:t>Key sources</w:t>
            </w:r>
          </w:p>
        </w:tc>
        <w:tc>
          <w:tcPr>
            <w:tcW w:type="dxa" w:w="3744"/>
            <w:vAlign w:val="top"/>
            <w:shd w:fill="1F4E79"/>
          </w:tcPr>
          <w:p>
            <w:pPr>
              <w:spacing w:before="0" w:after="20" w:line="240" w:lineRule="auto"/>
            </w:pPr>
            <w:r/>
            <w:r>
              <w:rPr>
                <w:rFonts w:ascii="Calibri" w:hAnsi="Calibri"/>
                <w:b/>
                <w:color w:val="FFFFFF"/>
                <w:sz w:val="14"/>
              </w:rPr>
              <w:t>Algorithm control</w:t>
            </w:r>
          </w:p>
        </w:tc>
      </w:tr>
      <w:tr>
        <w:tc>
          <w:tcPr>
            <w:tcW w:type="dxa" w:w="1296"/>
            <w:vAlign w:val="top"/>
          </w:tcPr>
          <w:p>
            <w:pPr>
              <w:spacing w:before="0" w:after="20" w:line="240" w:lineRule="auto"/>
            </w:pPr>
            <w:r/>
            <w:r>
              <w:rPr>
                <w:rFonts w:ascii="Calibri" w:hAnsi="Calibri"/>
                <w:b w:val="0"/>
                <w:color w:val="1F1F1F"/>
                <w:sz w:val="14"/>
              </w:rPr>
              <w:t>OS</w:t>
            </w:r>
          </w:p>
        </w:tc>
        <w:tc>
          <w:tcPr>
            <w:tcW w:type="dxa" w:w="1584"/>
            <w:vAlign w:val="top"/>
          </w:tcPr>
          <w:p>
            <w:pPr>
              <w:spacing w:before="0" w:after="20" w:line="240" w:lineRule="auto"/>
            </w:pPr>
            <w:r/>
            <w:r>
              <w:rPr>
                <w:rFonts w:ascii="Calibri" w:hAnsi="Calibri"/>
                <w:b w:val="0"/>
                <w:color w:val="1F1F1F"/>
                <w:sz w:val="14"/>
              </w:rPr>
              <w:t>ADTTE.OS</w:t>
            </w:r>
          </w:p>
        </w:tc>
        <w:tc>
          <w:tcPr>
            <w:tcW w:type="dxa" w:w="2736"/>
            <w:vAlign w:val="top"/>
          </w:tcPr>
          <w:p>
            <w:pPr>
              <w:spacing w:before="0" w:after="20" w:line="240" w:lineRule="auto"/>
            </w:pPr>
            <w:r/>
            <w:r>
              <w:rPr>
                <w:rFonts w:ascii="Calibri" w:hAnsi="Calibri"/>
                <w:b w:val="0"/>
                <w:color w:val="1F1F1F"/>
                <w:sz w:val="14"/>
              </w:rPr>
              <w:t>RANDDT, DTHDT, LSTALVDT, cut-off</w:t>
            </w:r>
          </w:p>
        </w:tc>
        <w:tc>
          <w:tcPr>
            <w:tcW w:type="dxa" w:w="3744"/>
            <w:vAlign w:val="top"/>
          </w:tcPr>
          <w:p>
            <w:pPr>
              <w:spacing w:before="0" w:after="20" w:line="240" w:lineRule="auto"/>
            </w:pPr>
            <w:r/>
            <w:r>
              <w:rPr>
                <w:rFonts w:ascii="Calibri" w:hAnsi="Calibri"/>
                <w:b w:val="0"/>
                <w:color w:val="1F1F1F"/>
                <w:sz w:val="14"/>
              </w:rPr>
              <w:t>Event if death observed; otherwise censor at min(last known alive, cut-off).</w:t>
            </w:r>
          </w:p>
        </w:tc>
      </w:tr>
      <w:tr>
        <w:tc>
          <w:tcPr>
            <w:tcW w:type="dxa" w:w="1296"/>
            <w:vAlign w:val="top"/>
          </w:tcPr>
          <w:p>
            <w:pPr>
              <w:spacing w:before="0" w:after="20" w:line="240" w:lineRule="auto"/>
            </w:pPr>
            <w:r/>
            <w:r>
              <w:rPr>
                <w:rFonts w:ascii="Calibri" w:hAnsi="Calibri"/>
                <w:b w:val="0"/>
                <w:color w:val="1F1F1F"/>
                <w:sz w:val="14"/>
              </w:rPr>
              <w:t>PFS</w:t>
            </w:r>
          </w:p>
        </w:tc>
        <w:tc>
          <w:tcPr>
            <w:tcW w:type="dxa" w:w="1584"/>
            <w:vAlign w:val="top"/>
          </w:tcPr>
          <w:p>
            <w:pPr>
              <w:spacing w:before="0" w:after="20" w:line="240" w:lineRule="auto"/>
            </w:pPr>
            <w:r/>
            <w:r>
              <w:rPr>
                <w:rFonts w:ascii="Calibri" w:hAnsi="Calibri"/>
                <w:b w:val="0"/>
                <w:color w:val="1F1F1F"/>
                <w:sz w:val="14"/>
              </w:rPr>
              <w:t>ADTTE.PFS</w:t>
            </w:r>
          </w:p>
        </w:tc>
        <w:tc>
          <w:tcPr>
            <w:tcW w:type="dxa" w:w="2736"/>
            <w:vAlign w:val="top"/>
          </w:tcPr>
          <w:p>
            <w:pPr>
              <w:spacing w:before="0" w:after="20" w:line="240" w:lineRule="auto"/>
            </w:pPr>
            <w:r/>
            <w:r>
              <w:rPr>
                <w:rFonts w:ascii="Calibri" w:hAnsi="Calibri"/>
                <w:b w:val="0"/>
                <w:color w:val="1F1F1F"/>
                <w:sz w:val="14"/>
              </w:rPr>
              <w:t>ADRS PSA/tumour/pain components, death, ADCM.NACTDT</w:t>
            </w:r>
          </w:p>
        </w:tc>
        <w:tc>
          <w:tcPr>
            <w:tcW w:type="dxa" w:w="3744"/>
            <w:vAlign w:val="top"/>
          </w:tcPr>
          <w:p>
            <w:pPr>
              <w:spacing w:before="0" w:after="20" w:line="240" w:lineRule="auto"/>
            </w:pPr>
            <w:r/>
            <w:r>
              <w:rPr>
                <w:rFonts w:ascii="Calibri" w:hAnsi="Calibri"/>
                <w:b w:val="0"/>
                <w:color w:val="1F1F1F"/>
                <w:sz w:val="14"/>
              </w:rPr>
              <w:t>Event date is first valid component; censor before new therapy or at randomization/no post-baseline assessment.</w:t>
            </w:r>
          </w:p>
        </w:tc>
      </w:tr>
      <w:tr>
        <w:tc>
          <w:tcPr>
            <w:tcW w:type="dxa" w:w="1296"/>
            <w:vAlign w:val="top"/>
          </w:tcPr>
          <w:p>
            <w:pPr>
              <w:spacing w:before="0" w:after="20" w:line="240" w:lineRule="auto"/>
            </w:pPr>
            <w:r/>
            <w:r>
              <w:rPr>
                <w:rFonts w:ascii="Calibri" w:hAnsi="Calibri"/>
                <w:b w:val="0"/>
                <w:color w:val="1F1F1F"/>
                <w:sz w:val="14"/>
              </w:rPr>
              <w:t>TTPSA</w:t>
            </w:r>
          </w:p>
        </w:tc>
        <w:tc>
          <w:tcPr>
            <w:tcW w:type="dxa" w:w="1584"/>
            <w:vAlign w:val="top"/>
          </w:tcPr>
          <w:p>
            <w:pPr>
              <w:spacing w:before="0" w:after="20" w:line="240" w:lineRule="auto"/>
            </w:pPr>
            <w:r/>
            <w:r>
              <w:rPr>
                <w:rFonts w:ascii="Calibri" w:hAnsi="Calibri"/>
                <w:b w:val="0"/>
                <w:color w:val="1F1F1F"/>
                <w:sz w:val="14"/>
              </w:rPr>
              <w:t>ADTTE.TTPSA</w:t>
            </w:r>
          </w:p>
        </w:tc>
        <w:tc>
          <w:tcPr>
            <w:tcW w:type="dxa" w:w="2736"/>
            <w:vAlign w:val="top"/>
          </w:tcPr>
          <w:p>
            <w:pPr>
              <w:spacing w:before="0" w:after="20" w:line="240" w:lineRule="auto"/>
            </w:pPr>
            <w:r/>
            <w:r>
              <w:rPr>
                <w:rFonts w:ascii="Calibri" w:hAnsi="Calibri"/>
                <w:b w:val="0"/>
                <w:color w:val="1F1F1F"/>
                <w:sz w:val="14"/>
              </w:rPr>
              <w:t>PSA values in ADLB/ADRS</w:t>
            </w:r>
          </w:p>
        </w:tc>
        <w:tc>
          <w:tcPr>
            <w:tcW w:type="dxa" w:w="3744"/>
            <w:vAlign w:val="top"/>
          </w:tcPr>
          <w:p>
            <w:pPr>
              <w:spacing w:before="0" w:after="20" w:line="240" w:lineRule="auto"/>
            </w:pPr>
            <w:r/>
            <w:r>
              <w:rPr>
                <w:rFonts w:ascii="Calibri" w:hAnsi="Calibri"/>
                <w:b w:val="0"/>
                <w:color w:val="1F1F1F"/>
                <w:sz w:val="14"/>
              </w:rPr>
              <w:t>Apply responder/non-responder progression rules and confirmation timing.</w:t>
            </w:r>
          </w:p>
        </w:tc>
      </w:tr>
      <w:tr>
        <w:tc>
          <w:tcPr>
            <w:tcW w:type="dxa" w:w="1296"/>
            <w:vAlign w:val="top"/>
          </w:tcPr>
          <w:p>
            <w:pPr>
              <w:spacing w:before="0" w:after="20" w:line="240" w:lineRule="auto"/>
            </w:pPr>
            <w:r/>
            <w:r>
              <w:rPr>
                <w:rFonts w:ascii="Calibri" w:hAnsi="Calibri"/>
                <w:b w:val="0"/>
                <w:color w:val="1F1F1F"/>
                <w:sz w:val="14"/>
              </w:rPr>
              <w:t>TTUMOR</w:t>
            </w:r>
          </w:p>
        </w:tc>
        <w:tc>
          <w:tcPr>
            <w:tcW w:type="dxa" w:w="1584"/>
            <w:vAlign w:val="top"/>
          </w:tcPr>
          <w:p>
            <w:pPr>
              <w:spacing w:before="0" w:after="20" w:line="240" w:lineRule="auto"/>
            </w:pPr>
            <w:r/>
            <w:r>
              <w:rPr>
                <w:rFonts w:ascii="Calibri" w:hAnsi="Calibri"/>
                <w:b w:val="0"/>
                <w:color w:val="1F1F1F"/>
                <w:sz w:val="14"/>
              </w:rPr>
              <w:t>ADTTE.TTUMOR</w:t>
            </w:r>
          </w:p>
        </w:tc>
        <w:tc>
          <w:tcPr>
            <w:tcW w:type="dxa" w:w="2736"/>
            <w:vAlign w:val="top"/>
          </w:tcPr>
          <w:p>
            <w:pPr>
              <w:spacing w:before="0" w:after="20" w:line="240" w:lineRule="auto"/>
            </w:pPr>
            <w:r/>
            <w:r>
              <w:rPr>
                <w:rFonts w:ascii="Calibri" w:hAnsi="Calibri"/>
                <w:b w:val="0"/>
                <w:color w:val="1F1F1F"/>
                <w:sz w:val="14"/>
              </w:rPr>
              <w:t>RECIST ADRS/LS</w:t>
            </w:r>
          </w:p>
        </w:tc>
        <w:tc>
          <w:tcPr>
            <w:tcW w:type="dxa" w:w="3744"/>
            <w:vAlign w:val="top"/>
          </w:tcPr>
          <w:p>
            <w:pPr>
              <w:spacing w:before="0" w:after="20" w:line="240" w:lineRule="auto"/>
            </w:pPr>
            <w:r/>
            <w:r>
              <w:rPr>
                <w:rFonts w:ascii="Calibri" w:hAnsi="Calibri"/>
                <w:b w:val="0"/>
                <w:color w:val="1F1F1F"/>
                <w:sz w:val="14"/>
              </w:rPr>
              <w:t>Event on radiographic PD/new lesion; censor at last evaluable tumour assessment.</w:t>
            </w:r>
          </w:p>
        </w:tc>
      </w:tr>
      <w:tr>
        <w:tc>
          <w:tcPr>
            <w:tcW w:type="dxa" w:w="1296"/>
            <w:vAlign w:val="top"/>
          </w:tcPr>
          <w:p>
            <w:pPr>
              <w:spacing w:before="0" w:after="20" w:line="240" w:lineRule="auto"/>
            </w:pPr>
            <w:r/>
            <w:r>
              <w:rPr>
                <w:rFonts w:ascii="Calibri" w:hAnsi="Calibri"/>
                <w:b w:val="0"/>
                <w:color w:val="1F1F1F"/>
                <w:sz w:val="14"/>
              </w:rPr>
              <w:t>TTPAIN</w:t>
            </w:r>
          </w:p>
        </w:tc>
        <w:tc>
          <w:tcPr>
            <w:tcW w:type="dxa" w:w="1584"/>
            <w:vAlign w:val="top"/>
          </w:tcPr>
          <w:p>
            <w:pPr>
              <w:spacing w:before="0" w:after="20" w:line="240" w:lineRule="auto"/>
            </w:pPr>
            <w:r/>
            <w:r>
              <w:rPr>
                <w:rFonts w:ascii="Calibri" w:hAnsi="Calibri"/>
                <w:b w:val="0"/>
                <w:color w:val="1F1F1F"/>
                <w:sz w:val="14"/>
              </w:rPr>
              <w:t>ADTTE.TTPAIN</w:t>
            </w:r>
          </w:p>
        </w:tc>
        <w:tc>
          <w:tcPr>
            <w:tcW w:type="dxa" w:w="2736"/>
            <w:vAlign w:val="top"/>
          </w:tcPr>
          <w:p>
            <w:pPr>
              <w:spacing w:before="0" w:after="20" w:line="240" w:lineRule="auto"/>
            </w:pPr>
            <w:r/>
            <w:r>
              <w:rPr>
                <w:rFonts w:ascii="Calibri" w:hAnsi="Calibri"/>
                <w:b w:val="0"/>
                <w:color w:val="1F1F1F"/>
                <w:sz w:val="14"/>
              </w:rPr>
              <w:t>PN/pain diary and palliative RT CM/PR</w:t>
            </w:r>
          </w:p>
        </w:tc>
        <w:tc>
          <w:tcPr>
            <w:tcW w:type="dxa" w:w="3744"/>
            <w:vAlign w:val="top"/>
          </w:tcPr>
          <w:p>
            <w:pPr>
              <w:spacing w:before="0" w:after="20" w:line="240" w:lineRule="auto"/>
            </w:pPr>
            <w:r/>
            <w:r>
              <w:rPr>
                <w:rFonts w:ascii="Calibri" w:hAnsi="Calibri"/>
                <w:b w:val="0"/>
                <w:color w:val="1F1F1F"/>
                <w:sz w:val="14"/>
              </w:rPr>
              <w:t>Event on pain progression criteria; apply diary evaluability and confirmation rules.</w:t>
            </w:r>
          </w:p>
        </w:tc>
      </w:tr>
      <w:tr>
        <w:tc>
          <w:tcPr>
            <w:tcW w:type="dxa" w:w="1296"/>
            <w:vAlign w:val="top"/>
          </w:tcPr>
          <w:p>
            <w:pPr>
              <w:spacing w:before="0" w:after="20" w:line="240" w:lineRule="auto"/>
            </w:pPr>
            <w:r/>
            <w:r>
              <w:rPr>
                <w:rFonts w:ascii="Calibri" w:hAnsi="Calibri"/>
                <w:b w:val="0"/>
                <w:color w:val="1F1F1F"/>
                <w:sz w:val="14"/>
              </w:rPr>
              <w:t>PSA response</w:t>
            </w:r>
          </w:p>
        </w:tc>
        <w:tc>
          <w:tcPr>
            <w:tcW w:type="dxa" w:w="1584"/>
            <w:vAlign w:val="top"/>
          </w:tcPr>
          <w:p>
            <w:pPr>
              <w:spacing w:before="0" w:after="20" w:line="240" w:lineRule="auto"/>
            </w:pPr>
            <w:r/>
            <w:r>
              <w:rPr>
                <w:rFonts w:ascii="Calibri" w:hAnsi="Calibri"/>
                <w:b w:val="0"/>
                <w:color w:val="1F1F1F"/>
                <w:sz w:val="14"/>
              </w:rPr>
              <w:t>ADRS.PSARESP</w:t>
            </w:r>
          </w:p>
        </w:tc>
        <w:tc>
          <w:tcPr>
            <w:tcW w:type="dxa" w:w="2736"/>
            <w:vAlign w:val="top"/>
          </w:tcPr>
          <w:p>
            <w:pPr>
              <w:spacing w:before="0" w:after="20" w:line="240" w:lineRule="auto"/>
            </w:pPr>
            <w:r/>
            <w:r>
              <w:rPr>
                <w:rFonts w:ascii="Calibri" w:hAnsi="Calibri"/>
                <w:b w:val="0"/>
                <w:color w:val="1F1F1F"/>
                <w:sz w:val="14"/>
              </w:rPr>
              <w:t>Baseline/post-baseline PSA</w:t>
            </w:r>
          </w:p>
        </w:tc>
        <w:tc>
          <w:tcPr>
            <w:tcW w:type="dxa" w:w="3744"/>
            <w:vAlign w:val="top"/>
          </w:tcPr>
          <w:p>
            <w:pPr>
              <w:spacing w:before="0" w:after="20" w:line="240" w:lineRule="auto"/>
            </w:pPr>
            <w:r/>
            <w:r>
              <w:rPr>
                <w:rFonts w:ascii="Calibri" w:hAnsi="Calibri"/>
                <w:b w:val="0"/>
                <w:color w:val="1F1F1F"/>
                <w:sz w:val="14"/>
              </w:rPr>
              <w:t>Confirmed &gt;=50% reduction from baseline, repeat &gt;=3 weeks later; population PSA baseline &gt;=20 ug/L.</w:t>
            </w:r>
          </w:p>
        </w:tc>
      </w:tr>
      <w:tr>
        <w:tc>
          <w:tcPr>
            <w:tcW w:type="dxa" w:w="1296"/>
            <w:vAlign w:val="top"/>
          </w:tcPr>
          <w:p>
            <w:pPr>
              <w:spacing w:before="0" w:after="20" w:line="240" w:lineRule="auto"/>
            </w:pPr>
            <w:r/>
            <w:r>
              <w:rPr>
                <w:rFonts w:ascii="Calibri" w:hAnsi="Calibri"/>
                <w:b w:val="0"/>
                <w:color w:val="1F1F1F"/>
                <w:sz w:val="14"/>
              </w:rPr>
              <w:t>ORR</w:t>
            </w:r>
          </w:p>
        </w:tc>
        <w:tc>
          <w:tcPr>
            <w:tcW w:type="dxa" w:w="1584"/>
            <w:vAlign w:val="top"/>
          </w:tcPr>
          <w:p>
            <w:pPr>
              <w:spacing w:before="0" w:after="20" w:line="240" w:lineRule="auto"/>
            </w:pPr>
            <w:r/>
            <w:r>
              <w:rPr>
                <w:rFonts w:ascii="Calibri" w:hAnsi="Calibri"/>
                <w:b w:val="0"/>
                <w:color w:val="1F1F1F"/>
                <w:sz w:val="14"/>
              </w:rPr>
              <w:t>ADRS.OBJRESP</w:t>
            </w:r>
          </w:p>
        </w:tc>
        <w:tc>
          <w:tcPr>
            <w:tcW w:type="dxa" w:w="2736"/>
            <w:vAlign w:val="top"/>
          </w:tcPr>
          <w:p>
            <w:pPr>
              <w:spacing w:before="0" w:after="20" w:line="240" w:lineRule="auto"/>
            </w:pPr>
            <w:r/>
            <w:r>
              <w:rPr>
                <w:rFonts w:ascii="Calibri" w:hAnsi="Calibri"/>
                <w:b w:val="0"/>
                <w:color w:val="1F1F1F"/>
                <w:sz w:val="14"/>
              </w:rPr>
              <w:t>RECIST target, non-target, new lesions</w:t>
            </w:r>
          </w:p>
        </w:tc>
        <w:tc>
          <w:tcPr>
            <w:tcW w:type="dxa" w:w="3744"/>
            <w:vAlign w:val="top"/>
          </w:tcPr>
          <w:p>
            <w:pPr>
              <w:spacing w:before="0" w:after="20" w:line="240" w:lineRule="auto"/>
            </w:pPr>
            <w:r/>
            <w:r>
              <w:rPr>
                <w:rFonts w:ascii="Calibri" w:hAnsi="Calibri"/>
                <w:b w:val="0"/>
                <w:color w:val="1F1F1F"/>
                <w:sz w:val="14"/>
              </w:rPr>
              <w:t>Confirmed CR/PR in measurable disease population.</w:t>
            </w:r>
          </w:p>
        </w:tc>
      </w:tr>
      <w:tr>
        <w:tc>
          <w:tcPr>
            <w:tcW w:type="dxa" w:w="1296"/>
            <w:vAlign w:val="top"/>
          </w:tcPr>
          <w:p>
            <w:pPr>
              <w:spacing w:before="0" w:after="20" w:line="240" w:lineRule="auto"/>
            </w:pPr>
            <w:r/>
            <w:r>
              <w:rPr>
                <w:rFonts w:ascii="Calibri" w:hAnsi="Calibri"/>
                <w:b w:val="0"/>
                <w:color w:val="1F1F1F"/>
                <w:sz w:val="14"/>
              </w:rPr>
              <w:t>TEAE</w:t>
            </w:r>
          </w:p>
        </w:tc>
        <w:tc>
          <w:tcPr>
            <w:tcW w:type="dxa" w:w="1584"/>
            <w:vAlign w:val="top"/>
          </w:tcPr>
          <w:p>
            <w:pPr>
              <w:spacing w:before="0" w:after="20" w:line="240" w:lineRule="auto"/>
            </w:pPr>
            <w:r/>
            <w:r>
              <w:rPr>
                <w:rFonts w:ascii="Calibri" w:hAnsi="Calibri"/>
                <w:b w:val="0"/>
                <w:color w:val="1F1F1F"/>
                <w:sz w:val="14"/>
              </w:rPr>
              <w:t>ADAE</w:t>
            </w:r>
          </w:p>
        </w:tc>
        <w:tc>
          <w:tcPr>
            <w:tcW w:type="dxa" w:w="2736"/>
            <w:vAlign w:val="top"/>
          </w:tcPr>
          <w:p>
            <w:pPr>
              <w:spacing w:before="0" w:after="20" w:line="240" w:lineRule="auto"/>
            </w:pPr>
            <w:r/>
            <w:r>
              <w:rPr>
                <w:rFonts w:ascii="Calibri" w:hAnsi="Calibri"/>
                <w:b w:val="0"/>
                <w:color w:val="1F1F1F"/>
                <w:sz w:val="14"/>
              </w:rPr>
              <w:t>AE, EX, death, severity, relationship</w:t>
            </w:r>
          </w:p>
        </w:tc>
        <w:tc>
          <w:tcPr>
            <w:tcW w:type="dxa" w:w="3744"/>
            <w:vAlign w:val="top"/>
          </w:tcPr>
          <w:p>
            <w:pPr>
              <w:spacing w:before="0" w:after="20" w:line="240" w:lineRule="auto"/>
            </w:pPr>
            <w:r/>
            <w:r>
              <w:rPr>
                <w:rFonts w:ascii="Calibri" w:hAnsi="Calibri"/>
                <w:b w:val="0"/>
                <w:color w:val="1F1F1F"/>
                <w:sz w:val="14"/>
              </w:rPr>
              <w:t>Treatment emergent if onset/worsening on/after first dose and within safety window.</w:t>
            </w:r>
          </w:p>
        </w:tc>
      </w:tr>
      <w:tr>
        <w:tc>
          <w:tcPr>
            <w:tcW w:type="dxa" w:w="1296"/>
            <w:vAlign w:val="top"/>
          </w:tcPr>
          <w:p>
            <w:pPr>
              <w:spacing w:before="0" w:after="20" w:line="240" w:lineRule="auto"/>
            </w:pPr>
            <w:r/>
            <w:r>
              <w:rPr>
                <w:rFonts w:ascii="Calibri" w:hAnsi="Calibri"/>
                <w:b w:val="0"/>
                <w:color w:val="1F1F1F"/>
                <w:sz w:val="14"/>
              </w:rPr>
              <w:t>Lab shift</w:t>
            </w:r>
          </w:p>
        </w:tc>
        <w:tc>
          <w:tcPr>
            <w:tcW w:type="dxa" w:w="1584"/>
            <w:vAlign w:val="top"/>
          </w:tcPr>
          <w:p>
            <w:pPr>
              <w:spacing w:before="0" w:after="20" w:line="240" w:lineRule="auto"/>
            </w:pPr>
            <w:r/>
            <w:r>
              <w:rPr>
                <w:rFonts w:ascii="Calibri" w:hAnsi="Calibri"/>
                <w:b w:val="0"/>
                <w:color w:val="1F1F1F"/>
                <w:sz w:val="14"/>
              </w:rPr>
              <w:t>ADLB</w:t>
            </w:r>
          </w:p>
        </w:tc>
        <w:tc>
          <w:tcPr>
            <w:tcW w:type="dxa" w:w="2736"/>
            <w:vAlign w:val="top"/>
          </w:tcPr>
          <w:p>
            <w:pPr>
              <w:spacing w:before="0" w:after="20" w:line="240" w:lineRule="auto"/>
            </w:pPr>
            <w:r/>
            <w:r>
              <w:rPr>
                <w:rFonts w:ascii="Calibri" w:hAnsi="Calibri"/>
                <w:b w:val="0"/>
                <w:color w:val="1F1F1F"/>
                <w:sz w:val="14"/>
              </w:rPr>
              <w:t>LB value/grade, baseline flag, ANL01FL</w:t>
            </w:r>
          </w:p>
        </w:tc>
        <w:tc>
          <w:tcPr>
            <w:tcW w:type="dxa" w:w="3744"/>
            <w:vAlign w:val="top"/>
          </w:tcPr>
          <w:p>
            <w:pPr>
              <w:spacing w:before="0" w:after="20" w:line="240" w:lineRule="auto"/>
            </w:pPr>
            <w:r/>
            <w:r>
              <w:rPr>
                <w:rFonts w:ascii="Calibri" w:hAnsi="Calibri"/>
                <w:b w:val="0"/>
                <w:color w:val="1F1F1F"/>
                <w:sz w:val="14"/>
              </w:rPr>
              <w:t>One baseline and one worst post-baseline per subject/parameter before shift table.</w:t>
            </w:r>
          </w:p>
        </w:tc>
      </w:tr>
    </w:tbl>
    <w:p/>
    <w:p>
      <w:pPr>
        <w:pStyle w:val="Heading1"/>
      </w:pPr>
      <w:r>
        <w:t>Appendix C. ADaM dataset and metadata requirements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vAlign w:val="top"/>
            <w:shd w:fill="1F4E79"/>
          </w:tcPr>
          <w:p>
            <w:pPr>
              <w:spacing w:before="0" w:after="20" w:line="240" w:lineRule="auto"/>
            </w:pPr>
            <w:r/>
            <w:r>
              <w:rPr>
                <w:rFonts w:ascii="Calibri" w:hAnsi="Calibri"/>
                <w:b/>
                <w:color w:val="FFFFFF"/>
                <w:sz w:val="14"/>
              </w:rPr>
              <w:t>Dataset</w:t>
            </w:r>
          </w:p>
        </w:tc>
        <w:tc>
          <w:tcPr>
            <w:tcW w:type="dxa" w:w="792"/>
            <w:vAlign w:val="top"/>
            <w:shd w:fill="1F4E79"/>
          </w:tcPr>
          <w:p>
            <w:pPr>
              <w:spacing w:before="0" w:after="20" w:line="240" w:lineRule="auto"/>
            </w:pPr>
            <w:r/>
            <w:r>
              <w:rPr>
                <w:rFonts w:ascii="Calibri" w:hAnsi="Calibri"/>
                <w:b/>
                <w:color w:val="FFFFFF"/>
                <w:sz w:val="14"/>
              </w:rPr>
              <w:t>Vars</w:t>
            </w:r>
          </w:p>
        </w:tc>
        <w:tc>
          <w:tcPr>
            <w:tcW w:type="dxa" w:w="1080"/>
            <w:vAlign w:val="top"/>
            <w:shd w:fill="1F4E79"/>
          </w:tcPr>
          <w:p>
            <w:pPr>
              <w:spacing w:before="0" w:after="20" w:line="240" w:lineRule="auto"/>
            </w:pPr>
            <w:r/>
            <w:r>
              <w:rPr>
                <w:rFonts w:ascii="Calibri" w:hAnsi="Calibri"/>
                <w:b/>
                <w:color w:val="FFFFFF"/>
                <w:sz w:val="14"/>
              </w:rPr>
              <w:t>Mandatory</w:t>
            </w:r>
          </w:p>
        </w:tc>
        <w:tc>
          <w:tcPr>
            <w:tcW w:type="dxa" w:w="936"/>
            <w:vAlign w:val="top"/>
            <w:shd w:fill="1F4E79"/>
          </w:tcPr>
          <w:p>
            <w:pPr>
              <w:spacing w:before="0" w:after="20" w:line="240" w:lineRule="auto"/>
            </w:pPr>
            <w:r/>
            <w:r>
              <w:rPr>
                <w:rFonts w:ascii="Calibri" w:hAnsi="Calibri"/>
                <w:b/>
                <w:color w:val="FFFFFF"/>
                <w:sz w:val="14"/>
              </w:rPr>
              <w:t>Derived</w:t>
            </w:r>
          </w:p>
        </w:tc>
        <w:tc>
          <w:tcPr>
            <w:tcW w:type="dxa" w:w="1080"/>
            <w:vAlign w:val="top"/>
            <w:shd w:fill="1F4E79"/>
          </w:tcPr>
          <w:p>
            <w:pPr>
              <w:spacing w:before="0" w:after="20" w:line="240" w:lineRule="auto"/>
            </w:pPr>
            <w:r/>
            <w:r>
              <w:rPr>
                <w:rFonts w:ascii="Calibri" w:hAnsi="Calibri"/>
                <w:b/>
                <w:color w:val="FFFFFF"/>
                <w:sz w:val="14"/>
              </w:rPr>
              <w:t>Codelisted</w:t>
            </w:r>
          </w:p>
        </w:tc>
        <w:tc>
          <w:tcPr>
            <w:tcW w:type="dxa" w:w="4320"/>
            <w:vAlign w:val="top"/>
            <w:shd w:fill="1F4E79"/>
          </w:tcPr>
          <w:p>
            <w:pPr>
              <w:spacing w:before="0" w:after="20" w:line="240" w:lineRule="auto"/>
            </w:pPr>
            <w:r/>
            <w:r>
              <w:rPr>
                <w:rFonts w:ascii="Calibri" w:hAnsi="Calibri"/>
                <w:b/>
                <w:color w:val="FFFFFF"/>
                <w:sz w:val="14"/>
              </w:rPr>
              <w:t>Representative variables</w:t>
            </w:r>
          </w:p>
        </w:tc>
      </w:tr>
      <w:tr>
        <w:tc>
          <w:tcPr>
            <w:tcW w:type="dxa" w:w="1152"/>
            <w:vAlign w:val="top"/>
          </w:tcPr>
          <w:p>
            <w:pPr>
              <w:spacing w:before="0" w:after="20" w:line="240" w:lineRule="auto"/>
            </w:pPr>
            <w:r/>
            <w:r>
              <w:rPr>
                <w:rFonts w:ascii="Calibri" w:hAnsi="Calibri"/>
                <w:b w:val="0"/>
                <w:color w:val="1F1F1F"/>
                <w:sz w:val="14"/>
              </w:rPr>
              <w:t>ADAE</w:t>
            </w:r>
          </w:p>
        </w:tc>
        <w:tc>
          <w:tcPr>
            <w:tcW w:type="dxa" w:w="792"/>
            <w:vAlign w:val="top"/>
          </w:tcPr>
          <w:p>
            <w:pPr>
              <w:spacing w:before="0" w:after="20" w:line="240" w:lineRule="auto"/>
            </w:pPr>
            <w:r/>
            <w:r>
              <w:rPr>
                <w:rFonts w:ascii="Calibri" w:hAnsi="Calibri"/>
                <w:b w:val="0"/>
                <w:color w:val="1F1F1F"/>
                <w:sz w:val="14"/>
              </w:rPr>
              <w:t>29</w:t>
            </w:r>
          </w:p>
        </w:tc>
        <w:tc>
          <w:tcPr>
            <w:tcW w:type="dxa" w:w="1080"/>
            <w:vAlign w:val="top"/>
          </w:tcPr>
          <w:p>
            <w:pPr>
              <w:spacing w:before="0" w:after="20" w:line="240" w:lineRule="auto"/>
            </w:pPr>
            <w:r/>
            <w:r>
              <w:rPr>
                <w:rFonts w:ascii="Calibri" w:hAnsi="Calibri"/>
                <w:b w:val="0"/>
                <w:color w:val="1F1F1F"/>
                <w:sz w:val="14"/>
              </w:rPr>
              <w:t>6</w:t>
            </w:r>
          </w:p>
        </w:tc>
        <w:tc>
          <w:tcPr>
            <w:tcW w:type="dxa" w:w="936"/>
            <w:vAlign w:val="top"/>
          </w:tcPr>
          <w:p>
            <w:pPr>
              <w:spacing w:before="0" w:after="20" w:line="240" w:lineRule="auto"/>
            </w:pPr>
            <w:r/>
            <w:r>
              <w:rPr>
                <w:rFonts w:ascii="Calibri" w:hAnsi="Calibri"/>
                <w:b w:val="0"/>
                <w:color w:val="1F1F1F"/>
                <w:sz w:val="14"/>
              </w:rPr>
              <w:t>1</w:t>
            </w:r>
          </w:p>
        </w:tc>
        <w:tc>
          <w:tcPr>
            <w:tcW w:type="dxa" w:w="1080"/>
            <w:vAlign w:val="top"/>
          </w:tcPr>
          <w:p>
            <w:pPr>
              <w:spacing w:before="0" w:after="20" w:line="240" w:lineRule="auto"/>
            </w:pPr>
            <w:r/>
            <w:r>
              <w:rPr>
                <w:rFonts w:ascii="Calibri" w:hAnsi="Calibri"/>
                <w:b w:val="0"/>
                <w:color w:val="1F1F1F"/>
                <w:sz w:val="14"/>
              </w:rPr>
              <w:t>5</w:t>
            </w:r>
          </w:p>
        </w:tc>
        <w:tc>
          <w:tcPr>
            <w:tcW w:type="dxa" w:w="4320"/>
            <w:vAlign w:val="top"/>
          </w:tcPr>
          <w:p>
            <w:pPr>
              <w:spacing w:before="0" w:after="20" w:line="240" w:lineRule="auto"/>
            </w:pPr>
            <w:r/>
            <w:r>
              <w:rPr>
                <w:rFonts w:ascii="Calibri" w:hAnsi="Calibri"/>
                <w:b w:val="0"/>
                <w:color w:val="1F1F1F"/>
                <w:sz w:val="14"/>
              </w:rPr>
              <w:t>STUDYID, USUBJID, AEDECOD, AEBODSYS, AEHLT, AESEV, ATOXGR, AESER, AEREL, ASTDT ...</w:t>
            </w:r>
          </w:p>
        </w:tc>
      </w:tr>
      <w:tr>
        <w:tc>
          <w:tcPr>
            <w:tcW w:type="dxa" w:w="1152"/>
            <w:vAlign w:val="top"/>
          </w:tcPr>
          <w:p>
            <w:pPr>
              <w:spacing w:before="0" w:after="20" w:line="240" w:lineRule="auto"/>
            </w:pPr>
            <w:r/>
            <w:r>
              <w:rPr>
                <w:rFonts w:ascii="Calibri" w:hAnsi="Calibri"/>
                <w:b w:val="0"/>
                <w:color w:val="1F1F1F"/>
                <w:sz w:val="14"/>
              </w:rPr>
              <w:t>ADCM</w:t>
            </w:r>
          </w:p>
        </w:tc>
        <w:tc>
          <w:tcPr>
            <w:tcW w:type="dxa" w:w="792"/>
            <w:vAlign w:val="top"/>
          </w:tcPr>
          <w:p>
            <w:pPr>
              <w:spacing w:before="0" w:after="20" w:line="240" w:lineRule="auto"/>
            </w:pPr>
            <w:r/>
            <w:r>
              <w:rPr>
                <w:rFonts w:ascii="Calibri" w:hAnsi="Calibri"/>
                <w:b w:val="0"/>
                <w:color w:val="1F1F1F"/>
                <w:sz w:val="14"/>
              </w:rPr>
              <w:t>15</w:t>
            </w:r>
          </w:p>
        </w:tc>
        <w:tc>
          <w:tcPr>
            <w:tcW w:type="dxa" w:w="1080"/>
            <w:vAlign w:val="top"/>
          </w:tcPr>
          <w:p>
            <w:pPr>
              <w:spacing w:before="0" w:after="20" w:line="240" w:lineRule="auto"/>
            </w:pPr>
            <w:r/>
            <w:r>
              <w:rPr>
                <w:rFonts w:ascii="Calibri" w:hAnsi="Calibri"/>
                <w:b w:val="0"/>
                <w:color w:val="1F1F1F"/>
                <w:sz w:val="14"/>
              </w:rPr>
              <w:t>5</w:t>
            </w:r>
          </w:p>
        </w:tc>
        <w:tc>
          <w:tcPr>
            <w:tcW w:type="dxa" w:w="936"/>
            <w:vAlign w:val="top"/>
          </w:tcPr>
          <w:p>
            <w:pPr>
              <w:spacing w:before="0" w:after="20" w:line="240" w:lineRule="auto"/>
            </w:pPr>
            <w:r/>
            <w:r>
              <w:rPr>
                <w:rFonts w:ascii="Calibri" w:hAnsi="Calibri"/>
                <w:b w:val="0"/>
                <w:color w:val="1F1F1F"/>
                <w:sz w:val="14"/>
              </w:rPr>
              <w:t>0</w:t>
            </w:r>
          </w:p>
        </w:tc>
        <w:tc>
          <w:tcPr>
            <w:tcW w:type="dxa" w:w="1080"/>
            <w:vAlign w:val="top"/>
          </w:tcPr>
          <w:p>
            <w:pPr>
              <w:spacing w:before="0" w:after="20" w:line="240" w:lineRule="auto"/>
            </w:pPr>
            <w:r/>
            <w:r>
              <w:rPr>
                <w:rFonts w:ascii="Calibri" w:hAnsi="Calibri"/>
                <w:b w:val="0"/>
                <w:color w:val="1F1F1F"/>
                <w:sz w:val="14"/>
              </w:rPr>
              <w:t>5</w:t>
            </w:r>
          </w:p>
        </w:tc>
        <w:tc>
          <w:tcPr>
            <w:tcW w:type="dxa" w:w="4320"/>
            <w:vAlign w:val="top"/>
          </w:tcPr>
          <w:p>
            <w:pPr>
              <w:spacing w:before="0" w:after="20" w:line="240" w:lineRule="auto"/>
            </w:pPr>
            <w:r/>
            <w:r>
              <w:rPr>
                <w:rFonts w:ascii="Calibri" w:hAnsi="Calibri"/>
                <w:b w:val="0"/>
                <w:color w:val="1F1F1F"/>
                <w:sz w:val="14"/>
              </w:rPr>
              <w:t>STUDYID, USUBJID, CMDECOD, CMCAT, CMINDC, ASTDT, AENDT, CMTRT, ASTDY, GCSFFL ...</w:t>
            </w:r>
          </w:p>
        </w:tc>
      </w:tr>
      <w:tr>
        <w:tc>
          <w:tcPr>
            <w:tcW w:type="dxa" w:w="1152"/>
            <w:vAlign w:val="top"/>
          </w:tcPr>
          <w:p>
            <w:pPr>
              <w:spacing w:before="0" w:after="20" w:line="240" w:lineRule="auto"/>
            </w:pPr>
            <w:r/>
            <w:r>
              <w:rPr>
                <w:rFonts w:ascii="Calibri" w:hAnsi="Calibri"/>
                <w:b w:val="0"/>
                <w:color w:val="1F1F1F"/>
                <w:sz w:val="14"/>
              </w:rPr>
              <w:t>ADEX</w:t>
            </w:r>
          </w:p>
        </w:tc>
        <w:tc>
          <w:tcPr>
            <w:tcW w:type="dxa" w:w="792"/>
            <w:vAlign w:val="top"/>
          </w:tcPr>
          <w:p>
            <w:pPr>
              <w:spacing w:before="0" w:after="20" w:line="240" w:lineRule="auto"/>
            </w:pPr>
            <w:r/>
            <w:r>
              <w:rPr>
                <w:rFonts w:ascii="Calibri" w:hAnsi="Calibri"/>
                <w:b w:val="0"/>
                <w:color w:val="1F1F1F"/>
                <w:sz w:val="14"/>
              </w:rPr>
              <w:t>14</w:t>
            </w:r>
          </w:p>
        </w:tc>
        <w:tc>
          <w:tcPr>
            <w:tcW w:type="dxa" w:w="1080"/>
            <w:vAlign w:val="top"/>
          </w:tcPr>
          <w:p>
            <w:pPr>
              <w:spacing w:before="0" w:after="20" w:line="240" w:lineRule="auto"/>
            </w:pPr>
            <w:r/>
            <w:r>
              <w:rPr>
                <w:rFonts w:ascii="Calibri" w:hAnsi="Calibri"/>
                <w:b w:val="0"/>
                <w:color w:val="1F1F1F"/>
                <w:sz w:val="14"/>
              </w:rPr>
              <w:t>10</w:t>
            </w:r>
          </w:p>
        </w:tc>
        <w:tc>
          <w:tcPr>
            <w:tcW w:type="dxa" w:w="936"/>
            <w:vAlign w:val="top"/>
          </w:tcPr>
          <w:p>
            <w:pPr>
              <w:spacing w:before="0" w:after="20" w:line="240" w:lineRule="auto"/>
            </w:pPr>
            <w:r/>
            <w:r>
              <w:rPr>
                <w:rFonts w:ascii="Calibri" w:hAnsi="Calibri"/>
                <w:b w:val="0"/>
                <w:color w:val="1F1F1F"/>
                <w:sz w:val="14"/>
              </w:rPr>
              <w:t>4</w:t>
            </w:r>
          </w:p>
        </w:tc>
        <w:tc>
          <w:tcPr>
            <w:tcW w:type="dxa" w:w="1080"/>
            <w:vAlign w:val="top"/>
          </w:tcPr>
          <w:p>
            <w:pPr>
              <w:spacing w:before="0" w:after="20" w:line="240" w:lineRule="auto"/>
            </w:pPr>
            <w:r/>
            <w:r>
              <w:rPr>
                <w:rFonts w:ascii="Calibri" w:hAnsi="Calibri"/>
                <w:b w:val="0"/>
                <w:color w:val="1F1F1F"/>
                <w:sz w:val="14"/>
              </w:rPr>
              <w:t>3</w:t>
            </w:r>
          </w:p>
        </w:tc>
        <w:tc>
          <w:tcPr>
            <w:tcW w:type="dxa" w:w="4320"/>
            <w:vAlign w:val="top"/>
          </w:tcPr>
          <w:p>
            <w:pPr>
              <w:spacing w:before="0" w:after="20" w:line="240" w:lineRule="auto"/>
            </w:pPr>
            <w:r/>
            <w:r>
              <w:rPr>
                <w:rFonts w:ascii="Calibri" w:hAnsi="Calibri"/>
                <w:b w:val="0"/>
                <w:color w:val="1F1F1F"/>
                <w:sz w:val="14"/>
              </w:rPr>
              <w:t>STUDYID, USUBJID, SUBJID, TRT01P, TRT01PN, TRTSDT, PARAMCD, PARAM, PARCAT1, AVAL ...</w:t>
            </w:r>
          </w:p>
        </w:tc>
      </w:tr>
      <w:tr>
        <w:tc>
          <w:tcPr>
            <w:tcW w:type="dxa" w:w="1152"/>
            <w:vAlign w:val="top"/>
          </w:tcPr>
          <w:p>
            <w:pPr>
              <w:spacing w:before="0" w:after="20" w:line="240" w:lineRule="auto"/>
            </w:pPr>
            <w:r/>
            <w:r>
              <w:rPr>
                <w:rFonts w:ascii="Calibri" w:hAnsi="Calibri"/>
                <w:b w:val="0"/>
                <w:color w:val="1F1F1F"/>
                <w:sz w:val="14"/>
              </w:rPr>
              <w:t>ADLB</w:t>
            </w:r>
          </w:p>
        </w:tc>
        <w:tc>
          <w:tcPr>
            <w:tcW w:type="dxa" w:w="792"/>
            <w:vAlign w:val="top"/>
          </w:tcPr>
          <w:p>
            <w:pPr>
              <w:spacing w:before="0" w:after="20" w:line="240" w:lineRule="auto"/>
            </w:pPr>
            <w:r/>
            <w:r>
              <w:rPr>
                <w:rFonts w:ascii="Calibri" w:hAnsi="Calibri"/>
                <w:b w:val="0"/>
                <w:color w:val="1F1F1F"/>
                <w:sz w:val="14"/>
              </w:rPr>
              <w:t>27</w:t>
            </w:r>
          </w:p>
        </w:tc>
        <w:tc>
          <w:tcPr>
            <w:tcW w:type="dxa" w:w="1080"/>
            <w:vAlign w:val="top"/>
          </w:tcPr>
          <w:p>
            <w:pPr>
              <w:spacing w:before="0" w:after="20" w:line="240" w:lineRule="auto"/>
            </w:pPr>
            <w:r/>
            <w:r>
              <w:rPr>
                <w:rFonts w:ascii="Calibri" w:hAnsi="Calibri"/>
                <w:b w:val="0"/>
                <w:color w:val="1F1F1F"/>
                <w:sz w:val="14"/>
              </w:rPr>
              <w:t>11</w:t>
            </w:r>
          </w:p>
        </w:tc>
        <w:tc>
          <w:tcPr>
            <w:tcW w:type="dxa" w:w="936"/>
            <w:vAlign w:val="top"/>
          </w:tcPr>
          <w:p>
            <w:pPr>
              <w:spacing w:before="0" w:after="20" w:line="240" w:lineRule="auto"/>
            </w:pPr>
            <w:r/>
            <w:r>
              <w:rPr>
                <w:rFonts w:ascii="Calibri" w:hAnsi="Calibri"/>
                <w:b w:val="0"/>
                <w:color w:val="1F1F1F"/>
                <w:sz w:val="14"/>
              </w:rPr>
              <w:t>9</w:t>
            </w:r>
          </w:p>
        </w:tc>
        <w:tc>
          <w:tcPr>
            <w:tcW w:type="dxa" w:w="1080"/>
            <w:vAlign w:val="top"/>
          </w:tcPr>
          <w:p>
            <w:pPr>
              <w:spacing w:before="0" w:after="20" w:line="240" w:lineRule="auto"/>
            </w:pPr>
            <w:r/>
            <w:r>
              <w:rPr>
                <w:rFonts w:ascii="Calibri" w:hAnsi="Calibri"/>
                <w:b w:val="0"/>
                <w:color w:val="1F1F1F"/>
                <w:sz w:val="14"/>
              </w:rPr>
              <w:t>4</w:t>
            </w:r>
          </w:p>
        </w:tc>
        <w:tc>
          <w:tcPr>
            <w:tcW w:type="dxa" w:w="4320"/>
            <w:vAlign w:val="top"/>
          </w:tcPr>
          <w:p>
            <w:pPr>
              <w:spacing w:before="0" w:after="20" w:line="240" w:lineRule="auto"/>
            </w:pPr>
            <w:r/>
            <w:r>
              <w:rPr>
                <w:rFonts w:ascii="Calibri" w:hAnsi="Calibri"/>
                <w:b w:val="0"/>
                <w:color w:val="1F1F1F"/>
                <w:sz w:val="14"/>
              </w:rPr>
              <w:t>STUDYID, USUBJID, SUBJID, TRT01P, TRTSDT, PARAMCD, PARAM, PARAMN, PARCAT1, AVAL ...</w:t>
            </w:r>
          </w:p>
        </w:tc>
      </w:tr>
      <w:tr>
        <w:tc>
          <w:tcPr>
            <w:tcW w:type="dxa" w:w="1152"/>
            <w:vAlign w:val="top"/>
          </w:tcPr>
          <w:p>
            <w:pPr>
              <w:spacing w:before="0" w:after="20" w:line="240" w:lineRule="auto"/>
            </w:pPr>
            <w:r/>
            <w:r>
              <w:rPr>
                <w:rFonts w:ascii="Calibri" w:hAnsi="Calibri"/>
                <w:b w:val="0"/>
                <w:color w:val="1F1F1F"/>
                <w:sz w:val="14"/>
              </w:rPr>
              <w:t>ADRS</w:t>
            </w:r>
          </w:p>
        </w:tc>
        <w:tc>
          <w:tcPr>
            <w:tcW w:type="dxa" w:w="792"/>
            <w:vAlign w:val="top"/>
          </w:tcPr>
          <w:p>
            <w:pPr>
              <w:spacing w:before="0" w:after="20" w:line="240" w:lineRule="auto"/>
            </w:pPr>
            <w:r/>
            <w:r>
              <w:rPr>
                <w:rFonts w:ascii="Calibri" w:hAnsi="Calibri"/>
                <w:b w:val="0"/>
                <w:color w:val="1F1F1F"/>
                <w:sz w:val="14"/>
              </w:rPr>
              <w:t>13</w:t>
            </w:r>
          </w:p>
        </w:tc>
        <w:tc>
          <w:tcPr>
            <w:tcW w:type="dxa" w:w="1080"/>
            <w:vAlign w:val="top"/>
          </w:tcPr>
          <w:p>
            <w:pPr>
              <w:spacing w:before="0" w:after="20" w:line="240" w:lineRule="auto"/>
            </w:pPr>
            <w:r/>
            <w:r>
              <w:rPr>
                <w:rFonts w:ascii="Calibri" w:hAnsi="Calibri"/>
                <w:b w:val="0"/>
                <w:color w:val="1F1F1F"/>
                <w:sz w:val="14"/>
              </w:rPr>
              <w:t>9</w:t>
            </w:r>
          </w:p>
        </w:tc>
        <w:tc>
          <w:tcPr>
            <w:tcW w:type="dxa" w:w="936"/>
            <w:vAlign w:val="top"/>
          </w:tcPr>
          <w:p>
            <w:pPr>
              <w:spacing w:before="0" w:after="20" w:line="240" w:lineRule="auto"/>
            </w:pPr>
            <w:r/>
            <w:r>
              <w:rPr>
                <w:rFonts w:ascii="Calibri" w:hAnsi="Calibri"/>
                <w:b w:val="0"/>
                <w:color w:val="1F1F1F"/>
                <w:sz w:val="14"/>
              </w:rPr>
              <w:t>2</w:t>
            </w:r>
          </w:p>
        </w:tc>
        <w:tc>
          <w:tcPr>
            <w:tcW w:type="dxa" w:w="1080"/>
            <w:vAlign w:val="top"/>
          </w:tcPr>
          <w:p>
            <w:pPr>
              <w:spacing w:before="0" w:after="20" w:line="240" w:lineRule="auto"/>
            </w:pPr>
            <w:r/>
            <w:r>
              <w:rPr>
                <w:rFonts w:ascii="Calibri" w:hAnsi="Calibri"/>
                <w:b w:val="0"/>
                <w:color w:val="1F1F1F"/>
                <w:sz w:val="14"/>
              </w:rPr>
              <w:t>3</w:t>
            </w:r>
          </w:p>
        </w:tc>
        <w:tc>
          <w:tcPr>
            <w:tcW w:type="dxa" w:w="4320"/>
            <w:vAlign w:val="top"/>
          </w:tcPr>
          <w:p>
            <w:pPr>
              <w:spacing w:before="0" w:after="20" w:line="240" w:lineRule="auto"/>
            </w:pPr>
            <w:r/>
            <w:r>
              <w:rPr>
                <w:rFonts w:ascii="Calibri" w:hAnsi="Calibri"/>
                <w:b w:val="0"/>
                <w:color w:val="1F1F1F"/>
                <w:sz w:val="14"/>
              </w:rPr>
              <w:t>STUDYID, USUBJID, SUBJID, TRT01P, TRTSDT, PARAMCD, PARAM, AVALC, ADT, ADY ...</w:t>
            </w:r>
          </w:p>
        </w:tc>
      </w:tr>
      <w:tr>
        <w:tc>
          <w:tcPr>
            <w:tcW w:type="dxa" w:w="1152"/>
            <w:vAlign w:val="top"/>
          </w:tcPr>
          <w:p>
            <w:pPr>
              <w:spacing w:before="0" w:after="20" w:line="240" w:lineRule="auto"/>
            </w:pPr>
            <w:r/>
            <w:r>
              <w:rPr>
                <w:rFonts w:ascii="Calibri" w:hAnsi="Calibri"/>
                <w:b w:val="0"/>
                <w:color w:val="1F1F1F"/>
                <w:sz w:val="14"/>
              </w:rPr>
              <w:t>ADSL</w:t>
            </w:r>
          </w:p>
        </w:tc>
        <w:tc>
          <w:tcPr>
            <w:tcW w:type="dxa" w:w="792"/>
            <w:vAlign w:val="top"/>
          </w:tcPr>
          <w:p>
            <w:pPr>
              <w:spacing w:before="0" w:after="20" w:line="240" w:lineRule="auto"/>
            </w:pPr>
            <w:r/>
            <w:r>
              <w:rPr>
                <w:rFonts w:ascii="Calibri" w:hAnsi="Calibri"/>
                <w:b w:val="0"/>
                <w:color w:val="1F1F1F"/>
                <w:sz w:val="14"/>
              </w:rPr>
              <w:t>42</w:t>
            </w:r>
          </w:p>
        </w:tc>
        <w:tc>
          <w:tcPr>
            <w:tcW w:type="dxa" w:w="1080"/>
            <w:vAlign w:val="top"/>
          </w:tcPr>
          <w:p>
            <w:pPr>
              <w:spacing w:before="0" w:after="20" w:line="240" w:lineRule="auto"/>
            </w:pPr>
            <w:r/>
            <w:r>
              <w:rPr>
                <w:rFonts w:ascii="Calibri" w:hAnsi="Calibri"/>
                <w:b w:val="0"/>
                <w:color w:val="1F1F1F"/>
                <w:sz w:val="14"/>
              </w:rPr>
              <w:t>20</w:t>
            </w:r>
          </w:p>
        </w:tc>
        <w:tc>
          <w:tcPr>
            <w:tcW w:type="dxa" w:w="936"/>
            <w:vAlign w:val="top"/>
          </w:tcPr>
          <w:p>
            <w:pPr>
              <w:spacing w:before="0" w:after="20" w:line="240" w:lineRule="auto"/>
            </w:pPr>
            <w:r/>
            <w:r>
              <w:rPr>
                <w:rFonts w:ascii="Calibri" w:hAnsi="Calibri"/>
                <w:b w:val="0"/>
                <w:color w:val="1F1F1F"/>
                <w:sz w:val="14"/>
              </w:rPr>
              <w:t>16</w:t>
            </w:r>
          </w:p>
        </w:tc>
        <w:tc>
          <w:tcPr>
            <w:tcW w:type="dxa" w:w="1080"/>
            <w:vAlign w:val="top"/>
          </w:tcPr>
          <w:p>
            <w:pPr>
              <w:spacing w:before="0" w:after="20" w:line="240" w:lineRule="auto"/>
            </w:pPr>
            <w:r/>
            <w:r>
              <w:rPr>
                <w:rFonts w:ascii="Calibri" w:hAnsi="Calibri"/>
                <w:b w:val="0"/>
                <w:color w:val="1F1F1F"/>
                <w:sz w:val="14"/>
              </w:rPr>
              <w:t>20</w:t>
            </w:r>
          </w:p>
        </w:tc>
        <w:tc>
          <w:tcPr>
            <w:tcW w:type="dxa" w:w="4320"/>
            <w:vAlign w:val="top"/>
          </w:tcPr>
          <w:p>
            <w:pPr>
              <w:spacing w:before="0" w:after="20" w:line="240" w:lineRule="auto"/>
            </w:pPr>
            <w:r/>
            <w:r>
              <w:rPr>
                <w:rFonts w:ascii="Calibri" w:hAnsi="Calibri"/>
                <w:b w:val="0"/>
                <w:color w:val="1F1F1F"/>
                <w:sz w:val="14"/>
              </w:rPr>
              <w:t>STUDYID, USUBJID, SUBJID, SITEID, AGE, AGEGR1, AGEGR1N, RACE, ETHNIC, SEX ...</w:t>
            </w:r>
          </w:p>
        </w:tc>
      </w:tr>
      <w:tr>
        <w:tc>
          <w:tcPr>
            <w:tcW w:type="dxa" w:w="1152"/>
            <w:vAlign w:val="top"/>
          </w:tcPr>
          <w:p>
            <w:pPr>
              <w:spacing w:before="0" w:after="20" w:line="240" w:lineRule="auto"/>
            </w:pPr>
            <w:r/>
            <w:r>
              <w:rPr>
                <w:rFonts w:ascii="Calibri" w:hAnsi="Calibri"/>
                <w:b w:val="0"/>
                <w:color w:val="1F1F1F"/>
                <w:sz w:val="14"/>
              </w:rPr>
              <w:t>ADTTE</w:t>
            </w:r>
          </w:p>
        </w:tc>
        <w:tc>
          <w:tcPr>
            <w:tcW w:type="dxa" w:w="792"/>
            <w:vAlign w:val="top"/>
          </w:tcPr>
          <w:p>
            <w:pPr>
              <w:spacing w:before="0" w:after="20" w:line="240" w:lineRule="auto"/>
            </w:pPr>
            <w:r/>
            <w:r>
              <w:rPr>
                <w:rFonts w:ascii="Calibri" w:hAnsi="Calibri"/>
                <w:b w:val="0"/>
                <w:color w:val="1F1F1F"/>
                <w:sz w:val="14"/>
              </w:rPr>
              <w:t>19</w:t>
            </w:r>
          </w:p>
        </w:tc>
        <w:tc>
          <w:tcPr>
            <w:tcW w:type="dxa" w:w="1080"/>
            <w:vAlign w:val="top"/>
          </w:tcPr>
          <w:p>
            <w:pPr>
              <w:spacing w:before="0" w:after="20" w:line="240" w:lineRule="auto"/>
            </w:pPr>
            <w:r/>
            <w:r>
              <w:rPr>
                <w:rFonts w:ascii="Calibri" w:hAnsi="Calibri"/>
                <w:b w:val="0"/>
                <w:color w:val="1F1F1F"/>
                <w:sz w:val="14"/>
              </w:rPr>
              <w:t>14</w:t>
            </w:r>
          </w:p>
        </w:tc>
        <w:tc>
          <w:tcPr>
            <w:tcW w:type="dxa" w:w="936"/>
            <w:vAlign w:val="top"/>
          </w:tcPr>
          <w:p>
            <w:pPr>
              <w:spacing w:before="0" w:after="20" w:line="240" w:lineRule="auto"/>
            </w:pPr>
            <w:r/>
            <w:r>
              <w:rPr>
                <w:rFonts w:ascii="Calibri" w:hAnsi="Calibri"/>
                <w:b w:val="0"/>
                <w:color w:val="1F1F1F"/>
                <w:sz w:val="14"/>
              </w:rPr>
              <w:t>7</w:t>
            </w:r>
          </w:p>
        </w:tc>
        <w:tc>
          <w:tcPr>
            <w:tcW w:type="dxa" w:w="1080"/>
            <w:vAlign w:val="top"/>
          </w:tcPr>
          <w:p>
            <w:pPr>
              <w:spacing w:before="0" w:after="20" w:line="240" w:lineRule="auto"/>
            </w:pPr>
            <w:r/>
            <w:r>
              <w:rPr>
                <w:rFonts w:ascii="Calibri" w:hAnsi="Calibri"/>
                <w:b w:val="0"/>
                <w:color w:val="1F1F1F"/>
                <w:sz w:val="14"/>
              </w:rPr>
              <w:t>6</w:t>
            </w:r>
          </w:p>
        </w:tc>
        <w:tc>
          <w:tcPr>
            <w:tcW w:type="dxa" w:w="4320"/>
            <w:vAlign w:val="top"/>
          </w:tcPr>
          <w:p>
            <w:pPr>
              <w:spacing w:before="0" w:after="20" w:line="240" w:lineRule="auto"/>
            </w:pPr>
            <w:r/>
            <w:r>
              <w:rPr>
                <w:rFonts w:ascii="Calibri" w:hAnsi="Calibri"/>
                <w:b w:val="0"/>
                <w:color w:val="1F1F1F"/>
                <w:sz w:val="14"/>
              </w:rPr>
              <w:t>STUDYID, USUBJID, SUBJID, SITEID, TRT01P, TRT01PN, ITTFL, SAFFL, PARAMCD, PARAM ...</w:t>
            </w:r>
          </w:p>
        </w:tc>
      </w:tr>
    </w:tbl>
    <w:p/>
    <w:p>
      <w:pPr>
        <w:spacing w:after="80"/>
      </w:pPr>
      <w:r>
        <w:t>Metadata remediation rule: the Documents sheet, Predecessor metadata and Method document references must be populated before Define-XML is considered release-ready. The current workbook is a starting point, not final authority.</w:t>
      </w:r>
    </w:p>
    <w:p>
      <w:pPr>
        <w:pStyle w:val="Heading1"/>
      </w:pPr>
      <w:r>
        <w:t>Appendix D. Full TFL catalog implementation notes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top"/>
            <w:shd w:fill="1F4E79"/>
          </w:tcPr>
          <w:p>
            <w:pPr>
              <w:spacing w:before="0" w:after="20" w:line="240" w:lineRule="auto"/>
            </w:pPr>
            <w:r/>
            <w:r>
              <w:rPr>
                <w:rFonts w:ascii="Calibri" w:hAnsi="Calibri"/>
                <w:b/>
                <w:color w:val="FFFFFF"/>
                <w:sz w:val="14"/>
              </w:rPr>
              <w:t>ID</w:t>
            </w:r>
          </w:p>
        </w:tc>
        <w:tc>
          <w:tcPr>
            <w:tcW w:type="dxa" w:w="1440"/>
            <w:vAlign w:val="top"/>
            <w:shd w:fill="1F4E79"/>
          </w:tcPr>
          <w:p>
            <w:pPr>
              <w:spacing w:before="0" w:after="20" w:line="240" w:lineRule="auto"/>
            </w:pPr>
            <w:r/>
            <w:r>
              <w:rPr>
                <w:rFonts w:ascii="Calibri" w:hAnsi="Calibri"/>
                <w:b/>
                <w:color w:val="FFFFFF"/>
                <w:sz w:val="14"/>
              </w:rPr>
              <w:t>SAP section</w:t>
            </w:r>
          </w:p>
        </w:tc>
        <w:tc>
          <w:tcPr>
            <w:tcW w:type="dxa" w:w="6768"/>
            <w:vAlign w:val="top"/>
            <w:shd w:fill="1F4E79"/>
          </w:tcPr>
          <w:p>
            <w:pPr>
              <w:spacing w:before="0" w:after="20" w:line="240" w:lineRule="auto"/>
            </w:pPr>
            <w:r/>
            <w:r>
              <w:rPr>
                <w:rFonts w:ascii="Calibri" w:hAnsi="Calibri"/>
                <w:b/>
                <w:color w:val="FFFFFF"/>
                <w:sz w:val="14"/>
              </w:rPr>
              <w:t>Implementation note</w:t>
            </w:r>
          </w:p>
        </w:tc>
      </w:tr>
      <w:tr>
        <w:tc>
          <w:tcPr>
            <w:tcW w:type="dxa" w:w="1152"/>
            <w:vAlign w:val="top"/>
          </w:tcPr>
          <w:p>
            <w:pPr>
              <w:spacing w:before="0" w:after="20" w:line="240" w:lineRule="auto"/>
            </w:pPr>
            <w:r/>
            <w:r>
              <w:rPr>
                <w:rFonts w:ascii="Calibri" w:hAnsi="Calibri"/>
                <w:b w:val="0"/>
                <w:color w:val="1F1F1F"/>
                <w:sz w:val="14"/>
              </w:rPr>
              <w:t>T-11-1</w:t>
            </w:r>
          </w:p>
        </w:tc>
        <w:tc>
          <w:tcPr>
            <w:tcW w:type="dxa" w:w="1440"/>
            <w:vAlign w:val="top"/>
          </w:tcPr>
          <w:p>
            <w:pPr>
              <w:spacing w:before="0" w:after="20" w:line="240" w:lineRule="auto"/>
            </w:pPr>
            <w:r/>
            <w:r>
              <w:rPr>
                <w:rFonts w:ascii="Calibri" w:hAnsi="Calibri"/>
                <w:b w:val="0"/>
                <w:color w:val="1F1F1F"/>
                <w:sz w:val="14"/>
              </w:rPr>
              <w:t>Section 4</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T-11-2</w:t>
            </w:r>
          </w:p>
        </w:tc>
        <w:tc>
          <w:tcPr>
            <w:tcW w:type="dxa" w:w="1440"/>
            <w:vAlign w:val="top"/>
          </w:tcPr>
          <w:p>
            <w:pPr>
              <w:spacing w:before="0" w:after="20" w:line="240" w:lineRule="auto"/>
            </w:pPr>
            <w:r/>
            <w:r>
              <w:rPr>
                <w:rFonts w:ascii="Calibri" w:hAnsi="Calibri"/>
                <w:b w:val="0"/>
                <w:color w:val="1F1F1F"/>
                <w:sz w:val="14"/>
              </w:rPr>
              <w:t>Section 5.1</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T-11-3</w:t>
            </w:r>
          </w:p>
        </w:tc>
        <w:tc>
          <w:tcPr>
            <w:tcW w:type="dxa" w:w="1440"/>
            <w:vAlign w:val="top"/>
          </w:tcPr>
          <w:p>
            <w:pPr>
              <w:spacing w:before="0" w:after="20" w:line="240" w:lineRule="auto"/>
            </w:pPr>
            <w:r/>
            <w:r>
              <w:rPr>
                <w:rFonts w:ascii="Calibri" w:hAnsi="Calibri"/>
                <w:b w:val="0"/>
                <w:color w:val="1F1F1F"/>
                <w:sz w:val="14"/>
              </w:rPr>
              <w:t>Section 5.2</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T-11-4</w:t>
            </w:r>
          </w:p>
        </w:tc>
        <w:tc>
          <w:tcPr>
            <w:tcW w:type="dxa" w:w="1440"/>
            <w:vAlign w:val="top"/>
          </w:tcPr>
          <w:p>
            <w:pPr>
              <w:spacing w:before="0" w:after="20" w:line="240" w:lineRule="auto"/>
            </w:pPr>
            <w:r/>
            <w:r>
              <w:rPr>
                <w:rFonts w:ascii="Calibri" w:hAnsi="Calibri"/>
                <w:b w:val="0"/>
                <w:color w:val="1F1F1F"/>
                <w:sz w:val="14"/>
              </w:rPr>
              <w:t>Section 5.3</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T-11-5</w:t>
            </w:r>
          </w:p>
        </w:tc>
        <w:tc>
          <w:tcPr>
            <w:tcW w:type="dxa" w:w="1440"/>
            <w:vAlign w:val="top"/>
          </w:tcPr>
          <w:p>
            <w:pPr>
              <w:spacing w:before="0" w:after="20" w:line="240" w:lineRule="auto"/>
            </w:pPr>
            <w:r/>
            <w:r>
              <w:rPr>
                <w:rFonts w:ascii="Calibri" w:hAnsi="Calibri"/>
                <w:b w:val="0"/>
                <w:color w:val="1F1F1F"/>
                <w:sz w:val="14"/>
              </w:rPr>
              <w:t>Section 6.4</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T-11-6</w:t>
            </w:r>
          </w:p>
        </w:tc>
        <w:tc>
          <w:tcPr>
            <w:tcW w:type="dxa" w:w="1440"/>
            <w:vAlign w:val="top"/>
          </w:tcPr>
          <w:p>
            <w:pPr>
              <w:spacing w:before="0" w:after="20" w:line="240" w:lineRule="auto"/>
            </w:pPr>
            <w:r/>
            <w:r>
              <w:rPr>
                <w:rFonts w:ascii="Calibri" w:hAnsi="Calibri"/>
                <w:b w:val="0"/>
                <w:color w:val="1F1F1F"/>
                <w:sz w:val="14"/>
              </w:rPr>
              <w:t>Section 5.3</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T-11-7</w:t>
            </w:r>
          </w:p>
        </w:tc>
        <w:tc>
          <w:tcPr>
            <w:tcW w:type="dxa" w:w="1440"/>
            <w:vAlign w:val="top"/>
          </w:tcPr>
          <w:p>
            <w:pPr>
              <w:spacing w:before="0" w:after="20" w:line="240" w:lineRule="auto"/>
            </w:pPr>
            <w:r/>
            <w:r>
              <w:rPr>
                <w:rFonts w:ascii="Calibri" w:hAnsi="Calibri"/>
                <w:b w:val="0"/>
                <w:color w:val="1F1F1F"/>
                <w:sz w:val="14"/>
              </w:rPr>
              <w:t>Section 5.2</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T-11-8</w:t>
            </w:r>
          </w:p>
        </w:tc>
        <w:tc>
          <w:tcPr>
            <w:tcW w:type="dxa" w:w="1440"/>
            <w:vAlign w:val="top"/>
          </w:tcPr>
          <w:p>
            <w:pPr>
              <w:spacing w:before="0" w:after="20" w:line="240" w:lineRule="auto"/>
            </w:pPr>
            <w:r/>
            <w:r>
              <w:rPr>
                <w:rFonts w:ascii="Calibri" w:hAnsi="Calibri"/>
                <w:b w:val="0"/>
                <w:color w:val="1F1F1F"/>
                <w:sz w:val="14"/>
              </w:rPr>
              <w:t>Section 6.5</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T-12-1</w:t>
            </w:r>
          </w:p>
        </w:tc>
        <w:tc>
          <w:tcPr>
            <w:tcW w:type="dxa" w:w="1440"/>
            <w:vAlign w:val="top"/>
          </w:tcPr>
          <w:p>
            <w:pPr>
              <w:spacing w:before="0" w:after="20" w:line="240" w:lineRule="auto"/>
            </w:pPr>
            <w:r/>
            <w:r>
              <w:rPr>
                <w:rFonts w:ascii="Calibri" w:hAnsi="Calibri"/>
                <w:b w:val="0"/>
                <w:color w:val="1F1F1F"/>
                <w:sz w:val="14"/>
              </w:rPr>
              <w:t>Section 4.7</w:t>
            </w:r>
          </w:p>
        </w:tc>
        <w:tc>
          <w:tcPr>
            <w:tcW w:type="dxa" w:w="6768"/>
            <w:vAlign w:val="top"/>
          </w:tcPr>
          <w:p>
            <w:pPr>
              <w:spacing w:before="0" w:after="20" w:line="240" w:lineRule="auto"/>
            </w:pPr>
            <w:r/>
            <w:r>
              <w:rPr>
                <w:rFonts w:ascii="Calibri" w:hAnsi="Calibri"/>
                <w:b w:val="0"/>
                <w:color w:val="1F1F1F"/>
                <w:sz w:val="14"/>
              </w:rPr>
              <w:t>Target output; implementation status requires reconciliation.</w:t>
            </w:r>
          </w:p>
        </w:tc>
      </w:tr>
      <w:tr>
        <w:tc>
          <w:tcPr>
            <w:tcW w:type="dxa" w:w="1152"/>
            <w:vAlign w:val="top"/>
          </w:tcPr>
          <w:p>
            <w:pPr>
              <w:spacing w:before="0" w:after="20" w:line="240" w:lineRule="auto"/>
            </w:pPr>
            <w:r/>
            <w:r>
              <w:rPr>
                <w:rFonts w:ascii="Calibri" w:hAnsi="Calibri"/>
                <w:b w:val="0"/>
                <w:color w:val="1F1F1F"/>
                <w:sz w:val="14"/>
              </w:rPr>
              <w:t>T-12-2</w:t>
            </w:r>
          </w:p>
        </w:tc>
        <w:tc>
          <w:tcPr>
            <w:tcW w:type="dxa" w:w="1440"/>
            <w:vAlign w:val="top"/>
          </w:tcPr>
          <w:p>
            <w:pPr>
              <w:spacing w:before="0" w:after="20" w:line="240" w:lineRule="auto"/>
            </w:pPr>
            <w:r/>
            <w:r>
              <w:rPr>
                <w:rFonts w:ascii="Calibri" w:hAnsi="Calibri"/>
                <w:b w:val="0"/>
                <w:color w:val="1F1F1F"/>
                <w:sz w:val="14"/>
              </w:rPr>
              <w:t>Section 4.7</w:t>
            </w:r>
          </w:p>
        </w:tc>
        <w:tc>
          <w:tcPr>
            <w:tcW w:type="dxa" w:w="6768"/>
            <w:vAlign w:val="top"/>
          </w:tcPr>
          <w:p>
            <w:pPr>
              <w:spacing w:before="0" w:after="20" w:line="240" w:lineRule="auto"/>
            </w:pPr>
            <w:r/>
            <w:r>
              <w:rPr>
                <w:rFonts w:ascii="Calibri" w:hAnsi="Calibri"/>
                <w:b w:val="0"/>
                <w:color w:val="1F1F1F"/>
                <w:sz w:val="14"/>
              </w:rPr>
              <w:t>Target output; implementation status requires reconciliation.</w:t>
            </w:r>
          </w:p>
        </w:tc>
      </w:tr>
      <w:tr>
        <w:tc>
          <w:tcPr>
            <w:tcW w:type="dxa" w:w="1152"/>
            <w:vAlign w:val="top"/>
          </w:tcPr>
          <w:p>
            <w:pPr>
              <w:spacing w:before="0" w:after="20" w:line="240" w:lineRule="auto"/>
            </w:pPr>
            <w:r/>
            <w:r>
              <w:rPr>
                <w:rFonts w:ascii="Calibri" w:hAnsi="Calibri"/>
                <w:b w:val="0"/>
                <w:color w:val="1F1F1F"/>
                <w:sz w:val="14"/>
              </w:rPr>
              <w:t>T-13-1</w:t>
            </w:r>
          </w:p>
        </w:tc>
        <w:tc>
          <w:tcPr>
            <w:tcW w:type="dxa" w:w="1440"/>
            <w:vAlign w:val="top"/>
          </w:tcPr>
          <w:p>
            <w:pPr>
              <w:spacing w:before="0" w:after="20" w:line="240" w:lineRule="auto"/>
            </w:pPr>
            <w:r/>
            <w:r>
              <w:rPr>
                <w:rFonts w:ascii="Calibri" w:hAnsi="Calibri"/>
                <w:b w:val="0"/>
                <w:color w:val="1F1F1F"/>
                <w:sz w:val="14"/>
              </w:rPr>
              <w:t>Section 7.8</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T-13-2</w:t>
            </w:r>
          </w:p>
        </w:tc>
        <w:tc>
          <w:tcPr>
            <w:tcW w:type="dxa" w:w="1440"/>
            <w:vAlign w:val="top"/>
          </w:tcPr>
          <w:p>
            <w:pPr>
              <w:spacing w:before="0" w:after="20" w:line="240" w:lineRule="auto"/>
            </w:pPr>
            <w:r/>
            <w:r>
              <w:rPr>
                <w:rFonts w:ascii="Calibri" w:hAnsi="Calibri"/>
                <w:b w:val="0"/>
                <w:color w:val="1F1F1F"/>
                <w:sz w:val="14"/>
              </w:rPr>
              <w:t>Section 7.8</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T-13-3</w:t>
            </w:r>
          </w:p>
        </w:tc>
        <w:tc>
          <w:tcPr>
            <w:tcW w:type="dxa" w:w="1440"/>
            <w:vAlign w:val="top"/>
          </w:tcPr>
          <w:p>
            <w:pPr>
              <w:spacing w:before="0" w:after="20" w:line="240" w:lineRule="auto"/>
            </w:pPr>
            <w:r/>
            <w:r>
              <w:rPr>
                <w:rFonts w:ascii="Calibri" w:hAnsi="Calibri"/>
                <w:b w:val="0"/>
                <w:color w:val="1F1F1F"/>
                <w:sz w:val="14"/>
              </w:rPr>
              <w:t>Section 7.4</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T-14-1</w:t>
            </w:r>
          </w:p>
        </w:tc>
        <w:tc>
          <w:tcPr>
            <w:tcW w:type="dxa" w:w="1440"/>
            <w:vAlign w:val="top"/>
          </w:tcPr>
          <w:p>
            <w:pPr>
              <w:spacing w:before="0" w:after="20" w:line="240" w:lineRule="auto"/>
            </w:pPr>
            <w:r/>
            <w:r>
              <w:rPr>
                <w:rFonts w:ascii="Calibri" w:hAnsi="Calibri"/>
                <w:b w:val="0"/>
                <w:color w:val="1F1F1F"/>
                <w:sz w:val="14"/>
              </w:rPr>
              <w:t>Section 7</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T-14-2</w:t>
            </w:r>
          </w:p>
        </w:tc>
        <w:tc>
          <w:tcPr>
            <w:tcW w:type="dxa" w:w="1440"/>
            <w:vAlign w:val="top"/>
          </w:tcPr>
          <w:p>
            <w:pPr>
              <w:spacing w:before="0" w:after="20" w:line="240" w:lineRule="auto"/>
            </w:pPr>
            <w:r/>
            <w:r>
              <w:rPr>
                <w:rFonts w:ascii="Calibri" w:hAnsi="Calibri"/>
                <w:b w:val="0"/>
                <w:color w:val="1F1F1F"/>
                <w:sz w:val="14"/>
              </w:rPr>
              <w:t>Section 7</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T-14-3</w:t>
            </w:r>
          </w:p>
        </w:tc>
        <w:tc>
          <w:tcPr>
            <w:tcW w:type="dxa" w:w="1440"/>
            <w:vAlign w:val="top"/>
          </w:tcPr>
          <w:p>
            <w:pPr>
              <w:spacing w:before="0" w:after="20" w:line="240" w:lineRule="auto"/>
            </w:pPr>
            <w:r/>
            <w:r>
              <w:rPr>
                <w:rFonts w:ascii="Calibri" w:hAnsi="Calibri"/>
                <w:b w:val="0"/>
                <w:color w:val="1F1F1F"/>
                <w:sz w:val="14"/>
              </w:rPr>
              <w:t>Section 7</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T-14-4</w:t>
            </w:r>
          </w:p>
        </w:tc>
        <w:tc>
          <w:tcPr>
            <w:tcW w:type="dxa" w:w="1440"/>
            <w:vAlign w:val="top"/>
          </w:tcPr>
          <w:p>
            <w:pPr>
              <w:spacing w:before="0" w:after="20" w:line="240" w:lineRule="auto"/>
            </w:pPr>
            <w:r/>
            <w:r>
              <w:rPr>
                <w:rFonts w:ascii="Calibri" w:hAnsi="Calibri"/>
                <w:b w:val="0"/>
                <w:color w:val="1F1F1F"/>
                <w:sz w:val="14"/>
              </w:rPr>
              <w:t>Section 7</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T-14-5</w:t>
            </w:r>
          </w:p>
        </w:tc>
        <w:tc>
          <w:tcPr>
            <w:tcW w:type="dxa" w:w="1440"/>
            <w:vAlign w:val="top"/>
          </w:tcPr>
          <w:p>
            <w:pPr>
              <w:spacing w:before="0" w:after="20" w:line="240" w:lineRule="auto"/>
            </w:pPr>
            <w:r/>
            <w:r>
              <w:rPr>
                <w:rFonts w:ascii="Calibri" w:hAnsi="Calibri"/>
                <w:b w:val="0"/>
                <w:color w:val="1F1F1F"/>
                <w:sz w:val="14"/>
              </w:rPr>
              <w:t>Section 7.5.1</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T-14-6</w:t>
            </w:r>
          </w:p>
        </w:tc>
        <w:tc>
          <w:tcPr>
            <w:tcW w:type="dxa" w:w="1440"/>
            <w:vAlign w:val="top"/>
          </w:tcPr>
          <w:p>
            <w:pPr>
              <w:spacing w:before="0" w:after="20" w:line="240" w:lineRule="auto"/>
            </w:pPr>
            <w:r/>
            <w:r>
              <w:rPr>
                <w:rFonts w:ascii="Calibri" w:hAnsi="Calibri"/>
                <w:b w:val="0"/>
                <w:color w:val="1F1F1F"/>
                <w:sz w:val="14"/>
              </w:rPr>
              <w:t>Section 7.5.1</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T-15-1</w:t>
            </w:r>
          </w:p>
        </w:tc>
        <w:tc>
          <w:tcPr>
            <w:tcW w:type="dxa" w:w="1440"/>
            <w:vAlign w:val="top"/>
          </w:tcPr>
          <w:p>
            <w:pPr>
              <w:spacing w:before="0" w:after="20" w:line="240" w:lineRule="auto"/>
            </w:pPr>
            <w:r/>
            <w:r>
              <w:rPr>
                <w:rFonts w:ascii="Calibri" w:hAnsi="Calibri"/>
                <w:b w:val="0"/>
                <w:color w:val="1F1F1F"/>
                <w:sz w:val="14"/>
              </w:rPr>
              <w:t>Section 7.6</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T-16-1</w:t>
            </w:r>
          </w:p>
        </w:tc>
        <w:tc>
          <w:tcPr>
            <w:tcW w:type="dxa" w:w="1440"/>
            <w:vAlign w:val="top"/>
          </w:tcPr>
          <w:p>
            <w:pPr>
              <w:spacing w:before="0" w:after="20" w:line="240" w:lineRule="auto"/>
            </w:pPr>
            <w:r/>
            <w:r>
              <w:rPr>
                <w:rFonts w:ascii="Calibri" w:hAnsi="Calibri"/>
                <w:b w:val="0"/>
                <w:color w:val="1F1F1F"/>
                <w:sz w:val="14"/>
              </w:rPr>
              <w:t>Section 7.5</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T-16-2</w:t>
            </w:r>
          </w:p>
        </w:tc>
        <w:tc>
          <w:tcPr>
            <w:tcW w:type="dxa" w:w="1440"/>
            <w:vAlign w:val="top"/>
          </w:tcPr>
          <w:p>
            <w:pPr>
              <w:spacing w:before="0" w:after="20" w:line="240" w:lineRule="auto"/>
            </w:pPr>
            <w:r/>
            <w:r>
              <w:rPr>
                <w:rFonts w:ascii="Calibri" w:hAnsi="Calibri"/>
                <w:b w:val="0"/>
                <w:color w:val="1F1F1F"/>
                <w:sz w:val="14"/>
              </w:rPr>
              <w:t>Section 7.5</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T-17-1</w:t>
            </w:r>
          </w:p>
        </w:tc>
        <w:tc>
          <w:tcPr>
            <w:tcW w:type="dxa" w:w="1440"/>
            <w:vAlign w:val="top"/>
          </w:tcPr>
          <w:p>
            <w:pPr>
              <w:spacing w:before="0" w:after="20" w:line="240" w:lineRule="auto"/>
            </w:pPr>
            <w:r/>
            <w:r>
              <w:rPr>
                <w:rFonts w:ascii="Calibri" w:hAnsi="Calibri"/>
                <w:b w:val="0"/>
                <w:color w:val="1F1F1F"/>
                <w:sz w:val="14"/>
              </w:rPr>
              <w:t>Section 10</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T-17-2</w:t>
            </w:r>
          </w:p>
        </w:tc>
        <w:tc>
          <w:tcPr>
            <w:tcW w:type="dxa" w:w="1440"/>
            <w:vAlign w:val="top"/>
          </w:tcPr>
          <w:p>
            <w:pPr>
              <w:spacing w:before="0" w:after="20" w:line="240" w:lineRule="auto"/>
            </w:pPr>
            <w:r/>
            <w:r>
              <w:rPr>
                <w:rFonts w:ascii="Calibri" w:hAnsi="Calibri"/>
                <w:b w:val="0"/>
                <w:color w:val="1F1F1F"/>
                <w:sz w:val="14"/>
              </w:rPr>
              <w:t>Section 10</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T-17-3</w:t>
            </w:r>
          </w:p>
        </w:tc>
        <w:tc>
          <w:tcPr>
            <w:tcW w:type="dxa" w:w="1440"/>
            <w:vAlign w:val="top"/>
          </w:tcPr>
          <w:p>
            <w:pPr>
              <w:spacing w:before="0" w:after="20" w:line="240" w:lineRule="auto"/>
            </w:pPr>
            <w:r/>
            <w:r>
              <w:rPr>
                <w:rFonts w:ascii="Calibri" w:hAnsi="Calibri"/>
                <w:b w:val="0"/>
                <w:color w:val="1F1F1F"/>
                <w:sz w:val="14"/>
              </w:rPr>
              <w:t>Section 10</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T-17-4</w:t>
            </w:r>
          </w:p>
        </w:tc>
        <w:tc>
          <w:tcPr>
            <w:tcW w:type="dxa" w:w="1440"/>
            <w:vAlign w:val="top"/>
          </w:tcPr>
          <w:p>
            <w:pPr>
              <w:spacing w:before="0" w:after="20" w:line="240" w:lineRule="auto"/>
            </w:pPr>
            <w:r/>
            <w:r>
              <w:rPr>
                <w:rFonts w:ascii="Calibri" w:hAnsi="Calibri"/>
                <w:b w:val="0"/>
                <w:color w:val="1F1F1F"/>
                <w:sz w:val="14"/>
              </w:rPr>
              <w:t>Section 10</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F-11-1</w:t>
            </w:r>
          </w:p>
        </w:tc>
        <w:tc>
          <w:tcPr>
            <w:tcW w:type="dxa" w:w="1440"/>
            <w:vAlign w:val="top"/>
          </w:tcPr>
          <w:p>
            <w:pPr>
              <w:spacing w:before="0" w:after="20" w:line="240" w:lineRule="auto"/>
            </w:pPr>
            <w:r/>
            <w:r>
              <w:rPr>
                <w:rFonts w:ascii="Calibri" w:hAnsi="Calibri"/>
                <w:b w:val="0"/>
                <w:color w:val="1F1F1F"/>
                <w:sz w:val="14"/>
              </w:rPr>
              <w:t>Section 4</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F-11-2</w:t>
            </w:r>
          </w:p>
        </w:tc>
        <w:tc>
          <w:tcPr>
            <w:tcW w:type="dxa" w:w="1440"/>
            <w:vAlign w:val="top"/>
          </w:tcPr>
          <w:p>
            <w:pPr>
              <w:spacing w:before="0" w:after="20" w:line="240" w:lineRule="auto"/>
            </w:pPr>
            <w:r/>
            <w:r>
              <w:rPr>
                <w:rFonts w:ascii="Calibri" w:hAnsi="Calibri"/>
                <w:b w:val="0"/>
                <w:color w:val="1F1F1F"/>
                <w:sz w:val="14"/>
              </w:rPr>
              <w:t>Section 5.1</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F-12-1</w:t>
            </w:r>
          </w:p>
        </w:tc>
        <w:tc>
          <w:tcPr>
            <w:tcW w:type="dxa" w:w="1440"/>
            <w:vAlign w:val="top"/>
          </w:tcPr>
          <w:p>
            <w:pPr>
              <w:spacing w:before="0" w:after="20" w:line="240" w:lineRule="auto"/>
            </w:pPr>
            <w:r/>
            <w:r>
              <w:rPr>
                <w:rFonts w:ascii="Calibri" w:hAnsi="Calibri"/>
                <w:b w:val="0"/>
                <w:color w:val="1F1F1F"/>
                <w:sz w:val="14"/>
              </w:rPr>
              <w:t>Section 8</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r>
        <w:tc>
          <w:tcPr>
            <w:tcW w:type="dxa" w:w="1152"/>
            <w:vAlign w:val="top"/>
          </w:tcPr>
          <w:p>
            <w:pPr>
              <w:spacing w:before="0" w:after="20" w:line="240" w:lineRule="auto"/>
            </w:pPr>
            <w:r/>
            <w:r>
              <w:rPr>
                <w:rFonts w:ascii="Calibri" w:hAnsi="Calibri"/>
                <w:b w:val="0"/>
                <w:color w:val="1F1F1F"/>
                <w:sz w:val="14"/>
              </w:rPr>
              <w:t>F-12-2</w:t>
            </w:r>
          </w:p>
        </w:tc>
        <w:tc>
          <w:tcPr>
            <w:tcW w:type="dxa" w:w="1440"/>
            <w:vAlign w:val="top"/>
          </w:tcPr>
          <w:p>
            <w:pPr>
              <w:spacing w:before="0" w:after="20" w:line="240" w:lineRule="auto"/>
            </w:pPr>
            <w:r/>
            <w:r>
              <w:rPr>
                <w:rFonts w:ascii="Calibri" w:hAnsi="Calibri"/>
                <w:b w:val="0"/>
                <w:color w:val="1F1F1F"/>
                <w:sz w:val="14"/>
              </w:rPr>
              <w:t>Section 8</w:t>
            </w:r>
          </w:p>
        </w:tc>
        <w:tc>
          <w:tcPr>
            <w:tcW w:type="dxa" w:w="6768"/>
            <w:vAlign w:val="top"/>
          </w:tcPr>
          <w:p>
            <w:pPr>
              <w:spacing w:before="0" w:after="20" w:line="240" w:lineRule="auto"/>
            </w:pPr>
            <w:r/>
            <w:r>
              <w:rPr>
                <w:rFonts w:ascii="Calibri" w:hAnsi="Calibri"/>
                <w:b w:val="0"/>
                <w:color w:val="1F1F1F"/>
                <w:sz w:val="14"/>
              </w:rPr>
              <w:t>Planned; not currently produced as a controlled output.</w:t>
            </w:r>
          </w:p>
        </w:tc>
      </w:tr>
      <w:tr>
        <w:tc>
          <w:tcPr>
            <w:tcW w:type="dxa" w:w="1152"/>
            <w:vAlign w:val="top"/>
          </w:tcPr>
          <w:p>
            <w:pPr>
              <w:spacing w:before="0" w:after="20" w:line="240" w:lineRule="auto"/>
            </w:pPr>
            <w:r/>
            <w:r>
              <w:rPr>
                <w:rFonts w:ascii="Calibri" w:hAnsi="Calibri"/>
                <w:b w:val="0"/>
                <w:color w:val="1F1F1F"/>
                <w:sz w:val="14"/>
              </w:rPr>
              <w:t>F-17-1</w:t>
            </w:r>
          </w:p>
        </w:tc>
        <w:tc>
          <w:tcPr>
            <w:tcW w:type="dxa" w:w="1440"/>
            <w:vAlign w:val="top"/>
          </w:tcPr>
          <w:p>
            <w:pPr>
              <w:spacing w:before="0" w:after="20" w:line="240" w:lineRule="auto"/>
            </w:pPr>
            <w:r/>
            <w:r>
              <w:rPr>
                <w:rFonts w:ascii="Calibri" w:hAnsi="Calibri"/>
                <w:b w:val="0"/>
                <w:color w:val="1F1F1F"/>
                <w:sz w:val="14"/>
              </w:rPr>
              <w:t>Section 10</w:t>
            </w:r>
          </w:p>
        </w:tc>
        <w:tc>
          <w:tcPr>
            <w:tcW w:type="dxa" w:w="6768"/>
            <w:vAlign w:val="top"/>
          </w:tcPr>
          <w:p>
            <w:pPr>
              <w:spacing w:before="0" w:after="20" w:line="240" w:lineRule="auto"/>
            </w:pPr>
            <w:r/>
            <w:r>
              <w:rPr>
                <w:rFonts w:ascii="Calibri" w:hAnsi="Calibri"/>
                <w:b w:val="0"/>
                <w:color w:val="1F1F1F"/>
                <w:sz w:val="14"/>
              </w:rPr>
              <w:t>Current physical output exists; requires v4 shell/QC status check.</w:t>
            </w:r>
          </w:p>
        </w:tc>
      </w:tr>
    </w:tbl>
    <w:p/>
    <w:p>
      <w:pPr>
        <w:pStyle w:val="Heading1"/>
      </w:pPr>
      <w:r>
        <w:t>Appendix E. Published validation targets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vAlign w:val="top"/>
            <w:shd w:fill="1F4E79"/>
          </w:tcPr>
          <w:p>
            <w:pPr>
              <w:spacing w:before="0" w:after="20" w:line="240" w:lineRule="auto"/>
            </w:pPr>
            <w:r/>
            <w:r>
              <w:rPr>
                <w:rFonts w:ascii="Calibri" w:hAnsi="Calibri"/>
                <w:b/>
                <w:color w:val="FFFFFF"/>
                <w:sz w:val="13"/>
              </w:rPr>
              <w:t>Statistic</w:t>
            </w:r>
          </w:p>
        </w:tc>
        <w:tc>
          <w:tcPr>
            <w:tcW w:type="dxa" w:w="2880"/>
            <w:vAlign w:val="top"/>
            <w:shd w:fill="1F4E79"/>
          </w:tcPr>
          <w:p>
            <w:pPr>
              <w:spacing w:before="0" w:after="20" w:line="240" w:lineRule="auto"/>
            </w:pPr>
            <w:r/>
            <w:r>
              <w:rPr>
                <w:rFonts w:ascii="Calibri" w:hAnsi="Calibri"/>
                <w:b/>
                <w:color w:val="FFFFFF"/>
                <w:sz w:val="13"/>
              </w:rPr>
              <w:t>Published Value</w:t>
            </w:r>
          </w:p>
        </w:tc>
        <w:tc>
          <w:tcPr>
            <w:tcW w:type="dxa" w:w="1440"/>
            <w:vAlign w:val="top"/>
            <w:shd w:fill="1F4E79"/>
          </w:tcPr>
          <w:p>
            <w:pPr>
              <w:spacing w:before="0" w:after="20" w:line="240" w:lineRule="auto"/>
            </w:pPr>
            <w:r/>
            <w:r>
              <w:rPr>
                <w:rFonts w:ascii="Calibri" w:hAnsi="Calibri"/>
                <w:b/>
                <w:color w:val="FFFFFF"/>
                <w:sz w:val="13"/>
              </w:rPr>
              <w:t>Tolerance</w:t>
            </w:r>
          </w:p>
        </w:tc>
        <w:tc>
          <w:tcPr>
            <w:tcW w:type="dxa" w:w="2664"/>
            <w:vAlign w:val="top"/>
            <w:shd w:fill="1F4E79"/>
          </w:tcPr>
          <w:p>
            <w:pPr>
              <w:spacing w:before="0" w:after="20" w:line="240" w:lineRule="auto"/>
            </w:pPr>
            <w:r/>
            <w:r>
              <w:rPr>
                <w:rFonts w:ascii="Calibri" w:hAnsi="Calibri"/>
                <w:b/>
                <w:color w:val="FFFFFF"/>
                <w:sz w:val="13"/>
              </w:rPr>
              <w:t>ADaM Source</w:t>
            </w:r>
          </w:p>
        </w:tc>
      </w:tr>
      <w:tr>
        <w:tc>
          <w:tcPr>
            <w:tcW w:type="dxa" w:w="2376"/>
            <w:vAlign w:val="top"/>
          </w:tcPr>
          <w:p>
            <w:pPr>
              <w:spacing w:before="0" w:after="20" w:line="240" w:lineRule="auto"/>
            </w:pPr>
            <w:r/>
            <w:r>
              <w:rPr>
                <w:rFonts w:ascii="Calibri" w:hAnsi="Calibri"/>
                <w:b w:val="0"/>
                <w:color w:val="1F1F1F"/>
                <w:sz w:val="13"/>
              </w:rPr>
              <w:t>Median OS - CbzP</w:t>
            </w:r>
          </w:p>
        </w:tc>
        <w:tc>
          <w:tcPr>
            <w:tcW w:type="dxa" w:w="2880"/>
            <w:vAlign w:val="top"/>
          </w:tcPr>
          <w:p>
            <w:pPr>
              <w:spacing w:before="0" w:after="20" w:line="240" w:lineRule="auto"/>
            </w:pPr>
            <w:r/>
            <w:r>
              <w:rPr>
                <w:rFonts w:ascii="Calibri" w:hAnsi="Calibri"/>
                <w:b w:val="0"/>
                <w:color w:val="1F1F1F"/>
                <w:sz w:val="13"/>
              </w:rPr>
              <w:t>15.1 months (95% CI 14.1-16.3)</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PARAMCD='OS'</w:t>
            </w:r>
          </w:p>
        </w:tc>
      </w:tr>
      <w:tr>
        <w:tc>
          <w:tcPr>
            <w:tcW w:type="dxa" w:w="2376"/>
            <w:vAlign w:val="top"/>
          </w:tcPr>
          <w:p>
            <w:pPr>
              <w:spacing w:before="0" w:after="20" w:line="240" w:lineRule="auto"/>
            </w:pPr>
            <w:r/>
            <w:r>
              <w:rPr>
                <w:rFonts w:ascii="Calibri" w:hAnsi="Calibri"/>
                <w:b w:val="0"/>
                <w:color w:val="1F1F1F"/>
                <w:sz w:val="13"/>
              </w:rPr>
              <w:t>Median OS - MP</w:t>
            </w:r>
          </w:p>
        </w:tc>
        <w:tc>
          <w:tcPr>
            <w:tcW w:type="dxa" w:w="2880"/>
            <w:vAlign w:val="top"/>
          </w:tcPr>
          <w:p>
            <w:pPr>
              <w:spacing w:before="0" w:after="20" w:line="240" w:lineRule="auto"/>
            </w:pPr>
            <w:r/>
            <w:r>
              <w:rPr>
                <w:rFonts w:ascii="Calibri" w:hAnsi="Calibri"/>
                <w:b w:val="0"/>
                <w:color w:val="1F1F1F"/>
                <w:sz w:val="13"/>
              </w:rPr>
              <w:t>12.7 months (95% CI 11.6-13.7)</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PARAMCD='OS'</w:t>
            </w:r>
          </w:p>
        </w:tc>
      </w:tr>
      <w:tr>
        <w:tc>
          <w:tcPr>
            <w:tcW w:type="dxa" w:w="2376"/>
            <w:vAlign w:val="top"/>
          </w:tcPr>
          <w:p>
            <w:pPr>
              <w:spacing w:before="0" w:after="20" w:line="240" w:lineRule="auto"/>
            </w:pPr>
            <w:r/>
            <w:r>
              <w:rPr>
                <w:rFonts w:ascii="Calibri" w:hAnsi="Calibri"/>
                <w:b w:val="0"/>
                <w:color w:val="1F1F1F"/>
                <w:sz w:val="13"/>
              </w:rPr>
              <w:t>OS HR (CbzP vs. MP)</w:t>
            </w:r>
          </w:p>
        </w:tc>
        <w:tc>
          <w:tcPr>
            <w:tcW w:type="dxa" w:w="2880"/>
            <w:vAlign w:val="top"/>
          </w:tcPr>
          <w:p>
            <w:pPr>
              <w:spacing w:before="0" w:after="20" w:line="240" w:lineRule="auto"/>
            </w:pPr>
            <w:r/>
            <w:r>
              <w:rPr>
                <w:rFonts w:ascii="Calibri" w:hAnsi="Calibri"/>
                <w:b w:val="0"/>
                <w:color w:val="1F1F1F"/>
                <w:sz w:val="13"/>
              </w:rPr>
              <w:t>0.70 (95% CI 0.59-0.83)</w:t>
            </w:r>
          </w:p>
        </w:tc>
        <w:tc>
          <w:tcPr>
            <w:tcW w:type="dxa" w:w="1440"/>
            <w:vAlign w:val="top"/>
          </w:tcPr>
          <w:p>
            <w:pPr>
              <w:spacing w:before="0" w:after="20" w:line="240" w:lineRule="auto"/>
            </w:pPr>
            <w:r/>
            <w:r>
              <w:rPr>
                <w:rFonts w:ascii="Calibri" w:hAnsi="Calibri"/>
                <w:b w:val="0"/>
                <w:color w:val="1F1F1F"/>
                <w:sz w:val="13"/>
              </w:rPr>
              <w:t>+/-0.02</w:t>
            </w:r>
          </w:p>
        </w:tc>
        <w:tc>
          <w:tcPr>
            <w:tcW w:type="dxa" w:w="2664"/>
            <w:vAlign w:val="top"/>
          </w:tcPr>
          <w:p>
            <w:pPr>
              <w:spacing w:before="0" w:after="20" w:line="240" w:lineRule="auto"/>
            </w:pPr>
            <w:r/>
            <w:r>
              <w:rPr>
                <w:rFonts w:ascii="Calibri" w:hAnsi="Calibri"/>
                <w:b w:val="0"/>
                <w:color w:val="1F1F1F"/>
                <w:sz w:val="13"/>
              </w:rPr>
              <w:t>ADTTE + Cox PH</w:t>
            </w:r>
          </w:p>
        </w:tc>
      </w:tr>
      <w:tr>
        <w:tc>
          <w:tcPr>
            <w:tcW w:type="dxa" w:w="2376"/>
            <w:vAlign w:val="top"/>
          </w:tcPr>
          <w:p>
            <w:pPr>
              <w:spacing w:before="0" w:after="20" w:line="240" w:lineRule="auto"/>
            </w:pPr>
            <w:r/>
            <w:r>
              <w:rPr>
                <w:rFonts w:ascii="Calibri" w:hAnsi="Calibri"/>
                <w:b w:val="0"/>
                <w:color w:val="1F1F1F"/>
                <w:sz w:val="13"/>
              </w:rPr>
              <w:t>OS log-rank p-value</w:t>
            </w:r>
          </w:p>
        </w:tc>
        <w:tc>
          <w:tcPr>
            <w:tcW w:type="dxa" w:w="2880"/>
            <w:vAlign w:val="top"/>
          </w:tcPr>
          <w:p>
            <w:pPr>
              <w:spacing w:before="0" w:after="20" w:line="240" w:lineRule="auto"/>
            </w:pPr>
            <w:r/>
            <w:r>
              <w:rPr>
                <w:rFonts w:ascii="Calibri" w:hAnsi="Calibri"/>
                <w:b w:val="0"/>
                <w:color w:val="1F1F1F"/>
                <w:sz w:val="13"/>
              </w:rPr>
              <w:t>&lt;0.0001</w:t>
            </w:r>
          </w:p>
        </w:tc>
        <w:tc>
          <w:tcPr>
            <w:tcW w:type="dxa" w:w="1440"/>
            <w:vAlign w:val="top"/>
          </w:tcPr>
          <w:p>
            <w:pPr>
              <w:spacing w:before="0" w:after="20" w:line="240" w:lineRule="auto"/>
            </w:pPr>
            <w:r/>
            <w:r>
              <w:rPr>
                <w:rFonts w:ascii="Calibri" w:hAnsi="Calibri"/>
                <w:b w:val="0"/>
                <w:color w:val="1F1F1F"/>
                <w:sz w:val="13"/>
              </w:rPr>
              <w:t>p&lt;0.001 acceptable</w:t>
            </w:r>
          </w:p>
        </w:tc>
        <w:tc>
          <w:tcPr>
            <w:tcW w:type="dxa" w:w="2664"/>
            <w:vAlign w:val="top"/>
          </w:tcPr>
          <w:p>
            <w:pPr>
              <w:spacing w:before="0" w:after="20" w:line="240" w:lineRule="auto"/>
            </w:pPr>
            <w:r/>
            <w:r>
              <w:rPr>
                <w:rFonts w:ascii="Calibri" w:hAnsi="Calibri"/>
                <w:b w:val="0"/>
                <w:color w:val="1F1F1F"/>
                <w:sz w:val="13"/>
              </w:rPr>
              <w:t>ADTTE</w:t>
            </w:r>
          </w:p>
        </w:tc>
      </w:tr>
      <w:tr>
        <w:tc>
          <w:tcPr>
            <w:tcW w:type="dxa" w:w="2376"/>
            <w:vAlign w:val="top"/>
          </w:tcPr>
          <w:p>
            <w:pPr>
              <w:spacing w:before="0" w:after="20" w:line="240" w:lineRule="auto"/>
            </w:pPr>
            <w:r/>
            <w:r>
              <w:rPr>
                <w:rFonts w:ascii="Calibri" w:hAnsi="Calibri"/>
                <w:b w:val="0"/>
                <w:color w:val="1F1F1F"/>
                <w:sz w:val="13"/>
              </w:rPr>
              <w:t>OS deaths - CbzP (ITT)</w:t>
            </w:r>
          </w:p>
        </w:tc>
        <w:tc>
          <w:tcPr>
            <w:tcW w:type="dxa" w:w="2880"/>
            <w:vAlign w:val="top"/>
          </w:tcPr>
          <w:p>
            <w:pPr>
              <w:spacing w:before="0" w:after="20" w:line="240" w:lineRule="auto"/>
            </w:pPr>
            <w:r/>
            <w:r>
              <w:rPr>
                <w:rFonts w:ascii="Calibri" w:hAnsi="Calibri"/>
                <w:b w:val="0"/>
                <w:color w:val="1F1F1F"/>
                <w:sz w:val="13"/>
              </w:rPr>
              <w:t>234</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ADTTE CNSR=0</w:t>
            </w:r>
          </w:p>
        </w:tc>
      </w:tr>
      <w:tr>
        <w:tc>
          <w:tcPr>
            <w:tcW w:type="dxa" w:w="2376"/>
            <w:vAlign w:val="top"/>
          </w:tcPr>
          <w:p>
            <w:pPr>
              <w:spacing w:before="0" w:after="20" w:line="240" w:lineRule="auto"/>
            </w:pPr>
            <w:r/>
            <w:r>
              <w:rPr>
                <w:rFonts w:ascii="Calibri" w:hAnsi="Calibri"/>
                <w:b w:val="0"/>
                <w:color w:val="1F1F1F"/>
                <w:sz w:val="13"/>
              </w:rPr>
              <w:t>OS deaths - MP (ITT)</w:t>
            </w:r>
          </w:p>
        </w:tc>
        <w:tc>
          <w:tcPr>
            <w:tcW w:type="dxa" w:w="2880"/>
            <w:vAlign w:val="top"/>
          </w:tcPr>
          <w:p>
            <w:pPr>
              <w:spacing w:before="0" w:after="20" w:line="240" w:lineRule="auto"/>
            </w:pPr>
            <w:r/>
            <w:r>
              <w:rPr>
                <w:rFonts w:ascii="Calibri" w:hAnsi="Calibri"/>
                <w:b w:val="0"/>
                <w:color w:val="1F1F1F"/>
                <w:sz w:val="13"/>
              </w:rPr>
              <w:t>279</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ADTTE CNSR=0</w:t>
            </w:r>
          </w:p>
        </w:tc>
      </w:tr>
      <w:tr>
        <w:tc>
          <w:tcPr>
            <w:tcW w:type="dxa" w:w="2376"/>
            <w:vAlign w:val="top"/>
          </w:tcPr>
          <w:p>
            <w:pPr>
              <w:spacing w:before="0" w:after="20" w:line="240" w:lineRule="auto"/>
            </w:pPr>
            <w:r/>
            <w:r>
              <w:rPr>
                <w:rFonts w:ascii="Calibri" w:hAnsi="Calibri"/>
                <w:b w:val="0"/>
                <w:color w:val="1F1F1F"/>
                <w:sz w:val="13"/>
              </w:rPr>
              <w:t>OS deaths total (ITT)</w:t>
            </w:r>
          </w:p>
        </w:tc>
        <w:tc>
          <w:tcPr>
            <w:tcW w:type="dxa" w:w="2880"/>
            <w:vAlign w:val="top"/>
          </w:tcPr>
          <w:p>
            <w:pPr>
              <w:spacing w:before="0" w:after="20" w:line="240" w:lineRule="auto"/>
            </w:pPr>
            <w:r/>
            <w:r>
              <w:rPr>
                <w:rFonts w:ascii="Calibri" w:hAnsi="Calibri"/>
                <w:b w:val="0"/>
                <w:color w:val="1F1F1F"/>
                <w:sz w:val="13"/>
              </w:rPr>
              <w:t>513</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ADTTE CNSR=0 sum</w:t>
            </w:r>
          </w:p>
        </w:tc>
      </w:tr>
      <w:tr>
        <w:tc>
          <w:tcPr>
            <w:tcW w:type="dxa" w:w="2376"/>
            <w:vAlign w:val="top"/>
          </w:tcPr>
          <w:p>
            <w:pPr>
              <w:spacing w:before="0" w:after="20" w:line="240" w:lineRule="auto"/>
            </w:pPr>
            <w:r/>
            <w:r>
              <w:rPr>
                <w:rFonts w:ascii="Calibri" w:hAnsi="Calibri"/>
                <w:b w:val="0"/>
                <w:color w:val="1F1F1F"/>
                <w:sz w:val="13"/>
              </w:rPr>
              <w:t>Median follow-up (combined)</w:t>
            </w:r>
          </w:p>
        </w:tc>
        <w:tc>
          <w:tcPr>
            <w:tcW w:type="dxa" w:w="2880"/>
            <w:vAlign w:val="top"/>
          </w:tcPr>
          <w:p>
            <w:pPr>
              <w:spacing w:before="0" w:after="20" w:line="240" w:lineRule="auto"/>
            </w:pPr>
            <w:r/>
            <w:r>
              <w:rPr>
                <w:rFonts w:ascii="Calibri" w:hAnsi="Calibri"/>
                <w:b w:val="0"/>
                <w:color w:val="1F1F1F"/>
                <w:sz w:val="13"/>
              </w:rPr>
              <w:t>12.8 months (IQR 7.8-16.9)</w:t>
            </w:r>
          </w:p>
        </w:tc>
        <w:tc>
          <w:tcPr>
            <w:tcW w:type="dxa" w:w="1440"/>
            <w:vAlign w:val="top"/>
          </w:tcPr>
          <w:p>
            <w:pPr>
              <w:spacing w:before="0" w:after="20" w:line="240" w:lineRule="auto"/>
            </w:pPr>
            <w:r/>
            <w:r>
              <w:rPr>
                <w:rFonts w:ascii="Calibri" w:hAnsi="Calibri"/>
                <w:b w:val="0"/>
                <w:color w:val="1F1F1F"/>
                <w:sz w:val="13"/>
              </w:rPr>
              <w:t>+/-0.5 mo</w:t>
            </w:r>
          </w:p>
        </w:tc>
        <w:tc>
          <w:tcPr>
            <w:tcW w:type="dxa" w:w="2664"/>
            <w:vAlign w:val="top"/>
          </w:tcPr>
          <w:p>
            <w:pPr>
              <w:spacing w:before="0" w:after="20" w:line="240" w:lineRule="auto"/>
            </w:pPr>
            <w:r/>
            <w:r>
              <w:rPr>
                <w:rFonts w:ascii="Calibri" w:hAnsi="Calibri"/>
                <w:b w:val="0"/>
                <w:color w:val="1F1F1F"/>
                <w:sz w:val="13"/>
              </w:rPr>
              <w:t>ADSL derived</w:t>
            </w:r>
          </w:p>
        </w:tc>
      </w:tr>
      <w:tr>
        <w:tc>
          <w:tcPr>
            <w:tcW w:type="dxa" w:w="2376"/>
            <w:vAlign w:val="top"/>
          </w:tcPr>
          <w:p>
            <w:pPr>
              <w:spacing w:before="0" w:after="20" w:line="240" w:lineRule="auto"/>
            </w:pPr>
            <w:r/>
            <w:r>
              <w:rPr>
                <w:rFonts w:ascii="Calibri" w:hAnsi="Calibri"/>
                <w:b w:val="0"/>
                <w:color w:val="1F1F1F"/>
                <w:sz w:val="13"/>
              </w:rPr>
              <w:t>Median PFS - CbzP</w:t>
            </w:r>
          </w:p>
        </w:tc>
        <w:tc>
          <w:tcPr>
            <w:tcW w:type="dxa" w:w="2880"/>
            <w:vAlign w:val="top"/>
          </w:tcPr>
          <w:p>
            <w:pPr>
              <w:spacing w:before="0" w:after="20" w:line="240" w:lineRule="auto"/>
            </w:pPr>
            <w:r/>
            <w:r>
              <w:rPr>
                <w:rFonts w:ascii="Calibri" w:hAnsi="Calibri"/>
                <w:b w:val="0"/>
                <w:color w:val="1F1F1F"/>
                <w:sz w:val="13"/>
              </w:rPr>
              <w:t>2.8 months (95% CI 2.4-3.0)</w:t>
            </w:r>
          </w:p>
        </w:tc>
        <w:tc>
          <w:tcPr>
            <w:tcW w:type="dxa" w:w="1440"/>
            <w:vAlign w:val="top"/>
          </w:tcPr>
          <w:p>
            <w:pPr>
              <w:spacing w:before="0" w:after="20" w:line="240" w:lineRule="auto"/>
            </w:pPr>
            <w:r/>
            <w:r>
              <w:rPr>
                <w:rFonts w:ascii="Calibri" w:hAnsi="Calibri"/>
                <w:b w:val="0"/>
                <w:color w:val="1F1F1F"/>
                <w:sz w:val="13"/>
              </w:rPr>
              <w:t>+/-0.2 mo</w:t>
            </w:r>
          </w:p>
        </w:tc>
        <w:tc>
          <w:tcPr>
            <w:tcW w:type="dxa" w:w="2664"/>
            <w:vAlign w:val="top"/>
          </w:tcPr>
          <w:p>
            <w:pPr>
              <w:spacing w:before="0" w:after="20" w:line="240" w:lineRule="auto"/>
            </w:pPr>
            <w:r/>
            <w:r>
              <w:rPr>
                <w:rFonts w:ascii="Calibri" w:hAnsi="Calibri"/>
                <w:b w:val="0"/>
                <w:color w:val="1F1F1F"/>
                <w:sz w:val="13"/>
              </w:rPr>
              <w:t>ADTTE PARAMCD='PFS'</w:t>
            </w:r>
          </w:p>
        </w:tc>
      </w:tr>
      <w:tr>
        <w:tc>
          <w:tcPr>
            <w:tcW w:type="dxa" w:w="2376"/>
            <w:vAlign w:val="top"/>
          </w:tcPr>
          <w:p>
            <w:pPr>
              <w:spacing w:before="0" w:after="20" w:line="240" w:lineRule="auto"/>
            </w:pPr>
            <w:r/>
            <w:r>
              <w:rPr>
                <w:rFonts w:ascii="Calibri" w:hAnsi="Calibri"/>
                <w:b w:val="0"/>
                <w:color w:val="1F1F1F"/>
                <w:sz w:val="13"/>
              </w:rPr>
              <w:t>Median PFS - MP</w:t>
            </w:r>
          </w:p>
        </w:tc>
        <w:tc>
          <w:tcPr>
            <w:tcW w:type="dxa" w:w="2880"/>
            <w:vAlign w:val="top"/>
          </w:tcPr>
          <w:p>
            <w:pPr>
              <w:spacing w:before="0" w:after="20" w:line="240" w:lineRule="auto"/>
            </w:pPr>
            <w:r/>
            <w:r>
              <w:rPr>
                <w:rFonts w:ascii="Calibri" w:hAnsi="Calibri"/>
                <w:b w:val="0"/>
                <w:color w:val="1F1F1F"/>
                <w:sz w:val="13"/>
              </w:rPr>
              <w:t>1.4 months (95% CI 1.4-1.7)</w:t>
            </w:r>
          </w:p>
        </w:tc>
        <w:tc>
          <w:tcPr>
            <w:tcW w:type="dxa" w:w="1440"/>
            <w:vAlign w:val="top"/>
          </w:tcPr>
          <w:p>
            <w:pPr>
              <w:spacing w:before="0" w:after="20" w:line="240" w:lineRule="auto"/>
            </w:pPr>
            <w:r/>
            <w:r>
              <w:rPr>
                <w:rFonts w:ascii="Calibri" w:hAnsi="Calibri"/>
                <w:b w:val="0"/>
                <w:color w:val="1F1F1F"/>
                <w:sz w:val="13"/>
              </w:rPr>
              <w:t>+/-0.2 mo</w:t>
            </w:r>
          </w:p>
        </w:tc>
        <w:tc>
          <w:tcPr>
            <w:tcW w:type="dxa" w:w="2664"/>
            <w:vAlign w:val="top"/>
          </w:tcPr>
          <w:p>
            <w:pPr>
              <w:spacing w:before="0" w:after="20" w:line="240" w:lineRule="auto"/>
            </w:pPr>
            <w:r/>
            <w:r>
              <w:rPr>
                <w:rFonts w:ascii="Calibri" w:hAnsi="Calibri"/>
                <w:b w:val="0"/>
                <w:color w:val="1F1F1F"/>
                <w:sz w:val="13"/>
              </w:rPr>
              <w:t>ADTTE PARAMCD='PFS'</w:t>
            </w:r>
          </w:p>
        </w:tc>
      </w:tr>
      <w:tr>
        <w:tc>
          <w:tcPr>
            <w:tcW w:type="dxa" w:w="2376"/>
            <w:vAlign w:val="top"/>
          </w:tcPr>
          <w:p>
            <w:pPr>
              <w:spacing w:before="0" w:after="20" w:line="240" w:lineRule="auto"/>
            </w:pPr>
            <w:r/>
            <w:r>
              <w:rPr>
                <w:rFonts w:ascii="Calibri" w:hAnsi="Calibri"/>
                <w:b w:val="0"/>
                <w:color w:val="1F1F1F"/>
                <w:sz w:val="13"/>
              </w:rPr>
              <w:t>PFS HR</w:t>
            </w:r>
          </w:p>
        </w:tc>
        <w:tc>
          <w:tcPr>
            <w:tcW w:type="dxa" w:w="2880"/>
            <w:vAlign w:val="top"/>
          </w:tcPr>
          <w:p>
            <w:pPr>
              <w:spacing w:before="0" w:after="20" w:line="240" w:lineRule="auto"/>
            </w:pPr>
            <w:r/>
            <w:r>
              <w:rPr>
                <w:rFonts w:ascii="Calibri" w:hAnsi="Calibri"/>
                <w:b w:val="0"/>
                <w:color w:val="1F1F1F"/>
                <w:sz w:val="13"/>
              </w:rPr>
              <w:t>0.74 (95% CI 0.64-0.86)</w:t>
            </w:r>
          </w:p>
        </w:tc>
        <w:tc>
          <w:tcPr>
            <w:tcW w:type="dxa" w:w="1440"/>
            <w:vAlign w:val="top"/>
          </w:tcPr>
          <w:p>
            <w:pPr>
              <w:spacing w:before="0" w:after="20" w:line="240" w:lineRule="auto"/>
            </w:pPr>
            <w:r/>
            <w:r>
              <w:rPr>
                <w:rFonts w:ascii="Calibri" w:hAnsi="Calibri"/>
                <w:b w:val="0"/>
                <w:color w:val="1F1F1F"/>
                <w:sz w:val="13"/>
              </w:rPr>
              <w:t>+/-0.02</w:t>
            </w:r>
          </w:p>
        </w:tc>
        <w:tc>
          <w:tcPr>
            <w:tcW w:type="dxa" w:w="2664"/>
            <w:vAlign w:val="top"/>
          </w:tcPr>
          <w:p>
            <w:pPr>
              <w:spacing w:before="0" w:after="20" w:line="240" w:lineRule="auto"/>
            </w:pPr>
            <w:r/>
            <w:r>
              <w:rPr>
                <w:rFonts w:ascii="Calibri" w:hAnsi="Calibri"/>
                <w:b w:val="0"/>
                <w:color w:val="1F1F1F"/>
                <w:sz w:val="13"/>
              </w:rPr>
              <w:t>ADTTE + Cox PH</w:t>
            </w:r>
          </w:p>
        </w:tc>
      </w:tr>
      <w:tr>
        <w:tc>
          <w:tcPr>
            <w:tcW w:type="dxa" w:w="2376"/>
            <w:vAlign w:val="top"/>
          </w:tcPr>
          <w:p>
            <w:pPr>
              <w:spacing w:before="0" w:after="20" w:line="240" w:lineRule="auto"/>
            </w:pPr>
            <w:r/>
            <w:r>
              <w:rPr>
                <w:rFonts w:ascii="Calibri" w:hAnsi="Calibri"/>
                <w:b w:val="0"/>
                <w:color w:val="1F1F1F"/>
                <w:sz w:val="13"/>
              </w:rPr>
              <w:t>PFS p-value</w:t>
            </w:r>
          </w:p>
        </w:tc>
        <w:tc>
          <w:tcPr>
            <w:tcW w:type="dxa" w:w="2880"/>
            <w:vAlign w:val="top"/>
          </w:tcPr>
          <w:p>
            <w:pPr>
              <w:spacing w:before="0" w:after="20" w:line="240" w:lineRule="auto"/>
            </w:pPr>
            <w:r/>
            <w:r>
              <w:rPr>
                <w:rFonts w:ascii="Calibri" w:hAnsi="Calibri"/>
                <w:b w:val="0"/>
                <w:color w:val="1F1F1F"/>
                <w:sz w:val="13"/>
              </w:rPr>
              <w:t>&lt;0.0001</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Median TTPSA - CbzP</w:t>
            </w:r>
          </w:p>
        </w:tc>
        <w:tc>
          <w:tcPr>
            <w:tcW w:type="dxa" w:w="2880"/>
            <w:vAlign w:val="top"/>
          </w:tcPr>
          <w:p>
            <w:pPr>
              <w:spacing w:before="0" w:after="20" w:line="240" w:lineRule="auto"/>
            </w:pPr>
            <w:r/>
            <w:r>
              <w:rPr>
                <w:rFonts w:ascii="Calibri" w:hAnsi="Calibri"/>
                <w:b w:val="0"/>
                <w:color w:val="1F1F1F"/>
                <w:sz w:val="13"/>
              </w:rPr>
              <w:t>6.4 months (IQR 2.2-10.1)</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PARAMCD='TTPSA'</w:t>
            </w:r>
          </w:p>
        </w:tc>
      </w:tr>
      <w:tr>
        <w:tc>
          <w:tcPr>
            <w:tcW w:type="dxa" w:w="2376"/>
            <w:vAlign w:val="top"/>
          </w:tcPr>
          <w:p>
            <w:pPr>
              <w:spacing w:before="0" w:after="20" w:line="240" w:lineRule="auto"/>
            </w:pPr>
            <w:r/>
            <w:r>
              <w:rPr>
                <w:rFonts w:ascii="Calibri" w:hAnsi="Calibri"/>
                <w:b w:val="0"/>
                <w:color w:val="1F1F1F"/>
                <w:sz w:val="13"/>
              </w:rPr>
              <w:t>Median TTPSA - MP</w:t>
            </w:r>
          </w:p>
        </w:tc>
        <w:tc>
          <w:tcPr>
            <w:tcW w:type="dxa" w:w="2880"/>
            <w:vAlign w:val="top"/>
          </w:tcPr>
          <w:p>
            <w:pPr>
              <w:spacing w:before="0" w:after="20" w:line="240" w:lineRule="auto"/>
            </w:pPr>
            <w:r/>
            <w:r>
              <w:rPr>
                <w:rFonts w:ascii="Calibri" w:hAnsi="Calibri"/>
                <w:b w:val="0"/>
                <w:color w:val="1F1F1F"/>
                <w:sz w:val="13"/>
              </w:rPr>
              <w:t>3.1 months (IQR 0.9-9.1)</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PARAMCD='TTPSA'</w:t>
            </w:r>
          </w:p>
        </w:tc>
      </w:tr>
      <w:tr>
        <w:tc>
          <w:tcPr>
            <w:tcW w:type="dxa" w:w="2376"/>
            <w:vAlign w:val="top"/>
          </w:tcPr>
          <w:p>
            <w:pPr>
              <w:spacing w:before="0" w:after="20" w:line="240" w:lineRule="auto"/>
            </w:pPr>
            <w:r/>
            <w:r>
              <w:rPr>
                <w:rFonts w:ascii="Calibri" w:hAnsi="Calibri"/>
                <w:b w:val="0"/>
                <w:color w:val="1F1F1F"/>
                <w:sz w:val="13"/>
              </w:rPr>
              <w:t>TTPSA HR</w:t>
            </w:r>
          </w:p>
        </w:tc>
        <w:tc>
          <w:tcPr>
            <w:tcW w:type="dxa" w:w="2880"/>
            <w:vAlign w:val="top"/>
          </w:tcPr>
          <w:p>
            <w:pPr>
              <w:spacing w:before="0" w:after="20" w:line="240" w:lineRule="auto"/>
            </w:pPr>
            <w:r/>
            <w:r>
              <w:rPr>
                <w:rFonts w:ascii="Calibri" w:hAnsi="Calibri"/>
                <w:b w:val="0"/>
                <w:color w:val="1F1F1F"/>
                <w:sz w:val="13"/>
              </w:rPr>
              <w:t>0.75 (0.63-0.90)</w:t>
            </w:r>
          </w:p>
        </w:tc>
        <w:tc>
          <w:tcPr>
            <w:tcW w:type="dxa" w:w="1440"/>
            <w:vAlign w:val="top"/>
          </w:tcPr>
          <w:p>
            <w:pPr>
              <w:spacing w:before="0" w:after="20" w:line="240" w:lineRule="auto"/>
            </w:pPr>
            <w:r/>
            <w:r>
              <w:rPr>
                <w:rFonts w:ascii="Calibri" w:hAnsi="Calibri"/>
                <w:b w:val="0"/>
                <w:color w:val="1F1F1F"/>
                <w:sz w:val="13"/>
              </w:rPr>
              <w:t>+/-0.02</w:t>
            </w:r>
          </w:p>
        </w:tc>
        <w:tc>
          <w:tcPr>
            <w:tcW w:type="dxa" w:w="2664"/>
            <w:vAlign w:val="top"/>
          </w:tcPr>
          <w:p>
            <w:pPr>
              <w:spacing w:before="0" w:after="20" w:line="240" w:lineRule="auto"/>
            </w:pPr>
            <w:r/>
            <w:r>
              <w:rPr>
                <w:rFonts w:ascii="Calibri" w:hAnsi="Calibri"/>
                <w:b w:val="0"/>
                <w:color w:val="1F1F1F"/>
                <w:sz w:val="13"/>
              </w:rPr>
              <w:t>ADTTE + Cox PH</w:t>
            </w:r>
          </w:p>
        </w:tc>
      </w:tr>
      <w:tr>
        <w:tc>
          <w:tcPr>
            <w:tcW w:type="dxa" w:w="2376"/>
            <w:vAlign w:val="top"/>
          </w:tcPr>
          <w:p>
            <w:pPr>
              <w:spacing w:before="0" w:after="20" w:line="240" w:lineRule="auto"/>
            </w:pPr>
            <w:r/>
            <w:r>
              <w:rPr>
                <w:rFonts w:ascii="Calibri" w:hAnsi="Calibri"/>
                <w:b w:val="0"/>
                <w:color w:val="1F1F1F"/>
                <w:sz w:val="13"/>
              </w:rPr>
              <w:t>TTPSA p-value</w:t>
            </w:r>
          </w:p>
        </w:tc>
        <w:tc>
          <w:tcPr>
            <w:tcW w:type="dxa" w:w="2880"/>
            <w:vAlign w:val="top"/>
          </w:tcPr>
          <w:p>
            <w:pPr>
              <w:spacing w:before="0" w:after="20" w:line="240" w:lineRule="auto"/>
            </w:pPr>
            <w:r/>
            <w:r>
              <w:rPr>
                <w:rFonts w:ascii="Calibri" w:hAnsi="Calibri"/>
                <w:b w:val="0"/>
                <w:color w:val="1F1F1F"/>
                <w:sz w:val="13"/>
              </w:rPr>
              <w:t>0.001</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Median TTUMOR - CbzP</w:t>
            </w:r>
          </w:p>
        </w:tc>
        <w:tc>
          <w:tcPr>
            <w:tcW w:type="dxa" w:w="2880"/>
            <w:vAlign w:val="top"/>
          </w:tcPr>
          <w:p>
            <w:pPr>
              <w:spacing w:before="0" w:after="20" w:line="240" w:lineRule="auto"/>
            </w:pPr>
            <w:r/>
            <w:r>
              <w:rPr>
                <w:rFonts w:ascii="Calibri" w:hAnsi="Calibri"/>
                <w:b w:val="0"/>
                <w:color w:val="1F1F1F"/>
                <w:sz w:val="13"/>
              </w:rPr>
              <w:t>8.8 months (IQR 3.9-12.0)</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PARAMCD='TTUMOR'</w:t>
            </w:r>
          </w:p>
        </w:tc>
      </w:tr>
      <w:tr>
        <w:tc>
          <w:tcPr>
            <w:tcW w:type="dxa" w:w="2376"/>
            <w:vAlign w:val="top"/>
          </w:tcPr>
          <w:p>
            <w:pPr>
              <w:spacing w:before="0" w:after="20" w:line="240" w:lineRule="auto"/>
            </w:pPr>
            <w:r/>
            <w:r>
              <w:rPr>
                <w:rFonts w:ascii="Calibri" w:hAnsi="Calibri"/>
                <w:b w:val="0"/>
                <w:color w:val="1F1F1F"/>
                <w:sz w:val="13"/>
              </w:rPr>
              <w:t>Median TTUMOR - MP</w:t>
            </w:r>
          </w:p>
        </w:tc>
        <w:tc>
          <w:tcPr>
            <w:tcW w:type="dxa" w:w="2880"/>
            <w:vAlign w:val="top"/>
          </w:tcPr>
          <w:p>
            <w:pPr>
              <w:spacing w:before="0" w:after="20" w:line="240" w:lineRule="auto"/>
            </w:pPr>
            <w:r/>
            <w:r>
              <w:rPr>
                <w:rFonts w:ascii="Calibri" w:hAnsi="Calibri"/>
                <w:b w:val="0"/>
                <w:color w:val="1F1F1F"/>
                <w:sz w:val="13"/>
              </w:rPr>
              <w:t>5.4 months (IQR 2.3-10.0)</w:t>
            </w:r>
          </w:p>
        </w:tc>
        <w:tc>
          <w:tcPr>
            <w:tcW w:type="dxa" w:w="1440"/>
            <w:vAlign w:val="top"/>
          </w:tcPr>
          <w:p>
            <w:pPr>
              <w:spacing w:before="0" w:after="20" w:line="240" w:lineRule="auto"/>
            </w:pPr>
            <w:r/>
            <w:r>
              <w:rPr>
                <w:rFonts w:ascii="Calibri" w:hAnsi="Calibri"/>
                <w:b w:val="0"/>
                <w:color w:val="1F1F1F"/>
                <w:sz w:val="13"/>
              </w:rPr>
              <w:t>+/-0.3 mo</w:t>
            </w:r>
          </w:p>
        </w:tc>
        <w:tc>
          <w:tcPr>
            <w:tcW w:type="dxa" w:w="2664"/>
            <w:vAlign w:val="top"/>
          </w:tcPr>
          <w:p>
            <w:pPr>
              <w:spacing w:before="0" w:after="20" w:line="240" w:lineRule="auto"/>
            </w:pPr>
            <w:r/>
            <w:r>
              <w:rPr>
                <w:rFonts w:ascii="Calibri" w:hAnsi="Calibri"/>
                <w:b w:val="0"/>
                <w:color w:val="1F1F1F"/>
                <w:sz w:val="13"/>
              </w:rPr>
              <w:t>ADTTE PARAMCD='TTUMOR'</w:t>
            </w:r>
          </w:p>
        </w:tc>
      </w:tr>
      <w:tr>
        <w:tc>
          <w:tcPr>
            <w:tcW w:type="dxa" w:w="2376"/>
            <w:vAlign w:val="top"/>
          </w:tcPr>
          <w:p>
            <w:pPr>
              <w:spacing w:before="0" w:after="20" w:line="240" w:lineRule="auto"/>
            </w:pPr>
            <w:r/>
            <w:r>
              <w:rPr>
                <w:rFonts w:ascii="Calibri" w:hAnsi="Calibri"/>
                <w:b w:val="0"/>
                <w:color w:val="1F1F1F"/>
                <w:sz w:val="13"/>
              </w:rPr>
              <w:t>TTUMOR HR</w:t>
            </w:r>
          </w:p>
        </w:tc>
        <w:tc>
          <w:tcPr>
            <w:tcW w:type="dxa" w:w="2880"/>
            <w:vAlign w:val="top"/>
          </w:tcPr>
          <w:p>
            <w:pPr>
              <w:spacing w:before="0" w:after="20" w:line="240" w:lineRule="auto"/>
            </w:pPr>
            <w:r/>
            <w:r>
              <w:rPr>
                <w:rFonts w:ascii="Calibri" w:hAnsi="Calibri"/>
                <w:b w:val="0"/>
                <w:color w:val="1F1F1F"/>
                <w:sz w:val="13"/>
              </w:rPr>
              <w:t>0.61 (0.49-0.76)</w:t>
            </w:r>
          </w:p>
        </w:tc>
        <w:tc>
          <w:tcPr>
            <w:tcW w:type="dxa" w:w="1440"/>
            <w:vAlign w:val="top"/>
          </w:tcPr>
          <w:p>
            <w:pPr>
              <w:spacing w:before="0" w:after="20" w:line="240" w:lineRule="auto"/>
            </w:pPr>
            <w:r/>
            <w:r>
              <w:rPr>
                <w:rFonts w:ascii="Calibri" w:hAnsi="Calibri"/>
                <w:b w:val="0"/>
                <w:color w:val="1F1F1F"/>
                <w:sz w:val="13"/>
              </w:rPr>
              <w:t>+/-0.02</w:t>
            </w:r>
          </w:p>
        </w:tc>
        <w:tc>
          <w:tcPr>
            <w:tcW w:type="dxa" w:w="2664"/>
            <w:vAlign w:val="top"/>
          </w:tcPr>
          <w:p>
            <w:pPr>
              <w:spacing w:before="0" w:after="20" w:line="240" w:lineRule="auto"/>
            </w:pPr>
            <w:r/>
            <w:r>
              <w:rPr>
                <w:rFonts w:ascii="Calibri" w:hAnsi="Calibri"/>
                <w:b w:val="0"/>
                <w:color w:val="1F1F1F"/>
                <w:sz w:val="13"/>
              </w:rPr>
              <w:t>ADTTE + Cox PH</w:t>
            </w:r>
          </w:p>
        </w:tc>
      </w:tr>
      <w:tr>
        <w:tc>
          <w:tcPr>
            <w:tcW w:type="dxa" w:w="2376"/>
            <w:vAlign w:val="top"/>
          </w:tcPr>
          <w:p>
            <w:pPr>
              <w:spacing w:before="0" w:after="20" w:line="240" w:lineRule="auto"/>
            </w:pPr>
            <w:r/>
            <w:r>
              <w:rPr>
                <w:rFonts w:ascii="Calibri" w:hAnsi="Calibri"/>
                <w:b w:val="0"/>
                <w:color w:val="1F1F1F"/>
                <w:sz w:val="13"/>
              </w:rPr>
              <w:t>TTUMOR p-value</w:t>
            </w:r>
          </w:p>
        </w:tc>
        <w:tc>
          <w:tcPr>
            <w:tcW w:type="dxa" w:w="2880"/>
            <w:vAlign w:val="top"/>
          </w:tcPr>
          <w:p>
            <w:pPr>
              <w:spacing w:before="0" w:after="20" w:line="240" w:lineRule="auto"/>
            </w:pPr>
            <w:r/>
            <w:r>
              <w:rPr>
                <w:rFonts w:ascii="Calibri" w:hAnsi="Calibri"/>
                <w:b w:val="0"/>
                <w:color w:val="1F1F1F"/>
                <w:sz w:val="13"/>
              </w:rPr>
              <w:t>&lt;0.0001</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Median TTPAIN - CbzP</w:t>
            </w:r>
          </w:p>
        </w:tc>
        <w:tc>
          <w:tcPr>
            <w:tcW w:type="dxa" w:w="2880"/>
            <w:vAlign w:val="top"/>
          </w:tcPr>
          <w:p>
            <w:pPr>
              <w:spacing w:before="0" w:after="20" w:line="240" w:lineRule="auto"/>
            </w:pPr>
            <w:r/>
            <w:r>
              <w:rPr>
                <w:rFonts w:ascii="Calibri" w:hAnsi="Calibri"/>
                <w:b w:val="0"/>
                <w:color w:val="1F1F1F"/>
                <w:sz w:val="13"/>
              </w:rPr>
              <w:t>11.1 months (IQR 2.9-NR)</w:t>
            </w:r>
          </w:p>
        </w:tc>
        <w:tc>
          <w:tcPr>
            <w:tcW w:type="dxa" w:w="1440"/>
            <w:vAlign w:val="top"/>
          </w:tcPr>
          <w:p>
            <w:pPr>
              <w:spacing w:before="0" w:after="20" w:line="240" w:lineRule="auto"/>
            </w:pPr>
            <w:r/>
            <w:r>
              <w:rPr>
                <w:rFonts w:ascii="Calibri" w:hAnsi="Calibri"/>
                <w:b w:val="0"/>
                <w:color w:val="1F1F1F"/>
                <w:sz w:val="13"/>
              </w:rPr>
              <w:t>+/-0.5 mo</w:t>
            </w:r>
          </w:p>
        </w:tc>
        <w:tc>
          <w:tcPr>
            <w:tcW w:type="dxa" w:w="2664"/>
            <w:vAlign w:val="top"/>
          </w:tcPr>
          <w:p>
            <w:pPr>
              <w:spacing w:before="0" w:after="20" w:line="240" w:lineRule="auto"/>
            </w:pPr>
            <w:r/>
            <w:r>
              <w:rPr>
                <w:rFonts w:ascii="Calibri" w:hAnsi="Calibri"/>
                <w:b w:val="0"/>
                <w:color w:val="1F1F1F"/>
                <w:sz w:val="13"/>
              </w:rPr>
              <w:t>ADTTE PARAMCD='TTPAIN'</w:t>
            </w:r>
          </w:p>
        </w:tc>
      </w:tr>
      <w:tr>
        <w:tc>
          <w:tcPr>
            <w:tcW w:type="dxa" w:w="2376"/>
            <w:vAlign w:val="top"/>
          </w:tcPr>
          <w:p>
            <w:pPr>
              <w:spacing w:before="0" w:after="20" w:line="240" w:lineRule="auto"/>
            </w:pPr>
            <w:r/>
            <w:r>
              <w:rPr>
                <w:rFonts w:ascii="Calibri" w:hAnsi="Calibri"/>
                <w:b w:val="0"/>
                <w:color w:val="1F1F1F"/>
                <w:sz w:val="13"/>
              </w:rPr>
              <w:t>Median TTPAIN - MP</w:t>
            </w:r>
          </w:p>
        </w:tc>
        <w:tc>
          <w:tcPr>
            <w:tcW w:type="dxa" w:w="2880"/>
            <w:vAlign w:val="top"/>
          </w:tcPr>
          <w:p>
            <w:pPr>
              <w:spacing w:before="0" w:after="20" w:line="240" w:lineRule="auto"/>
            </w:pPr>
            <w:r/>
            <w:r>
              <w:rPr>
                <w:rFonts w:ascii="Calibri" w:hAnsi="Calibri"/>
                <w:b w:val="0"/>
                <w:color w:val="1F1F1F"/>
                <w:sz w:val="13"/>
              </w:rPr>
              <w:t>Not reached</w:t>
            </w:r>
          </w:p>
        </w:tc>
        <w:tc>
          <w:tcPr>
            <w:tcW w:type="dxa" w:w="1440"/>
            <w:vAlign w:val="top"/>
          </w:tcPr>
          <w:p>
            <w:pPr>
              <w:spacing w:before="0" w:after="20" w:line="240" w:lineRule="auto"/>
            </w:pPr>
            <w:r/>
            <w:r>
              <w:rPr>
                <w:rFonts w:ascii="Calibri" w:hAnsi="Calibri"/>
                <w:b w:val="0"/>
                <w:color w:val="1F1F1F"/>
                <w:sz w:val="13"/>
              </w:rPr>
              <w:t>N/A</w:t>
            </w:r>
          </w:p>
        </w:tc>
        <w:tc>
          <w:tcPr>
            <w:tcW w:type="dxa" w:w="2664"/>
            <w:vAlign w:val="top"/>
          </w:tcPr>
          <w:p>
            <w:pPr>
              <w:spacing w:before="0" w:after="20" w:line="240" w:lineRule="auto"/>
            </w:pPr>
            <w:r/>
            <w:r>
              <w:rPr>
                <w:rFonts w:ascii="Calibri" w:hAnsi="Calibri"/>
                <w:b w:val="0"/>
                <w:color w:val="1F1F1F"/>
                <w:sz w:val="13"/>
              </w:rPr>
              <w:t>ADTTE PARAMCD='TTPAIN'</w:t>
            </w:r>
          </w:p>
        </w:tc>
      </w:tr>
      <w:tr>
        <w:tc>
          <w:tcPr>
            <w:tcW w:type="dxa" w:w="2376"/>
            <w:vAlign w:val="top"/>
          </w:tcPr>
          <w:p>
            <w:pPr>
              <w:spacing w:before="0" w:after="20" w:line="240" w:lineRule="auto"/>
            </w:pPr>
            <w:r/>
            <w:r>
              <w:rPr>
                <w:rFonts w:ascii="Calibri" w:hAnsi="Calibri"/>
                <w:b w:val="0"/>
                <w:color w:val="1F1F1F"/>
                <w:sz w:val="13"/>
              </w:rPr>
              <w:t>TTPAIN HR</w:t>
            </w:r>
          </w:p>
        </w:tc>
        <w:tc>
          <w:tcPr>
            <w:tcW w:type="dxa" w:w="2880"/>
            <w:vAlign w:val="top"/>
          </w:tcPr>
          <w:p>
            <w:pPr>
              <w:spacing w:before="0" w:after="20" w:line="240" w:lineRule="auto"/>
            </w:pPr>
            <w:r/>
            <w:r>
              <w:rPr>
                <w:rFonts w:ascii="Calibri" w:hAnsi="Calibri"/>
                <w:b w:val="0"/>
                <w:color w:val="1F1F1F"/>
                <w:sz w:val="13"/>
              </w:rPr>
              <w:t>0.91 (0.69-1.19)</w:t>
            </w:r>
          </w:p>
        </w:tc>
        <w:tc>
          <w:tcPr>
            <w:tcW w:type="dxa" w:w="1440"/>
            <w:vAlign w:val="top"/>
          </w:tcPr>
          <w:p>
            <w:pPr>
              <w:spacing w:before="0" w:after="20" w:line="240" w:lineRule="auto"/>
            </w:pPr>
            <w:r/>
            <w:r>
              <w:rPr>
                <w:rFonts w:ascii="Calibri" w:hAnsi="Calibri"/>
                <w:b w:val="0"/>
                <w:color w:val="1F1F1F"/>
                <w:sz w:val="13"/>
              </w:rPr>
              <w:t>+/-0.02</w:t>
            </w:r>
          </w:p>
        </w:tc>
        <w:tc>
          <w:tcPr>
            <w:tcW w:type="dxa" w:w="2664"/>
            <w:vAlign w:val="top"/>
          </w:tcPr>
          <w:p>
            <w:pPr>
              <w:spacing w:before="0" w:after="20" w:line="240" w:lineRule="auto"/>
            </w:pPr>
            <w:r/>
            <w:r>
              <w:rPr>
                <w:rFonts w:ascii="Calibri" w:hAnsi="Calibri"/>
                <w:b w:val="0"/>
                <w:color w:val="1F1F1F"/>
                <w:sz w:val="13"/>
              </w:rPr>
              <w:t>ADTTE + Cox PH</w:t>
            </w:r>
          </w:p>
        </w:tc>
      </w:tr>
      <w:tr>
        <w:tc>
          <w:tcPr>
            <w:tcW w:type="dxa" w:w="2376"/>
            <w:vAlign w:val="top"/>
          </w:tcPr>
          <w:p>
            <w:pPr>
              <w:spacing w:before="0" w:after="20" w:line="240" w:lineRule="auto"/>
            </w:pPr>
            <w:r/>
            <w:r>
              <w:rPr>
                <w:rFonts w:ascii="Calibri" w:hAnsi="Calibri"/>
                <w:b w:val="0"/>
                <w:color w:val="1F1F1F"/>
                <w:sz w:val="13"/>
              </w:rPr>
              <w:t>TTPAIN p-value</w:t>
            </w:r>
          </w:p>
        </w:tc>
        <w:tc>
          <w:tcPr>
            <w:tcW w:type="dxa" w:w="2880"/>
            <w:vAlign w:val="top"/>
          </w:tcPr>
          <w:p>
            <w:pPr>
              <w:spacing w:before="0" w:after="20" w:line="240" w:lineRule="auto"/>
            </w:pPr>
            <w:r/>
            <w:r>
              <w:rPr>
                <w:rFonts w:ascii="Calibri" w:hAnsi="Calibri"/>
                <w:b w:val="0"/>
                <w:color w:val="1F1F1F"/>
                <w:sz w:val="13"/>
              </w:rPr>
              <w:t>0.52 (not significant)</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PSA response rate - CbzP</w:t>
            </w:r>
          </w:p>
        </w:tc>
        <w:tc>
          <w:tcPr>
            <w:tcW w:type="dxa" w:w="2880"/>
            <w:vAlign w:val="top"/>
          </w:tcPr>
          <w:p>
            <w:pPr>
              <w:spacing w:before="0" w:after="20" w:line="240" w:lineRule="auto"/>
            </w:pPr>
            <w:r/>
            <w:r>
              <w:rPr>
                <w:rFonts w:ascii="Calibri" w:hAnsi="Calibri"/>
                <w:b w:val="0"/>
                <w:color w:val="1F1F1F"/>
                <w:sz w:val="13"/>
              </w:rPr>
              <w:t>39.2% (33.9-44.5)</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ADLB PARAMCD='PSAD50'</w:t>
            </w:r>
          </w:p>
        </w:tc>
      </w:tr>
      <w:tr>
        <w:tc>
          <w:tcPr>
            <w:tcW w:type="dxa" w:w="2376"/>
            <w:vAlign w:val="top"/>
          </w:tcPr>
          <w:p>
            <w:pPr>
              <w:spacing w:before="0" w:after="20" w:line="240" w:lineRule="auto"/>
            </w:pPr>
            <w:r/>
            <w:r>
              <w:rPr>
                <w:rFonts w:ascii="Calibri" w:hAnsi="Calibri"/>
                <w:b w:val="0"/>
                <w:color w:val="1F1F1F"/>
                <w:sz w:val="13"/>
              </w:rPr>
              <w:t>PSA response rate - MP</w:t>
            </w:r>
          </w:p>
        </w:tc>
        <w:tc>
          <w:tcPr>
            <w:tcW w:type="dxa" w:w="2880"/>
            <w:vAlign w:val="top"/>
          </w:tcPr>
          <w:p>
            <w:pPr>
              <w:spacing w:before="0" w:after="20" w:line="240" w:lineRule="auto"/>
            </w:pPr>
            <w:r/>
            <w:r>
              <w:rPr>
                <w:rFonts w:ascii="Calibri" w:hAnsi="Calibri"/>
                <w:b w:val="0"/>
                <w:color w:val="1F1F1F"/>
                <w:sz w:val="13"/>
              </w:rPr>
              <w:t>17.8% (13.7-22.0)</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ADLB PARAMCD='PSAD50'</w:t>
            </w:r>
          </w:p>
        </w:tc>
      </w:tr>
      <w:tr>
        <w:tc>
          <w:tcPr>
            <w:tcW w:type="dxa" w:w="2376"/>
            <w:vAlign w:val="top"/>
          </w:tcPr>
          <w:p>
            <w:pPr>
              <w:spacing w:before="0" w:after="20" w:line="240" w:lineRule="auto"/>
            </w:pPr>
            <w:r/>
            <w:r>
              <w:rPr>
                <w:rFonts w:ascii="Calibri" w:hAnsi="Calibri"/>
                <w:b w:val="0"/>
                <w:color w:val="1F1F1F"/>
                <w:sz w:val="13"/>
              </w:rPr>
              <w:t>PSA response p-value</w:t>
            </w:r>
          </w:p>
        </w:tc>
        <w:tc>
          <w:tcPr>
            <w:tcW w:type="dxa" w:w="2880"/>
            <w:vAlign w:val="top"/>
          </w:tcPr>
          <w:p>
            <w:pPr>
              <w:spacing w:before="0" w:after="20" w:line="240" w:lineRule="auto"/>
            </w:pPr>
            <w:r/>
            <w:r>
              <w:rPr>
                <w:rFonts w:ascii="Calibri" w:hAnsi="Calibri"/>
                <w:b w:val="0"/>
                <w:color w:val="1F1F1F"/>
                <w:sz w:val="13"/>
              </w:rPr>
              <w:t>0.0002</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ORR (RECIST) - CbzP</w:t>
            </w:r>
          </w:p>
        </w:tc>
        <w:tc>
          <w:tcPr>
            <w:tcW w:type="dxa" w:w="2880"/>
            <w:vAlign w:val="top"/>
          </w:tcPr>
          <w:p>
            <w:pPr>
              <w:spacing w:before="0" w:after="20" w:line="240" w:lineRule="auto"/>
            </w:pPr>
            <w:r/>
            <w:r>
              <w:rPr>
                <w:rFonts w:ascii="Calibri" w:hAnsi="Calibri"/>
                <w:b w:val="0"/>
                <w:color w:val="1F1F1F"/>
                <w:sz w:val="13"/>
              </w:rPr>
              <w:t>14.4% (9.6-19.3)</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ADRS PARAMCD='OBJRESP'</w:t>
            </w:r>
          </w:p>
        </w:tc>
      </w:tr>
      <w:tr>
        <w:tc>
          <w:tcPr>
            <w:tcW w:type="dxa" w:w="2376"/>
            <w:vAlign w:val="top"/>
          </w:tcPr>
          <w:p>
            <w:pPr>
              <w:spacing w:before="0" w:after="20" w:line="240" w:lineRule="auto"/>
            </w:pPr>
            <w:r/>
            <w:r>
              <w:rPr>
                <w:rFonts w:ascii="Calibri" w:hAnsi="Calibri"/>
                <w:b w:val="0"/>
                <w:color w:val="1F1F1F"/>
                <w:sz w:val="13"/>
              </w:rPr>
              <w:t>ORR (RECIST) - MP</w:t>
            </w:r>
          </w:p>
        </w:tc>
        <w:tc>
          <w:tcPr>
            <w:tcW w:type="dxa" w:w="2880"/>
            <w:vAlign w:val="top"/>
          </w:tcPr>
          <w:p>
            <w:pPr>
              <w:spacing w:before="0" w:after="20" w:line="240" w:lineRule="auto"/>
            </w:pPr>
            <w:r/>
            <w:r>
              <w:rPr>
                <w:rFonts w:ascii="Calibri" w:hAnsi="Calibri"/>
                <w:b w:val="0"/>
                <w:color w:val="1F1F1F"/>
                <w:sz w:val="13"/>
              </w:rPr>
              <w:t>4.4% (1.6-7.2)</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ADRS PARAMCD='OBJRESP'</w:t>
            </w:r>
          </w:p>
        </w:tc>
      </w:tr>
      <w:tr>
        <w:tc>
          <w:tcPr>
            <w:tcW w:type="dxa" w:w="2376"/>
            <w:vAlign w:val="top"/>
          </w:tcPr>
          <w:p>
            <w:pPr>
              <w:spacing w:before="0" w:after="20" w:line="240" w:lineRule="auto"/>
            </w:pPr>
            <w:r/>
            <w:r>
              <w:rPr>
                <w:rFonts w:ascii="Calibri" w:hAnsi="Calibri"/>
                <w:b w:val="0"/>
                <w:color w:val="1F1F1F"/>
                <w:sz w:val="13"/>
              </w:rPr>
              <w:t>ORR p-value</w:t>
            </w:r>
          </w:p>
        </w:tc>
        <w:tc>
          <w:tcPr>
            <w:tcW w:type="dxa" w:w="2880"/>
            <w:vAlign w:val="top"/>
          </w:tcPr>
          <w:p>
            <w:pPr>
              <w:spacing w:before="0" w:after="20" w:line="240" w:lineRule="auto"/>
            </w:pPr>
            <w:r/>
            <w:r>
              <w:rPr>
                <w:rFonts w:ascii="Calibri" w:hAnsi="Calibri"/>
                <w:b w:val="0"/>
                <w:color w:val="1F1F1F"/>
                <w:sz w:val="13"/>
              </w:rPr>
              <w:t>0.0005</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Pain response rate - CbzP</w:t>
            </w:r>
          </w:p>
        </w:tc>
        <w:tc>
          <w:tcPr>
            <w:tcW w:type="dxa" w:w="2880"/>
            <w:vAlign w:val="top"/>
          </w:tcPr>
          <w:p>
            <w:pPr>
              <w:spacing w:before="0" w:after="20" w:line="240" w:lineRule="auto"/>
            </w:pPr>
            <w:r/>
            <w:r>
              <w:rPr>
                <w:rFonts w:ascii="Calibri" w:hAnsi="Calibri"/>
                <w:b w:val="0"/>
                <w:color w:val="1F1F1F"/>
                <w:sz w:val="13"/>
              </w:rPr>
              <w:t>9.2% (4.9-13.5)</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ADRS PARAMCD='PAINRESP'</w:t>
            </w:r>
          </w:p>
        </w:tc>
      </w:tr>
      <w:tr>
        <w:tc>
          <w:tcPr>
            <w:tcW w:type="dxa" w:w="2376"/>
            <w:vAlign w:val="top"/>
          </w:tcPr>
          <w:p>
            <w:pPr>
              <w:spacing w:before="0" w:after="20" w:line="240" w:lineRule="auto"/>
            </w:pPr>
            <w:r/>
            <w:r>
              <w:rPr>
                <w:rFonts w:ascii="Calibri" w:hAnsi="Calibri"/>
                <w:b w:val="0"/>
                <w:color w:val="1F1F1F"/>
                <w:sz w:val="13"/>
              </w:rPr>
              <w:t>Pain response rate - MP</w:t>
            </w:r>
          </w:p>
        </w:tc>
        <w:tc>
          <w:tcPr>
            <w:tcW w:type="dxa" w:w="2880"/>
            <w:vAlign w:val="top"/>
          </w:tcPr>
          <w:p>
            <w:pPr>
              <w:spacing w:before="0" w:after="20" w:line="240" w:lineRule="auto"/>
            </w:pPr>
            <w:r/>
            <w:r>
              <w:rPr>
                <w:rFonts w:ascii="Calibri" w:hAnsi="Calibri"/>
                <w:b w:val="0"/>
                <w:color w:val="1F1F1F"/>
                <w:sz w:val="13"/>
              </w:rPr>
              <w:t>7.7% (3.7-11.8)</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ADRS PARAMCD='PAINRESP'</w:t>
            </w:r>
          </w:p>
        </w:tc>
      </w:tr>
      <w:tr>
        <w:tc>
          <w:tcPr>
            <w:tcW w:type="dxa" w:w="2376"/>
            <w:vAlign w:val="top"/>
          </w:tcPr>
          <w:p>
            <w:pPr>
              <w:spacing w:before="0" w:after="20" w:line="240" w:lineRule="auto"/>
            </w:pPr>
            <w:r/>
            <w:r>
              <w:rPr>
                <w:rFonts w:ascii="Calibri" w:hAnsi="Calibri"/>
                <w:b w:val="0"/>
                <w:color w:val="1F1F1F"/>
                <w:sz w:val="13"/>
              </w:rPr>
              <w:t>Pain response p-value</w:t>
            </w:r>
          </w:p>
        </w:tc>
        <w:tc>
          <w:tcPr>
            <w:tcW w:type="dxa" w:w="2880"/>
            <w:vAlign w:val="top"/>
          </w:tcPr>
          <w:p>
            <w:pPr>
              <w:spacing w:before="0" w:after="20" w:line="240" w:lineRule="auto"/>
            </w:pPr>
            <w:r/>
            <w:r>
              <w:rPr>
                <w:rFonts w:ascii="Calibri" w:hAnsi="Calibri"/>
                <w:b w:val="0"/>
                <w:color w:val="1F1F1F"/>
                <w:sz w:val="13"/>
              </w:rPr>
              <w:t>0.63 (not significant)</w:t>
            </w:r>
          </w:p>
        </w:tc>
        <w:tc>
          <w:tcPr>
            <w:tcW w:type="dxa" w:w="1440"/>
            <w:vAlign w:val="top"/>
          </w:tcPr>
          <w:p>
            <w:pPr>
              <w:spacing w:before="0" w:after="20" w:line="240" w:lineRule="auto"/>
            </w:pPr>
            <w:r/>
            <w:r>
              <w:rPr>
                <w:rFonts w:ascii="Calibri" w:hAnsi="Calibri"/>
                <w:b w:val="0"/>
                <w:color w:val="1F1F1F"/>
                <w:sz w:val="13"/>
              </w:rPr>
              <w:t>-</w:t>
            </w:r>
          </w:p>
        </w:tc>
        <w:tc>
          <w:tcPr>
            <w:tcW w:type="dxa" w:w="2664"/>
            <w:vAlign w:val="top"/>
          </w:tcPr>
          <w:p>
            <w:pPr>
              <w:spacing w:before="0" w:after="20" w:line="240" w:lineRule="auto"/>
            </w:pPr>
            <w:r/>
            <w:r>
              <w:rPr>
                <w:rFonts w:ascii="Calibri" w:hAnsi="Calibri"/>
                <w:b w:val="0"/>
                <w:color w:val="1F1F1F"/>
                <w:sz w:val="13"/>
              </w:rPr>
              <w:t>-</w:t>
            </w:r>
          </w:p>
        </w:tc>
      </w:tr>
      <w:tr>
        <w:tc>
          <w:tcPr>
            <w:tcW w:type="dxa" w:w="2376"/>
            <w:vAlign w:val="top"/>
          </w:tcPr>
          <w:p>
            <w:pPr>
              <w:spacing w:before="0" w:after="20" w:line="240" w:lineRule="auto"/>
            </w:pPr>
            <w:r/>
            <w:r>
              <w:rPr>
                <w:rFonts w:ascii="Calibri" w:hAnsi="Calibri"/>
                <w:b w:val="0"/>
                <w:color w:val="1F1F1F"/>
                <w:sz w:val="13"/>
              </w:rPr>
              <w:t>Grade &gt;=3 neutropenia - CbzP</w:t>
            </w:r>
          </w:p>
        </w:tc>
        <w:tc>
          <w:tcPr>
            <w:tcW w:type="dxa" w:w="2880"/>
            <w:vAlign w:val="top"/>
          </w:tcPr>
          <w:p>
            <w:pPr>
              <w:spacing w:before="0" w:after="20" w:line="240" w:lineRule="auto"/>
            </w:pPr>
            <w:r/>
            <w:r>
              <w:rPr>
                <w:rFonts w:ascii="Calibri" w:hAnsi="Calibri"/>
                <w:b w:val="0"/>
                <w:color w:val="1F1F1F"/>
                <w:sz w:val="13"/>
              </w:rPr>
              <w:t>82% (303/371)</w:t>
            </w:r>
          </w:p>
        </w:tc>
        <w:tc>
          <w:tcPr>
            <w:tcW w:type="dxa" w:w="1440"/>
            <w:vAlign w:val="top"/>
          </w:tcPr>
          <w:p>
            <w:pPr>
              <w:spacing w:before="0" w:after="20" w:line="240" w:lineRule="auto"/>
            </w:pPr>
            <w:r/>
            <w:r>
              <w:rPr>
                <w:rFonts w:ascii="Calibri" w:hAnsi="Calibri"/>
                <w:b w:val="0"/>
                <w:color w:val="1F1F1F"/>
                <w:sz w:val="13"/>
              </w:rPr>
              <w:t>+/-2%</w:t>
            </w:r>
          </w:p>
        </w:tc>
        <w:tc>
          <w:tcPr>
            <w:tcW w:type="dxa" w:w="2664"/>
            <w:vAlign w:val="top"/>
          </w:tcPr>
          <w:p>
            <w:pPr>
              <w:spacing w:before="0" w:after="20" w:line="240" w:lineRule="auto"/>
            </w:pPr>
            <w:r/>
            <w:r>
              <w:rPr>
                <w:rFonts w:ascii="Calibri" w:hAnsi="Calibri"/>
                <w:b w:val="0"/>
                <w:color w:val="1F1F1F"/>
                <w:sz w:val="13"/>
              </w:rPr>
              <w:t>ADLB (lab-based)</w:t>
            </w:r>
          </w:p>
        </w:tc>
      </w:tr>
      <w:tr>
        <w:tc>
          <w:tcPr>
            <w:tcW w:type="dxa" w:w="2376"/>
            <w:vAlign w:val="top"/>
          </w:tcPr>
          <w:p>
            <w:pPr>
              <w:spacing w:before="0" w:after="20" w:line="240" w:lineRule="auto"/>
            </w:pPr>
            <w:r/>
            <w:r>
              <w:rPr>
                <w:rFonts w:ascii="Calibri" w:hAnsi="Calibri"/>
                <w:b w:val="0"/>
                <w:color w:val="1F1F1F"/>
                <w:sz w:val="13"/>
              </w:rPr>
              <w:t>Grade &gt;=3 neutropenia - MP</w:t>
            </w:r>
          </w:p>
        </w:tc>
        <w:tc>
          <w:tcPr>
            <w:tcW w:type="dxa" w:w="2880"/>
            <w:vAlign w:val="top"/>
          </w:tcPr>
          <w:p>
            <w:pPr>
              <w:spacing w:before="0" w:after="20" w:line="240" w:lineRule="auto"/>
            </w:pPr>
            <w:r/>
            <w:r>
              <w:rPr>
                <w:rFonts w:ascii="Calibri" w:hAnsi="Calibri"/>
                <w:b w:val="0"/>
                <w:color w:val="1F1F1F"/>
                <w:sz w:val="13"/>
              </w:rPr>
              <w:t>58% (215/371)</w:t>
            </w:r>
          </w:p>
        </w:tc>
        <w:tc>
          <w:tcPr>
            <w:tcW w:type="dxa" w:w="1440"/>
            <w:vAlign w:val="top"/>
          </w:tcPr>
          <w:p>
            <w:pPr>
              <w:spacing w:before="0" w:after="20" w:line="240" w:lineRule="auto"/>
            </w:pPr>
            <w:r/>
            <w:r>
              <w:rPr>
                <w:rFonts w:ascii="Calibri" w:hAnsi="Calibri"/>
                <w:b w:val="0"/>
                <w:color w:val="1F1F1F"/>
                <w:sz w:val="13"/>
              </w:rPr>
              <w:t>+/-2%</w:t>
            </w:r>
          </w:p>
        </w:tc>
        <w:tc>
          <w:tcPr>
            <w:tcW w:type="dxa" w:w="2664"/>
            <w:vAlign w:val="top"/>
          </w:tcPr>
          <w:p>
            <w:pPr>
              <w:spacing w:before="0" w:after="20" w:line="240" w:lineRule="auto"/>
            </w:pPr>
            <w:r/>
            <w:r>
              <w:rPr>
                <w:rFonts w:ascii="Calibri" w:hAnsi="Calibri"/>
                <w:b w:val="0"/>
                <w:color w:val="1F1F1F"/>
                <w:sz w:val="13"/>
              </w:rPr>
              <w:t>ADLB (lab-based)</w:t>
            </w:r>
          </w:p>
        </w:tc>
      </w:tr>
      <w:tr>
        <w:tc>
          <w:tcPr>
            <w:tcW w:type="dxa" w:w="2376"/>
            <w:vAlign w:val="top"/>
          </w:tcPr>
          <w:p>
            <w:pPr>
              <w:spacing w:before="0" w:after="20" w:line="240" w:lineRule="auto"/>
            </w:pPr>
            <w:r/>
            <w:r>
              <w:rPr>
                <w:rFonts w:ascii="Calibri" w:hAnsi="Calibri"/>
                <w:b w:val="0"/>
                <w:color w:val="1F1F1F"/>
                <w:sz w:val="13"/>
              </w:rPr>
              <w:t>Febrile neutropenia G&gt;=3 - CbzP</w:t>
            </w:r>
          </w:p>
        </w:tc>
        <w:tc>
          <w:tcPr>
            <w:tcW w:type="dxa" w:w="2880"/>
            <w:vAlign w:val="top"/>
          </w:tcPr>
          <w:p>
            <w:pPr>
              <w:spacing w:before="0" w:after="20" w:line="240" w:lineRule="auto"/>
            </w:pPr>
            <w:r/>
            <w:r>
              <w:rPr>
                <w:rFonts w:ascii="Calibri" w:hAnsi="Calibri"/>
                <w:b w:val="0"/>
                <w:color w:val="1F1F1F"/>
                <w:sz w:val="13"/>
              </w:rPr>
              <w:t>8% (28/371)</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Febrile neutropenia G&gt;=3 - MP</w:t>
            </w:r>
          </w:p>
        </w:tc>
        <w:tc>
          <w:tcPr>
            <w:tcW w:type="dxa" w:w="2880"/>
            <w:vAlign w:val="top"/>
          </w:tcPr>
          <w:p>
            <w:pPr>
              <w:spacing w:before="0" w:after="20" w:line="240" w:lineRule="auto"/>
            </w:pPr>
            <w:r/>
            <w:r>
              <w:rPr>
                <w:rFonts w:ascii="Calibri" w:hAnsi="Calibri"/>
                <w:b w:val="0"/>
                <w:color w:val="1F1F1F"/>
                <w:sz w:val="13"/>
              </w:rPr>
              <w:t>1% (5/371)</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Grade &gt;=3 diarrhoea - CbzP</w:t>
            </w:r>
          </w:p>
        </w:tc>
        <w:tc>
          <w:tcPr>
            <w:tcW w:type="dxa" w:w="2880"/>
            <w:vAlign w:val="top"/>
          </w:tcPr>
          <w:p>
            <w:pPr>
              <w:spacing w:before="0" w:after="20" w:line="240" w:lineRule="auto"/>
            </w:pPr>
            <w:r/>
            <w:r>
              <w:rPr>
                <w:rFonts w:ascii="Calibri" w:hAnsi="Calibri"/>
                <w:b w:val="0"/>
                <w:color w:val="1F1F1F"/>
                <w:sz w:val="13"/>
              </w:rPr>
              <w:t>6% (23/371)</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Any grade peripheral neuropathy - CbzP</w:t>
            </w:r>
          </w:p>
        </w:tc>
        <w:tc>
          <w:tcPr>
            <w:tcW w:type="dxa" w:w="2880"/>
            <w:vAlign w:val="top"/>
          </w:tcPr>
          <w:p>
            <w:pPr>
              <w:spacing w:before="0" w:after="20" w:line="240" w:lineRule="auto"/>
            </w:pPr>
            <w:r/>
            <w:r>
              <w:rPr>
                <w:rFonts w:ascii="Calibri" w:hAnsi="Calibri"/>
                <w:b w:val="0"/>
                <w:color w:val="1F1F1F"/>
                <w:sz w:val="13"/>
              </w:rPr>
              <w:t>14% (52/371)</w:t>
            </w:r>
          </w:p>
        </w:tc>
        <w:tc>
          <w:tcPr>
            <w:tcW w:type="dxa" w:w="1440"/>
            <w:vAlign w:val="top"/>
          </w:tcPr>
          <w:p>
            <w:pPr>
              <w:spacing w:before="0" w:after="20" w:line="240" w:lineRule="auto"/>
            </w:pPr>
            <w:r/>
            <w:r>
              <w:rPr>
                <w:rFonts w:ascii="Calibri" w:hAnsi="Calibri"/>
                <w:b w:val="0"/>
                <w:color w:val="1F1F1F"/>
                <w:sz w:val="13"/>
              </w:rPr>
              <w:t>+/-1%</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Total deaths in study - CbzP (safety)</w:t>
            </w:r>
          </w:p>
        </w:tc>
        <w:tc>
          <w:tcPr>
            <w:tcW w:type="dxa" w:w="2880"/>
            <w:vAlign w:val="top"/>
          </w:tcPr>
          <w:p>
            <w:pPr>
              <w:spacing w:before="0" w:after="20" w:line="240" w:lineRule="auto"/>
            </w:pPr>
            <w:r/>
            <w:r>
              <w:rPr>
                <w:rFonts w:ascii="Calibri" w:hAnsi="Calibri"/>
                <w:b w:val="0"/>
                <w:color w:val="1F1F1F"/>
                <w:sz w:val="13"/>
              </w:rPr>
              <w:t>227 (61%)</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ADSL + Table 5</w:t>
            </w:r>
          </w:p>
        </w:tc>
      </w:tr>
      <w:tr>
        <w:tc>
          <w:tcPr>
            <w:tcW w:type="dxa" w:w="2376"/>
            <w:vAlign w:val="top"/>
          </w:tcPr>
          <w:p>
            <w:pPr>
              <w:spacing w:before="0" w:after="20" w:line="240" w:lineRule="auto"/>
            </w:pPr>
            <w:r/>
            <w:r>
              <w:rPr>
                <w:rFonts w:ascii="Calibri" w:hAnsi="Calibri"/>
                <w:b w:val="0"/>
                <w:color w:val="1F1F1F"/>
                <w:sz w:val="13"/>
              </w:rPr>
              <w:t>Total deaths in study - MP (safety)</w:t>
            </w:r>
          </w:p>
        </w:tc>
        <w:tc>
          <w:tcPr>
            <w:tcW w:type="dxa" w:w="2880"/>
            <w:vAlign w:val="top"/>
          </w:tcPr>
          <w:p>
            <w:pPr>
              <w:spacing w:before="0" w:after="20" w:line="240" w:lineRule="auto"/>
            </w:pPr>
            <w:r/>
            <w:r>
              <w:rPr>
                <w:rFonts w:ascii="Calibri" w:hAnsi="Calibri"/>
                <w:b w:val="0"/>
                <w:color w:val="1F1F1F"/>
                <w:sz w:val="13"/>
              </w:rPr>
              <w:t>275 (74%)</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ADSL + Table 5</w:t>
            </w:r>
          </w:p>
        </w:tc>
      </w:tr>
      <w:tr>
        <w:tc>
          <w:tcPr>
            <w:tcW w:type="dxa" w:w="2376"/>
            <w:vAlign w:val="top"/>
          </w:tcPr>
          <w:p>
            <w:pPr>
              <w:spacing w:before="0" w:after="20" w:line="240" w:lineRule="auto"/>
            </w:pPr>
            <w:r/>
            <w:r>
              <w:rPr>
                <w:rFonts w:ascii="Calibri" w:hAnsi="Calibri"/>
                <w:b w:val="0"/>
                <w:color w:val="1F1F1F"/>
                <w:sz w:val="13"/>
              </w:rPr>
              <w:t>Deaths &lt;=30d - CbzP (safety)</w:t>
            </w:r>
          </w:p>
        </w:tc>
        <w:tc>
          <w:tcPr>
            <w:tcW w:type="dxa" w:w="2880"/>
            <w:vAlign w:val="top"/>
          </w:tcPr>
          <w:p>
            <w:pPr>
              <w:spacing w:before="0" w:after="20" w:line="240" w:lineRule="auto"/>
            </w:pPr>
            <w:r/>
            <w:r>
              <w:rPr>
                <w:rFonts w:ascii="Calibri" w:hAnsi="Calibri"/>
                <w:b w:val="0"/>
                <w:color w:val="1F1F1F"/>
                <w:sz w:val="13"/>
              </w:rPr>
              <w:t>18 (5%)</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Deaths &lt;=30d - MP (safety)</w:t>
            </w:r>
          </w:p>
        </w:tc>
        <w:tc>
          <w:tcPr>
            <w:tcW w:type="dxa" w:w="2880"/>
            <w:vAlign w:val="top"/>
          </w:tcPr>
          <w:p>
            <w:pPr>
              <w:spacing w:before="0" w:after="20" w:line="240" w:lineRule="auto"/>
            </w:pPr>
            <w:r/>
            <w:r>
              <w:rPr>
                <w:rFonts w:ascii="Calibri" w:hAnsi="Calibri"/>
                <w:b w:val="0"/>
                <w:color w:val="1F1F1F"/>
                <w:sz w:val="13"/>
              </w:rPr>
              <w:t>9 (2%)</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ADAE</w:t>
            </w:r>
          </w:p>
        </w:tc>
      </w:tr>
      <w:tr>
        <w:tc>
          <w:tcPr>
            <w:tcW w:type="dxa" w:w="2376"/>
            <w:vAlign w:val="top"/>
          </w:tcPr>
          <w:p>
            <w:pPr>
              <w:spacing w:before="0" w:after="20" w:line="240" w:lineRule="auto"/>
            </w:pPr>
            <w:r/>
            <w:r>
              <w:rPr>
                <w:rFonts w:ascii="Calibri" w:hAnsi="Calibri"/>
                <w:b w:val="0"/>
                <w:color w:val="1F1F1F"/>
                <w:sz w:val="13"/>
              </w:rPr>
              <w:t>Median cycles - CbzP</w:t>
            </w:r>
          </w:p>
        </w:tc>
        <w:tc>
          <w:tcPr>
            <w:tcW w:type="dxa" w:w="2880"/>
            <w:vAlign w:val="top"/>
          </w:tcPr>
          <w:p>
            <w:pPr>
              <w:spacing w:before="0" w:after="20" w:line="240" w:lineRule="auto"/>
            </w:pPr>
            <w:r/>
            <w:r>
              <w:rPr>
                <w:rFonts w:ascii="Calibri" w:hAnsi="Calibri"/>
                <w:b w:val="0"/>
                <w:color w:val="1F1F1F"/>
                <w:sz w:val="13"/>
              </w:rPr>
              <w:t>6 (IQR 3-10)</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ADEX PARAMCD='NCYCLE'</w:t>
            </w:r>
          </w:p>
        </w:tc>
      </w:tr>
      <w:tr>
        <w:tc>
          <w:tcPr>
            <w:tcW w:type="dxa" w:w="2376"/>
            <w:vAlign w:val="top"/>
          </w:tcPr>
          <w:p>
            <w:pPr>
              <w:spacing w:before="0" w:after="20" w:line="240" w:lineRule="auto"/>
            </w:pPr>
            <w:r/>
            <w:r>
              <w:rPr>
                <w:rFonts w:ascii="Calibri" w:hAnsi="Calibri"/>
                <w:b w:val="0"/>
                <w:color w:val="1F1F1F"/>
                <w:sz w:val="13"/>
              </w:rPr>
              <w:t>Median cycles - MP</w:t>
            </w:r>
          </w:p>
        </w:tc>
        <w:tc>
          <w:tcPr>
            <w:tcW w:type="dxa" w:w="2880"/>
            <w:vAlign w:val="top"/>
          </w:tcPr>
          <w:p>
            <w:pPr>
              <w:spacing w:before="0" w:after="20" w:line="240" w:lineRule="auto"/>
            </w:pPr>
            <w:r/>
            <w:r>
              <w:rPr>
                <w:rFonts w:ascii="Calibri" w:hAnsi="Calibri"/>
                <w:b w:val="0"/>
                <w:color w:val="1F1F1F"/>
                <w:sz w:val="13"/>
              </w:rPr>
              <w:t>4 (IQR 2-7)</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ADEX PARAMCD='NCYCLE'</w:t>
            </w:r>
          </w:p>
        </w:tc>
      </w:tr>
      <w:tr>
        <w:tc>
          <w:tcPr>
            <w:tcW w:type="dxa" w:w="2376"/>
            <w:vAlign w:val="top"/>
          </w:tcPr>
          <w:p>
            <w:pPr>
              <w:spacing w:before="0" w:after="20" w:line="240" w:lineRule="auto"/>
            </w:pPr>
            <w:r/>
            <w:r>
              <w:rPr>
                <w:rFonts w:ascii="Calibri" w:hAnsi="Calibri"/>
                <w:b w:val="0"/>
                <w:color w:val="1F1F1F"/>
                <w:sz w:val="13"/>
              </w:rPr>
              <w:t>Median RDI - CbzP</w:t>
            </w:r>
          </w:p>
        </w:tc>
        <w:tc>
          <w:tcPr>
            <w:tcW w:type="dxa" w:w="2880"/>
            <w:vAlign w:val="top"/>
          </w:tcPr>
          <w:p>
            <w:pPr>
              <w:spacing w:before="0" w:after="20" w:line="240" w:lineRule="auto"/>
            </w:pPr>
            <w:r/>
            <w:r>
              <w:rPr>
                <w:rFonts w:ascii="Calibri" w:hAnsi="Calibri"/>
                <w:b w:val="0"/>
                <w:color w:val="1F1F1F"/>
                <w:sz w:val="13"/>
              </w:rPr>
              <w:t>96.1% (IQR 90.1-98.9)</w:t>
            </w:r>
          </w:p>
        </w:tc>
        <w:tc>
          <w:tcPr>
            <w:tcW w:type="dxa" w:w="1440"/>
            <w:vAlign w:val="top"/>
          </w:tcPr>
          <w:p>
            <w:pPr>
              <w:spacing w:before="0" w:after="20" w:line="240" w:lineRule="auto"/>
            </w:pPr>
            <w:r/>
            <w:r>
              <w:rPr>
                <w:rFonts w:ascii="Calibri" w:hAnsi="Calibri"/>
                <w:b w:val="0"/>
                <w:color w:val="1F1F1F"/>
                <w:sz w:val="13"/>
              </w:rPr>
              <w:t>+/-0.5%</w:t>
            </w:r>
          </w:p>
        </w:tc>
        <w:tc>
          <w:tcPr>
            <w:tcW w:type="dxa" w:w="2664"/>
            <w:vAlign w:val="top"/>
          </w:tcPr>
          <w:p>
            <w:pPr>
              <w:spacing w:before="0" w:after="20" w:line="240" w:lineRule="auto"/>
            </w:pPr>
            <w:r/>
            <w:r>
              <w:rPr>
                <w:rFonts w:ascii="Calibri" w:hAnsi="Calibri"/>
                <w:b w:val="0"/>
                <w:color w:val="1F1F1F"/>
                <w:sz w:val="13"/>
              </w:rPr>
              <w:t>ADEX PARAMCD='RDI'</w:t>
            </w:r>
          </w:p>
        </w:tc>
      </w:tr>
      <w:tr>
        <w:tc>
          <w:tcPr>
            <w:tcW w:type="dxa" w:w="2376"/>
            <w:vAlign w:val="top"/>
          </w:tcPr>
          <w:p>
            <w:pPr>
              <w:spacing w:before="0" w:after="20" w:line="240" w:lineRule="auto"/>
            </w:pPr>
            <w:r/>
            <w:r>
              <w:rPr>
                <w:rFonts w:ascii="Calibri" w:hAnsi="Calibri"/>
                <w:b w:val="0"/>
                <w:color w:val="1F1F1F"/>
                <w:sz w:val="13"/>
              </w:rPr>
              <w:t>Median RDI - MP</w:t>
            </w:r>
          </w:p>
        </w:tc>
        <w:tc>
          <w:tcPr>
            <w:tcW w:type="dxa" w:w="2880"/>
            <w:vAlign w:val="top"/>
          </w:tcPr>
          <w:p>
            <w:pPr>
              <w:spacing w:before="0" w:after="20" w:line="240" w:lineRule="auto"/>
            </w:pPr>
            <w:r/>
            <w:r>
              <w:rPr>
                <w:rFonts w:ascii="Calibri" w:hAnsi="Calibri"/>
                <w:b w:val="0"/>
                <w:color w:val="1F1F1F"/>
                <w:sz w:val="13"/>
              </w:rPr>
              <w:t>97.3% (IQR 92.0-99.3)</w:t>
            </w:r>
          </w:p>
        </w:tc>
        <w:tc>
          <w:tcPr>
            <w:tcW w:type="dxa" w:w="1440"/>
            <w:vAlign w:val="top"/>
          </w:tcPr>
          <w:p>
            <w:pPr>
              <w:spacing w:before="0" w:after="20" w:line="240" w:lineRule="auto"/>
            </w:pPr>
            <w:r/>
            <w:r>
              <w:rPr>
                <w:rFonts w:ascii="Calibri" w:hAnsi="Calibri"/>
                <w:b w:val="0"/>
                <w:color w:val="1F1F1F"/>
                <w:sz w:val="13"/>
              </w:rPr>
              <w:t>+/-0.5%</w:t>
            </w:r>
          </w:p>
        </w:tc>
        <w:tc>
          <w:tcPr>
            <w:tcW w:type="dxa" w:w="2664"/>
            <w:vAlign w:val="top"/>
          </w:tcPr>
          <w:p>
            <w:pPr>
              <w:spacing w:before="0" w:after="20" w:line="240" w:lineRule="auto"/>
            </w:pPr>
            <w:r/>
            <w:r>
              <w:rPr>
                <w:rFonts w:ascii="Calibri" w:hAnsi="Calibri"/>
                <w:b w:val="0"/>
                <w:color w:val="1F1F1F"/>
                <w:sz w:val="13"/>
              </w:rPr>
              <w:t>ADEX PARAMCD='RDI'</w:t>
            </w:r>
          </w:p>
        </w:tc>
      </w:tr>
      <w:tr>
        <w:tc>
          <w:tcPr>
            <w:tcW w:type="dxa" w:w="2376"/>
            <w:vAlign w:val="top"/>
          </w:tcPr>
          <w:p>
            <w:pPr>
              <w:spacing w:before="0" w:after="20" w:line="240" w:lineRule="auto"/>
            </w:pPr>
            <w:r/>
            <w:r>
              <w:rPr>
                <w:rFonts w:ascii="Calibri" w:hAnsi="Calibri"/>
                <w:b w:val="0"/>
                <w:color w:val="1F1F1F"/>
                <w:sz w:val="13"/>
              </w:rPr>
              <w:t>Total cycles - CbzP</w:t>
            </w:r>
          </w:p>
        </w:tc>
        <w:tc>
          <w:tcPr>
            <w:tcW w:type="dxa" w:w="2880"/>
            <w:vAlign w:val="top"/>
          </w:tcPr>
          <w:p>
            <w:pPr>
              <w:spacing w:before="0" w:after="20" w:line="240" w:lineRule="auto"/>
            </w:pPr>
            <w:r/>
            <w:r>
              <w:rPr>
                <w:rFonts w:ascii="Calibri" w:hAnsi="Calibri"/>
                <w:b w:val="0"/>
                <w:color w:val="1F1F1F"/>
                <w:sz w:val="13"/>
              </w:rPr>
              <w:t>2,251</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ADEX cycle count</w:t>
            </w:r>
          </w:p>
        </w:tc>
      </w:tr>
      <w:tr>
        <w:tc>
          <w:tcPr>
            <w:tcW w:type="dxa" w:w="2376"/>
            <w:vAlign w:val="top"/>
          </w:tcPr>
          <w:p>
            <w:pPr>
              <w:spacing w:before="0" w:after="20" w:line="240" w:lineRule="auto"/>
            </w:pPr>
            <w:r/>
            <w:r>
              <w:rPr>
                <w:rFonts w:ascii="Calibri" w:hAnsi="Calibri"/>
                <w:b w:val="0"/>
                <w:color w:val="1F1F1F"/>
                <w:sz w:val="13"/>
              </w:rPr>
              <w:t>Total cycles - MP</w:t>
            </w:r>
          </w:p>
        </w:tc>
        <w:tc>
          <w:tcPr>
            <w:tcW w:type="dxa" w:w="2880"/>
            <w:vAlign w:val="top"/>
          </w:tcPr>
          <w:p>
            <w:pPr>
              <w:spacing w:before="0" w:after="20" w:line="240" w:lineRule="auto"/>
            </w:pPr>
            <w:r/>
            <w:r>
              <w:rPr>
                <w:rFonts w:ascii="Calibri" w:hAnsi="Calibri"/>
                <w:b w:val="0"/>
                <w:color w:val="1F1F1F"/>
                <w:sz w:val="13"/>
              </w:rPr>
              <w:t>1,736</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ADEX cycle count</w:t>
            </w:r>
          </w:p>
        </w:tc>
      </w:tr>
      <w:tr>
        <w:tc>
          <w:tcPr>
            <w:tcW w:type="dxa" w:w="2376"/>
            <w:vAlign w:val="top"/>
          </w:tcPr>
          <w:p>
            <w:pPr>
              <w:spacing w:before="0" w:after="20" w:line="240" w:lineRule="auto"/>
            </w:pPr>
            <w:r/>
            <w:r>
              <w:rPr>
                <w:rFonts w:ascii="Calibri" w:hAnsi="Calibri"/>
                <w:b w:val="0"/>
                <w:color w:val="1F1F1F"/>
                <w:sz w:val="13"/>
              </w:rPr>
              <w:t>Safety population N - each arm</w:t>
            </w:r>
          </w:p>
        </w:tc>
        <w:tc>
          <w:tcPr>
            <w:tcW w:type="dxa" w:w="2880"/>
            <w:vAlign w:val="top"/>
          </w:tcPr>
          <w:p>
            <w:pPr>
              <w:spacing w:before="0" w:after="20" w:line="240" w:lineRule="auto"/>
            </w:pPr>
            <w:r/>
            <w:r>
              <w:rPr>
                <w:rFonts w:ascii="Calibri" w:hAnsi="Calibri"/>
                <w:b w:val="0"/>
                <w:color w:val="1F1F1F"/>
                <w:sz w:val="13"/>
              </w:rPr>
              <w:t>371 per arm</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ADSL SAFFL='Y'</w:t>
            </w:r>
          </w:p>
        </w:tc>
      </w:tr>
      <w:tr>
        <w:tc>
          <w:tcPr>
            <w:tcW w:type="dxa" w:w="2376"/>
            <w:vAlign w:val="top"/>
          </w:tcPr>
          <w:p>
            <w:pPr>
              <w:spacing w:before="0" w:after="20" w:line="240" w:lineRule="auto"/>
            </w:pPr>
            <w:r/>
            <w:r>
              <w:rPr>
                <w:rFonts w:ascii="Calibri" w:hAnsi="Calibri"/>
                <w:b w:val="0"/>
                <w:color w:val="1F1F1F"/>
                <w:sz w:val="13"/>
              </w:rPr>
              <w:t>ITT population N - CbzP</w:t>
            </w:r>
          </w:p>
        </w:tc>
        <w:tc>
          <w:tcPr>
            <w:tcW w:type="dxa" w:w="2880"/>
            <w:vAlign w:val="top"/>
          </w:tcPr>
          <w:p>
            <w:pPr>
              <w:spacing w:before="0" w:after="20" w:line="240" w:lineRule="auto"/>
            </w:pPr>
            <w:r/>
            <w:r>
              <w:rPr>
                <w:rFonts w:ascii="Calibri" w:hAnsi="Calibri"/>
                <w:b w:val="0"/>
                <w:color w:val="1F1F1F"/>
                <w:sz w:val="13"/>
              </w:rPr>
              <w:t>378</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ADSL ITTFL='Y'</w:t>
            </w:r>
          </w:p>
        </w:tc>
      </w:tr>
      <w:tr>
        <w:tc>
          <w:tcPr>
            <w:tcW w:type="dxa" w:w="2376"/>
            <w:vAlign w:val="top"/>
          </w:tcPr>
          <w:p>
            <w:pPr>
              <w:spacing w:before="0" w:after="20" w:line="240" w:lineRule="auto"/>
            </w:pPr>
            <w:r/>
            <w:r>
              <w:rPr>
                <w:rFonts w:ascii="Calibri" w:hAnsi="Calibri"/>
                <w:b w:val="0"/>
                <w:color w:val="1F1F1F"/>
                <w:sz w:val="13"/>
              </w:rPr>
              <w:t>ITT population N - MP</w:t>
            </w:r>
          </w:p>
        </w:tc>
        <w:tc>
          <w:tcPr>
            <w:tcW w:type="dxa" w:w="2880"/>
            <w:vAlign w:val="top"/>
          </w:tcPr>
          <w:p>
            <w:pPr>
              <w:spacing w:before="0" w:after="20" w:line="240" w:lineRule="auto"/>
            </w:pPr>
            <w:r/>
            <w:r>
              <w:rPr>
                <w:rFonts w:ascii="Calibri" w:hAnsi="Calibri"/>
                <w:b w:val="0"/>
                <w:color w:val="1F1F1F"/>
                <w:sz w:val="13"/>
              </w:rPr>
              <w:t>377</w:t>
            </w:r>
          </w:p>
        </w:tc>
        <w:tc>
          <w:tcPr>
            <w:tcW w:type="dxa" w:w="1440"/>
            <w:vAlign w:val="top"/>
          </w:tcPr>
          <w:p>
            <w:pPr>
              <w:spacing w:before="0" w:after="20" w:line="240" w:lineRule="auto"/>
            </w:pPr>
            <w:r/>
            <w:r>
              <w:rPr>
                <w:rFonts w:ascii="Calibri" w:hAnsi="Calibri"/>
                <w:b w:val="0"/>
                <w:color w:val="1F1F1F"/>
                <w:sz w:val="13"/>
              </w:rPr>
              <w:t>Exact</w:t>
            </w:r>
          </w:p>
        </w:tc>
        <w:tc>
          <w:tcPr>
            <w:tcW w:type="dxa" w:w="2664"/>
            <w:vAlign w:val="top"/>
          </w:tcPr>
          <w:p>
            <w:pPr>
              <w:spacing w:before="0" w:after="20" w:line="240" w:lineRule="auto"/>
            </w:pPr>
            <w:r/>
            <w:r>
              <w:rPr>
                <w:rFonts w:ascii="Calibri" w:hAnsi="Calibri"/>
                <w:b w:val="0"/>
                <w:color w:val="1F1F1F"/>
                <w:sz w:val="13"/>
              </w:rPr>
              <w:t>ADSL ITTFL='Y'</w:t>
            </w:r>
          </w:p>
        </w:tc>
      </w:tr>
    </w:tbl>
    <w:p/>
    <w:p>
      <w:pPr>
        <w:pStyle w:val="Heading1"/>
      </w:pPr>
      <w:r>
        <w:t>Appendix F. Safety, death and exposure publication targets</w:t>
      </w:r>
    </w:p>
    <w:p>
      <w:pPr>
        <w:pStyle w:val="Heading2"/>
      </w:pPr>
      <w:r>
        <w:t>F.1 Discontinuation targets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320"/>
            <w:vAlign w:val="top"/>
            <w:shd w:fill="1F4E79"/>
          </w:tcPr>
          <w:p>
            <w:pPr>
              <w:spacing w:before="0" w:after="20" w:line="240" w:lineRule="auto"/>
            </w:pPr>
            <w:r/>
            <w:r>
              <w:rPr>
                <w:rFonts w:ascii="Calibri" w:hAnsi="Calibri"/>
                <w:b/>
                <w:color w:val="FFFFFF"/>
                <w:sz w:val="14"/>
              </w:rPr>
              <w:t>Reason for Discontinuation</w:t>
            </w:r>
          </w:p>
        </w:tc>
        <w:tc>
          <w:tcPr>
            <w:tcW w:type="dxa" w:w="2448"/>
            <w:vAlign w:val="top"/>
            <w:shd w:fill="1F4E79"/>
          </w:tcPr>
          <w:p>
            <w:pPr>
              <w:spacing w:before="0" w:after="20" w:line="240" w:lineRule="auto"/>
            </w:pPr>
            <w:r/>
            <w:r>
              <w:rPr>
                <w:rFonts w:ascii="Calibri" w:hAnsi="Calibri"/>
                <w:b/>
                <w:color w:val="FFFFFF"/>
                <w:sz w:val="14"/>
              </w:rPr>
              <w:t>MP n=377 (%)</w:t>
            </w:r>
          </w:p>
        </w:tc>
        <w:tc>
          <w:tcPr>
            <w:tcW w:type="dxa" w:w="2448"/>
            <w:vAlign w:val="top"/>
            <w:shd w:fill="1F4E79"/>
          </w:tcPr>
          <w:p>
            <w:pPr>
              <w:spacing w:before="0" w:after="20" w:line="240" w:lineRule="auto"/>
            </w:pPr>
            <w:r/>
            <w:r>
              <w:rPr>
                <w:rFonts w:ascii="Calibri" w:hAnsi="Calibri"/>
                <w:b/>
                <w:color w:val="FFFFFF"/>
                <w:sz w:val="14"/>
              </w:rPr>
              <w:t>CbzP n=378 (%)</w:t>
            </w:r>
          </w:p>
        </w:tc>
      </w:tr>
      <w:tr>
        <w:tc>
          <w:tcPr>
            <w:tcW w:type="dxa" w:w="4320"/>
            <w:vAlign w:val="top"/>
          </w:tcPr>
          <w:p>
            <w:pPr>
              <w:spacing w:before="0" w:after="20" w:line="240" w:lineRule="auto"/>
            </w:pPr>
            <w:r/>
            <w:r>
              <w:rPr>
                <w:rFonts w:ascii="Calibri" w:hAnsi="Calibri"/>
                <w:b w:val="0"/>
                <w:color w:val="1F1F1F"/>
                <w:sz w:val="14"/>
              </w:rPr>
              <w:t>Discontinued study treatment (any reason)</w:t>
            </w:r>
          </w:p>
        </w:tc>
        <w:tc>
          <w:tcPr>
            <w:tcW w:type="dxa" w:w="2448"/>
            <w:vAlign w:val="top"/>
          </w:tcPr>
          <w:p>
            <w:pPr>
              <w:spacing w:before="0" w:after="20" w:line="240" w:lineRule="auto"/>
            </w:pPr>
            <w:r/>
            <w:r>
              <w:rPr>
                <w:rFonts w:ascii="Calibri" w:hAnsi="Calibri"/>
                <w:b w:val="0"/>
                <w:color w:val="1F1F1F"/>
                <w:sz w:val="14"/>
              </w:rPr>
              <w:t>325 (86%)</w:t>
            </w:r>
          </w:p>
        </w:tc>
        <w:tc>
          <w:tcPr>
            <w:tcW w:type="dxa" w:w="2448"/>
            <w:vAlign w:val="top"/>
          </w:tcPr>
          <w:p>
            <w:pPr>
              <w:spacing w:before="0" w:after="20" w:line="240" w:lineRule="auto"/>
            </w:pPr>
            <w:r/>
            <w:r>
              <w:rPr>
                <w:rFonts w:ascii="Calibri" w:hAnsi="Calibri"/>
                <w:b w:val="0"/>
                <w:color w:val="1F1F1F"/>
                <w:sz w:val="14"/>
              </w:rPr>
              <w:t>266 (70%)</w:t>
            </w:r>
          </w:p>
        </w:tc>
      </w:tr>
      <w:tr>
        <w:tc>
          <w:tcPr>
            <w:tcW w:type="dxa" w:w="4320"/>
            <w:vAlign w:val="top"/>
          </w:tcPr>
          <w:p>
            <w:pPr>
              <w:spacing w:before="0" w:after="20" w:line="240" w:lineRule="auto"/>
            </w:pPr>
            <w:r/>
            <w:r>
              <w:rPr>
                <w:rFonts w:ascii="Calibri" w:hAnsi="Calibri"/>
                <w:b w:val="0"/>
                <w:color w:val="1F1F1F"/>
                <w:sz w:val="14"/>
              </w:rPr>
              <w:t>- Disease progression</w:t>
            </w:r>
          </w:p>
        </w:tc>
        <w:tc>
          <w:tcPr>
            <w:tcW w:type="dxa" w:w="2448"/>
            <w:vAlign w:val="top"/>
          </w:tcPr>
          <w:p>
            <w:pPr>
              <w:spacing w:before="0" w:after="20" w:line="240" w:lineRule="auto"/>
            </w:pPr>
            <w:r/>
            <w:r>
              <w:rPr>
                <w:rFonts w:ascii="Calibri" w:hAnsi="Calibri"/>
                <w:b w:val="0"/>
                <w:color w:val="1F1F1F"/>
                <w:sz w:val="14"/>
              </w:rPr>
              <w:t>267 (71%)</w:t>
            </w:r>
          </w:p>
        </w:tc>
        <w:tc>
          <w:tcPr>
            <w:tcW w:type="dxa" w:w="2448"/>
            <w:vAlign w:val="top"/>
          </w:tcPr>
          <w:p>
            <w:pPr>
              <w:spacing w:before="0" w:after="20" w:line="240" w:lineRule="auto"/>
            </w:pPr>
            <w:r/>
            <w:r>
              <w:rPr>
                <w:rFonts w:ascii="Calibri" w:hAnsi="Calibri"/>
                <w:b w:val="0"/>
                <w:color w:val="1F1F1F"/>
                <w:sz w:val="14"/>
              </w:rPr>
              <w:t>180 (48%)</w:t>
            </w:r>
          </w:p>
        </w:tc>
      </w:tr>
      <w:tr>
        <w:tc>
          <w:tcPr>
            <w:tcW w:type="dxa" w:w="4320"/>
            <w:vAlign w:val="top"/>
          </w:tcPr>
          <w:p>
            <w:pPr>
              <w:spacing w:before="0" w:after="20" w:line="240" w:lineRule="auto"/>
            </w:pPr>
            <w:r/>
            <w:r>
              <w:rPr>
                <w:rFonts w:ascii="Calibri" w:hAnsi="Calibri"/>
                <w:b w:val="0"/>
                <w:color w:val="1F1F1F"/>
                <w:sz w:val="14"/>
              </w:rPr>
              <w:t>- Adverse event</w:t>
            </w:r>
          </w:p>
        </w:tc>
        <w:tc>
          <w:tcPr>
            <w:tcW w:type="dxa" w:w="2448"/>
            <w:vAlign w:val="top"/>
          </w:tcPr>
          <w:p>
            <w:pPr>
              <w:spacing w:before="0" w:after="20" w:line="240" w:lineRule="auto"/>
            </w:pPr>
            <w:r/>
            <w:r>
              <w:rPr>
                <w:rFonts w:ascii="Calibri" w:hAnsi="Calibri"/>
                <w:b w:val="0"/>
                <w:color w:val="1F1F1F"/>
                <w:sz w:val="14"/>
              </w:rPr>
              <w:t>32 (8%)</w:t>
            </w:r>
          </w:p>
        </w:tc>
        <w:tc>
          <w:tcPr>
            <w:tcW w:type="dxa" w:w="2448"/>
            <w:vAlign w:val="top"/>
          </w:tcPr>
          <w:p>
            <w:pPr>
              <w:spacing w:before="0" w:after="20" w:line="240" w:lineRule="auto"/>
            </w:pPr>
            <w:r/>
            <w:r>
              <w:rPr>
                <w:rFonts w:ascii="Calibri" w:hAnsi="Calibri"/>
                <w:b w:val="0"/>
                <w:color w:val="1F1F1F"/>
                <w:sz w:val="14"/>
              </w:rPr>
              <w:t>67 (18%)</w:t>
            </w:r>
          </w:p>
        </w:tc>
      </w:tr>
      <w:tr>
        <w:tc>
          <w:tcPr>
            <w:tcW w:type="dxa" w:w="4320"/>
            <w:vAlign w:val="top"/>
          </w:tcPr>
          <w:p>
            <w:pPr>
              <w:spacing w:before="0" w:after="20" w:line="240" w:lineRule="auto"/>
            </w:pPr>
            <w:r/>
            <w:r>
              <w:rPr>
                <w:rFonts w:ascii="Calibri" w:hAnsi="Calibri"/>
                <w:b w:val="0"/>
                <w:color w:val="1F1F1F"/>
                <w:sz w:val="14"/>
              </w:rPr>
              <w:t>- Non-compliance with protocol</w:t>
            </w:r>
          </w:p>
        </w:tc>
        <w:tc>
          <w:tcPr>
            <w:tcW w:type="dxa" w:w="2448"/>
            <w:vAlign w:val="top"/>
          </w:tcPr>
          <w:p>
            <w:pPr>
              <w:spacing w:before="0" w:after="20" w:line="240" w:lineRule="auto"/>
            </w:pPr>
            <w:r/>
            <w:r>
              <w:rPr>
                <w:rFonts w:ascii="Calibri" w:hAnsi="Calibri"/>
                <w:b w:val="0"/>
                <w:color w:val="1F1F1F"/>
                <w:sz w:val="14"/>
              </w:rPr>
              <w:t>0</w:t>
            </w:r>
          </w:p>
        </w:tc>
        <w:tc>
          <w:tcPr>
            <w:tcW w:type="dxa" w:w="2448"/>
            <w:vAlign w:val="top"/>
          </w:tcPr>
          <w:p>
            <w:pPr>
              <w:spacing w:before="0" w:after="20" w:line="240" w:lineRule="auto"/>
            </w:pPr>
            <w:r/>
            <w:r>
              <w:rPr>
                <w:rFonts w:ascii="Calibri" w:hAnsi="Calibri"/>
                <w:b w:val="0"/>
                <w:color w:val="1F1F1F"/>
                <w:sz w:val="14"/>
              </w:rPr>
              <w:t>1 (&lt;1%)</w:t>
            </w:r>
          </w:p>
        </w:tc>
      </w:tr>
      <w:tr>
        <w:tc>
          <w:tcPr>
            <w:tcW w:type="dxa" w:w="4320"/>
            <w:vAlign w:val="top"/>
          </w:tcPr>
          <w:p>
            <w:pPr>
              <w:spacing w:before="0" w:after="20" w:line="240" w:lineRule="auto"/>
            </w:pPr>
            <w:r/>
            <w:r>
              <w:rPr>
                <w:rFonts w:ascii="Calibri" w:hAnsi="Calibri"/>
                <w:b w:val="0"/>
                <w:color w:val="1F1F1F"/>
                <w:sz w:val="14"/>
              </w:rPr>
              <w:t>- Lost to follow-up</w:t>
            </w:r>
          </w:p>
        </w:tc>
        <w:tc>
          <w:tcPr>
            <w:tcW w:type="dxa" w:w="2448"/>
            <w:vAlign w:val="top"/>
          </w:tcPr>
          <w:p>
            <w:pPr>
              <w:spacing w:before="0" w:after="20" w:line="240" w:lineRule="auto"/>
            </w:pPr>
            <w:r/>
            <w:r>
              <w:rPr>
                <w:rFonts w:ascii="Calibri" w:hAnsi="Calibri"/>
                <w:b w:val="0"/>
                <w:color w:val="1F1F1F"/>
                <w:sz w:val="14"/>
              </w:rPr>
              <w:t>2 (1%)</w:t>
            </w:r>
          </w:p>
        </w:tc>
        <w:tc>
          <w:tcPr>
            <w:tcW w:type="dxa" w:w="2448"/>
            <w:vAlign w:val="top"/>
          </w:tcPr>
          <w:p>
            <w:pPr>
              <w:spacing w:before="0" w:after="20" w:line="240" w:lineRule="auto"/>
            </w:pPr>
            <w:r/>
            <w:r>
              <w:rPr>
                <w:rFonts w:ascii="Calibri" w:hAnsi="Calibri"/>
                <w:b w:val="0"/>
                <w:color w:val="1F1F1F"/>
                <w:sz w:val="14"/>
              </w:rPr>
              <w:t>0</w:t>
            </w:r>
          </w:p>
        </w:tc>
      </w:tr>
      <w:tr>
        <w:tc>
          <w:tcPr>
            <w:tcW w:type="dxa" w:w="4320"/>
            <w:vAlign w:val="top"/>
          </w:tcPr>
          <w:p>
            <w:pPr>
              <w:spacing w:before="0" w:after="20" w:line="240" w:lineRule="auto"/>
            </w:pPr>
            <w:r/>
            <w:r>
              <w:rPr>
                <w:rFonts w:ascii="Calibri" w:hAnsi="Calibri"/>
                <w:b w:val="0"/>
                <w:color w:val="1F1F1F"/>
                <w:sz w:val="14"/>
              </w:rPr>
              <w:t>- Patient request</w:t>
            </w:r>
          </w:p>
        </w:tc>
        <w:tc>
          <w:tcPr>
            <w:tcW w:type="dxa" w:w="2448"/>
            <w:vAlign w:val="top"/>
          </w:tcPr>
          <w:p>
            <w:pPr>
              <w:spacing w:before="0" w:after="20" w:line="240" w:lineRule="auto"/>
            </w:pPr>
            <w:r/>
            <w:r>
              <w:rPr>
                <w:rFonts w:ascii="Calibri" w:hAnsi="Calibri"/>
                <w:b w:val="0"/>
                <w:color w:val="1F1F1F"/>
                <w:sz w:val="14"/>
              </w:rPr>
              <w:t>17 (5%)</w:t>
            </w:r>
          </w:p>
        </w:tc>
        <w:tc>
          <w:tcPr>
            <w:tcW w:type="dxa" w:w="2448"/>
            <w:vAlign w:val="top"/>
          </w:tcPr>
          <w:p>
            <w:pPr>
              <w:spacing w:before="0" w:after="20" w:line="240" w:lineRule="auto"/>
            </w:pPr>
            <w:r/>
            <w:r>
              <w:rPr>
                <w:rFonts w:ascii="Calibri" w:hAnsi="Calibri"/>
                <w:b w:val="0"/>
                <w:color w:val="1F1F1F"/>
                <w:sz w:val="14"/>
              </w:rPr>
              <w:t>8 (2%)</w:t>
            </w:r>
          </w:p>
        </w:tc>
      </w:tr>
      <w:tr>
        <w:tc>
          <w:tcPr>
            <w:tcW w:type="dxa" w:w="4320"/>
            <w:vAlign w:val="top"/>
          </w:tcPr>
          <w:p>
            <w:pPr>
              <w:spacing w:before="0" w:after="20" w:line="240" w:lineRule="auto"/>
            </w:pPr>
            <w:r/>
            <w:r>
              <w:rPr>
                <w:rFonts w:ascii="Calibri" w:hAnsi="Calibri"/>
                <w:b w:val="0"/>
                <w:color w:val="1F1F1F"/>
                <w:sz w:val="14"/>
              </w:rPr>
              <w:t>- Other</w:t>
            </w:r>
          </w:p>
        </w:tc>
        <w:tc>
          <w:tcPr>
            <w:tcW w:type="dxa" w:w="2448"/>
            <w:vAlign w:val="top"/>
          </w:tcPr>
          <w:p>
            <w:pPr>
              <w:spacing w:before="0" w:after="20" w:line="240" w:lineRule="auto"/>
            </w:pPr>
            <w:r/>
            <w:r>
              <w:rPr>
                <w:rFonts w:ascii="Calibri" w:hAnsi="Calibri"/>
                <w:b w:val="0"/>
                <w:color w:val="1F1F1F"/>
                <w:sz w:val="14"/>
              </w:rPr>
              <w:t>7 (2%)</w:t>
            </w:r>
          </w:p>
        </w:tc>
        <w:tc>
          <w:tcPr>
            <w:tcW w:type="dxa" w:w="2448"/>
            <w:vAlign w:val="top"/>
          </w:tcPr>
          <w:p>
            <w:pPr>
              <w:spacing w:before="0" w:after="20" w:line="240" w:lineRule="auto"/>
            </w:pPr>
            <w:r/>
            <w:r>
              <w:rPr>
                <w:rFonts w:ascii="Calibri" w:hAnsi="Calibri"/>
                <w:b w:val="0"/>
                <w:color w:val="1F1F1F"/>
                <w:sz w:val="14"/>
              </w:rPr>
              <w:t>10 (3%)</w:t>
            </w:r>
          </w:p>
        </w:tc>
      </w:tr>
      <w:tr>
        <w:tc>
          <w:tcPr>
            <w:tcW w:type="dxa" w:w="4320"/>
            <w:vAlign w:val="top"/>
          </w:tcPr>
          <w:p>
            <w:pPr>
              <w:spacing w:before="0" w:after="20" w:line="240" w:lineRule="auto"/>
            </w:pPr>
            <w:r/>
            <w:r>
              <w:rPr>
                <w:rFonts w:ascii="Calibri" w:hAnsi="Calibri"/>
                <w:b w:val="0"/>
                <w:color w:val="1F1F1F"/>
                <w:sz w:val="14"/>
              </w:rPr>
              <w:t>Completed planned 10 cycles</w:t>
            </w:r>
          </w:p>
        </w:tc>
        <w:tc>
          <w:tcPr>
            <w:tcW w:type="dxa" w:w="2448"/>
            <w:vAlign w:val="top"/>
          </w:tcPr>
          <w:p>
            <w:pPr>
              <w:spacing w:before="0" w:after="20" w:line="240" w:lineRule="auto"/>
            </w:pPr>
            <w:r/>
            <w:r>
              <w:rPr>
                <w:rFonts w:ascii="Calibri" w:hAnsi="Calibri"/>
                <w:b w:val="0"/>
                <w:color w:val="1F1F1F"/>
                <w:sz w:val="14"/>
              </w:rPr>
              <w:t>46 (12%)</w:t>
            </w:r>
          </w:p>
        </w:tc>
        <w:tc>
          <w:tcPr>
            <w:tcW w:type="dxa" w:w="2448"/>
            <w:vAlign w:val="top"/>
          </w:tcPr>
          <w:p>
            <w:pPr>
              <w:spacing w:before="0" w:after="20" w:line="240" w:lineRule="auto"/>
            </w:pPr>
            <w:r/>
            <w:r>
              <w:rPr>
                <w:rFonts w:ascii="Calibri" w:hAnsi="Calibri"/>
                <w:b w:val="0"/>
                <w:color w:val="1F1F1F"/>
                <w:sz w:val="14"/>
              </w:rPr>
              <w:t>105 (28%)</w:t>
            </w:r>
          </w:p>
        </w:tc>
      </w:tr>
    </w:tbl>
    <w:p/>
    <w:p>
      <w:pPr>
        <w:pStyle w:val="Heading2"/>
      </w:pPr>
      <w:r>
        <w:t>F.2 Adverse event targets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168"/>
            <w:vAlign w:val="top"/>
            <w:shd w:fill="1F4E79"/>
          </w:tcPr>
          <w:p>
            <w:pPr>
              <w:spacing w:before="0" w:after="20" w:line="240" w:lineRule="auto"/>
            </w:pPr>
            <w:r/>
            <w:r>
              <w:rPr>
                <w:rFonts w:ascii="Calibri" w:hAnsi="Calibri"/>
                <w:b/>
                <w:color w:val="FFFFFF"/>
                <w:sz w:val="13"/>
              </w:rPr>
              <w:t>Adverse Event</w:t>
            </w:r>
          </w:p>
        </w:tc>
        <w:tc>
          <w:tcPr>
            <w:tcW w:type="dxa" w:w="1512"/>
            <w:vAlign w:val="top"/>
            <w:shd w:fill="1F4E79"/>
          </w:tcPr>
          <w:p>
            <w:pPr>
              <w:spacing w:before="0" w:after="20" w:line="240" w:lineRule="auto"/>
            </w:pPr>
            <w:r/>
            <w:r>
              <w:rPr>
                <w:rFonts w:ascii="Calibri" w:hAnsi="Calibri"/>
                <w:b/>
                <w:color w:val="FFFFFF"/>
                <w:sz w:val="13"/>
              </w:rPr>
              <w:t>MP Any</w:t>
            </w:r>
          </w:p>
        </w:tc>
        <w:tc>
          <w:tcPr>
            <w:tcW w:type="dxa" w:w="1512"/>
            <w:vAlign w:val="top"/>
            <w:shd w:fill="1F4E79"/>
          </w:tcPr>
          <w:p>
            <w:pPr>
              <w:spacing w:before="0" w:after="20" w:line="240" w:lineRule="auto"/>
            </w:pPr>
            <w:r/>
            <w:r>
              <w:rPr>
                <w:rFonts w:ascii="Calibri" w:hAnsi="Calibri"/>
                <w:b/>
                <w:color w:val="FFFFFF"/>
                <w:sz w:val="13"/>
              </w:rPr>
              <w:t>MP G&gt;=3</w:t>
            </w:r>
          </w:p>
        </w:tc>
        <w:tc>
          <w:tcPr>
            <w:tcW w:type="dxa" w:w="1512"/>
            <w:vAlign w:val="top"/>
            <w:shd w:fill="1F4E79"/>
          </w:tcPr>
          <w:p>
            <w:pPr>
              <w:spacing w:before="0" w:after="20" w:line="240" w:lineRule="auto"/>
            </w:pPr>
            <w:r/>
            <w:r>
              <w:rPr>
                <w:rFonts w:ascii="Calibri" w:hAnsi="Calibri"/>
                <w:b/>
                <w:color w:val="FFFFFF"/>
                <w:sz w:val="13"/>
              </w:rPr>
              <w:t>CbzP Any</w:t>
            </w:r>
          </w:p>
        </w:tc>
        <w:tc>
          <w:tcPr>
            <w:tcW w:type="dxa" w:w="1512"/>
            <w:vAlign w:val="top"/>
            <w:shd w:fill="1F4E79"/>
          </w:tcPr>
          <w:p>
            <w:pPr>
              <w:spacing w:before="0" w:after="20" w:line="240" w:lineRule="auto"/>
            </w:pPr>
            <w:r/>
            <w:r>
              <w:rPr>
                <w:rFonts w:ascii="Calibri" w:hAnsi="Calibri"/>
                <w:b/>
                <w:color w:val="FFFFFF"/>
                <w:sz w:val="13"/>
              </w:rPr>
              <w:t>CbzP G&gt;=3</w:t>
            </w:r>
          </w:p>
        </w:tc>
      </w:tr>
      <w:tr>
        <w:tc>
          <w:tcPr>
            <w:tcW w:type="dxa" w:w="3168"/>
            <w:vAlign w:val="top"/>
          </w:tcPr>
          <w:p>
            <w:pPr>
              <w:spacing w:before="0" w:after="20" w:line="240" w:lineRule="auto"/>
            </w:pPr>
            <w:r/>
            <w:r>
              <w:rPr>
                <w:rFonts w:ascii="Calibri" w:hAnsi="Calibri"/>
                <w:b w:val="0"/>
                <w:color w:val="1F1F1F"/>
                <w:sz w:val="13"/>
              </w:rPr>
              <w:t>HAEMATOLOGICAL (lab-based)</w:t>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r>
      <w:tr>
        <w:tc>
          <w:tcPr>
            <w:tcW w:type="dxa" w:w="3168"/>
            <w:vAlign w:val="top"/>
          </w:tcPr>
          <w:p>
            <w:pPr>
              <w:spacing w:before="0" w:after="20" w:line="240" w:lineRule="auto"/>
            </w:pPr>
            <w:r/>
            <w:r>
              <w:rPr>
                <w:rFonts w:ascii="Calibri" w:hAnsi="Calibri"/>
                <w:b w:val="0"/>
                <w:color w:val="1F1F1F"/>
                <w:sz w:val="13"/>
              </w:rPr>
              <w:t>Neutropenia</w:t>
            </w:r>
          </w:p>
        </w:tc>
        <w:tc>
          <w:tcPr>
            <w:tcW w:type="dxa" w:w="1512"/>
            <w:vAlign w:val="top"/>
          </w:tcPr>
          <w:p>
            <w:pPr>
              <w:spacing w:before="0" w:after="20" w:line="240" w:lineRule="auto"/>
            </w:pPr>
            <w:r/>
            <w:r>
              <w:rPr>
                <w:rFonts w:ascii="Calibri" w:hAnsi="Calibri"/>
                <w:b w:val="0"/>
                <w:color w:val="1F1F1F"/>
                <w:sz w:val="13"/>
              </w:rPr>
              <w:t>88% (325)</w:t>
            </w:r>
          </w:p>
        </w:tc>
        <w:tc>
          <w:tcPr>
            <w:tcW w:type="dxa" w:w="1512"/>
            <w:vAlign w:val="top"/>
          </w:tcPr>
          <w:p>
            <w:pPr>
              <w:spacing w:before="0" w:after="20" w:line="240" w:lineRule="auto"/>
            </w:pPr>
            <w:r/>
            <w:r>
              <w:rPr>
                <w:rFonts w:ascii="Calibri" w:hAnsi="Calibri"/>
                <w:b w:val="0"/>
                <w:color w:val="1F1F1F"/>
                <w:sz w:val="13"/>
              </w:rPr>
              <w:t>58% (215)</w:t>
            </w:r>
          </w:p>
        </w:tc>
        <w:tc>
          <w:tcPr>
            <w:tcW w:type="dxa" w:w="1512"/>
            <w:vAlign w:val="top"/>
          </w:tcPr>
          <w:p>
            <w:pPr>
              <w:spacing w:before="0" w:after="20" w:line="240" w:lineRule="auto"/>
            </w:pPr>
            <w:r/>
            <w:r>
              <w:rPr>
                <w:rFonts w:ascii="Calibri" w:hAnsi="Calibri"/>
                <w:b w:val="0"/>
                <w:color w:val="1F1F1F"/>
                <w:sz w:val="13"/>
              </w:rPr>
              <w:t>94% (347)</w:t>
            </w:r>
          </w:p>
        </w:tc>
        <w:tc>
          <w:tcPr>
            <w:tcW w:type="dxa" w:w="1512"/>
            <w:vAlign w:val="top"/>
          </w:tcPr>
          <w:p>
            <w:pPr>
              <w:spacing w:before="0" w:after="20" w:line="240" w:lineRule="auto"/>
            </w:pPr>
            <w:r/>
            <w:r>
              <w:rPr>
                <w:rFonts w:ascii="Calibri" w:hAnsi="Calibri"/>
                <w:b w:val="0"/>
                <w:color w:val="1F1F1F"/>
                <w:sz w:val="13"/>
              </w:rPr>
              <w:t>82% (303)</w:t>
            </w:r>
          </w:p>
        </w:tc>
      </w:tr>
      <w:tr>
        <w:tc>
          <w:tcPr>
            <w:tcW w:type="dxa" w:w="3168"/>
            <w:vAlign w:val="top"/>
          </w:tcPr>
          <w:p>
            <w:pPr>
              <w:spacing w:before="0" w:after="20" w:line="240" w:lineRule="auto"/>
            </w:pPr>
            <w:r/>
            <w:r>
              <w:rPr>
                <w:rFonts w:ascii="Calibri" w:hAnsi="Calibri"/>
                <w:b w:val="0"/>
                <w:color w:val="1F1F1F"/>
                <w:sz w:val="13"/>
              </w:rPr>
              <w:t>Febrile neutropenia</w:t>
            </w:r>
          </w:p>
        </w:tc>
        <w:tc>
          <w:tcPr>
            <w:tcW w:type="dxa" w:w="1512"/>
            <w:vAlign w:val="top"/>
          </w:tcPr>
          <w:p>
            <w:pPr>
              <w:spacing w:before="0" w:after="20" w:line="240" w:lineRule="auto"/>
            </w:pPr>
            <w:r/>
            <w:r>
              <w:rPr>
                <w:rFonts w:ascii="Calibri" w:hAnsi="Calibri"/>
                <w:b w:val="0"/>
                <w:color w:val="1F1F1F"/>
                <w:sz w:val="13"/>
              </w:rPr>
              <w:t>-</w:t>
            </w:r>
          </w:p>
        </w:tc>
        <w:tc>
          <w:tcPr>
            <w:tcW w:type="dxa" w:w="1512"/>
            <w:vAlign w:val="top"/>
          </w:tcPr>
          <w:p>
            <w:pPr>
              <w:spacing w:before="0" w:after="20" w:line="240" w:lineRule="auto"/>
            </w:pPr>
            <w:r/>
            <w:r>
              <w:rPr>
                <w:rFonts w:ascii="Calibri" w:hAnsi="Calibri"/>
                <w:b w:val="0"/>
                <w:color w:val="1F1F1F"/>
                <w:sz w:val="13"/>
              </w:rPr>
              <w:t>1% (5)</w:t>
            </w:r>
          </w:p>
        </w:tc>
        <w:tc>
          <w:tcPr>
            <w:tcW w:type="dxa" w:w="1512"/>
            <w:vAlign w:val="top"/>
          </w:tcPr>
          <w:p>
            <w:pPr>
              <w:spacing w:before="0" w:after="20" w:line="240" w:lineRule="auto"/>
            </w:pPr>
            <w:r/>
            <w:r>
              <w:rPr>
                <w:rFonts w:ascii="Calibri" w:hAnsi="Calibri"/>
                <w:b w:val="0"/>
                <w:color w:val="1F1F1F"/>
                <w:sz w:val="13"/>
              </w:rPr>
              <w:t>-</w:t>
            </w:r>
          </w:p>
        </w:tc>
        <w:tc>
          <w:tcPr>
            <w:tcW w:type="dxa" w:w="1512"/>
            <w:vAlign w:val="top"/>
          </w:tcPr>
          <w:p>
            <w:pPr>
              <w:spacing w:before="0" w:after="20" w:line="240" w:lineRule="auto"/>
            </w:pPr>
            <w:r/>
            <w:r>
              <w:rPr>
                <w:rFonts w:ascii="Calibri" w:hAnsi="Calibri"/>
                <w:b w:val="0"/>
                <w:color w:val="1F1F1F"/>
                <w:sz w:val="13"/>
              </w:rPr>
              <w:t>8% (28)</w:t>
            </w:r>
          </w:p>
        </w:tc>
      </w:tr>
      <w:tr>
        <w:tc>
          <w:tcPr>
            <w:tcW w:type="dxa" w:w="3168"/>
            <w:vAlign w:val="top"/>
          </w:tcPr>
          <w:p>
            <w:pPr>
              <w:spacing w:before="0" w:after="20" w:line="240" w:lineRule="auto"/>
            </w:pPr>
            <w:r/>
            <w:r>
              <w:rPr>
                <w:rFonts w:ascii="Calibri" w:hAnsi="Calibri"/>
                <w:b w:val="0"/>
                <w:color w:val="1F1F1F"/>
                <w:sz w:val="13"/>
              </w:rPr>
              <w:t>Leukopenia</w:t>
            </w:r>
          </w:p>
        </w:tc>
        <w:tc>
          <w:tcPr>
            <w:tcW w:type="dxa" w:w="1512"/>
            <w:vAlign w:val="top"/>
          </w:tcPr>
          <w:p>
            <w:pPr>
              <w:spacing w:before="0" w:after="20" w:line="240" w:lineRule="auto"/>
            </w:pPr>
            <w:r/>
            <w:r>
              <w:rPr>
                <w:rFonts w:ascii="Calibri" w:hAnsi="Calibri"/>
                <w:b w:val="0"/>
                <w:color w:val="1F1F1F"/>
                <w:sz w:val="13"/>
              </w:rPr>
              <w:t>92% (343)</w:t>
            </w:r>
          </w:p>
        </w:tc>
        <w:tc>
          <w:tcPr>
            <w:tcW w:type="dxa" w:w="1512"/>
            <w:vAlign w:val="top"/>
          </w:tcPr>
          <w:p>
            <w:pPr>
              <w:spacing w:before="0" w:after="20" w:line="240" w:lineRule="auto"/>
            </w:pPr>
            <w:r/>
            <w:r>
              <w:rPr>
                <w:rFonts w:ascii="Calibri" w:hAnsi="Calibri"/>
                <w:b w:val="0"/>
                <w:color w:val="1F1F1F"/>
                <w:sz w:val="13"/>
              </w:rPr>
              <w:t>42% (157)</w:t>
            </w:r>
          </w:p>
        </w:tc>
        <w:tc>
          <w:tcPr>
            <w:tcW w:type="dxa" w:w="1512"/>
            <w:vAlign w:val="top"/>
          </w:tcPr>
          <w:p>
            <w:pPr>
              <w:spacing w:before="0" w:after="20" w:line="240" w:lineRule="auto"/>
            </w:pPr>
            <w:r/>
            <w:r>
              <w:rPr>
                <w:rFonts w:ascii="Calibri" w:hAnsi="Calibri"/>
                <w:b w:val="0"/>
                <w:color w:val="1F1F1F"/>
                <w:sz w:val="13"/>
              </w:rPr>
              <w:t>96% (355)</w:t>
            </w:r>
          </w:p>
        </w:tc>
        <w:tc>
          <w:tcPr>
            <w:tcW w:type="dxa" w:w="1512"/>
            <w:vAlign w:val="top"/>
          </w:tcPr>
          <w:p>
            <w:pPr>
              <w:spacing w:before="0" w:after="20" w:line="240" w:lineRule="auto"/>
            </w:pPr>
            <w:r/>
            <w:r>
              <w:rPr>
                <w:rFonts w:ascii="Calibri" w:hAnsi="Calibri"/>
                <w:b w:val="0"/>
                <w:color w:val="1F1F1F"/>
                <w:sz w:val="13"/>
              </w:rPr>
              <w:t>68% (253)</w:t>
            </w:r>
          </w:p>
        </w:tc>
      </w:tr>
      <w:tr>
        <w:tc>
          <w:tcPr>
            <w:tcW w:type="dxa" w:w="3168"/>
            <w:vAlign w:val="top"/>
          </w:tcPr>
          <w:p>
            <w:pPr>
              <w:spacing w:before="0" w:after="20" w:line="240" w:lineRule="auto"/>
            </w:pPr>
            <w:r/>
            <w:r>
              <w:rPr>
                <w:rFonts w:ascii="Calibri" w:hAnsi="Calibri"/>
                <w:b w:val="0"/>
                <w:color w:val="1F1F1F"/>
                <w:sz w:val="13"/>
              </w:rPr>
              <w:t>Anaemia</w:t>
            </w:r>
          </w:p>
        </w:tc>
        <w:tc>
          <w:tcPr>
            <w:tcW w:type="dxa" w:w="1512"/>
            <w:vAlign w:val="top"/>
          </w:tcPr>
          <w:p>
            <w:pPr>
              <w:spacing w:before="0" w:after="20" w:line="240" w:lineRule="auto"/>
            </w:pPr>
            <w:r/>
            <w:r>
              <w:rPr>
                <w:rFonts w:ascii="Calibri" w:hAnsi="Calibri"/>
                <w:b w:val="0"/>
                <w:color w:val="1F1F1F"/>
                <w:sz w:val="13"/>
              </w:rPr>
              <w:t>81% (302)</w:t>
            </w:r>
          </w:p>
        </w:tc>
        <w:tc>
          <w:tcPr>
            <w:tcW w:type="dxa" w:w="1512"/>
            <w:vAlign w:val="top"/>
          </w:tcPr>
          <w:p>
            <w:pPr>
              <w:spacing w:before="0" w:after="20" w:line="240" w:lineRule="auto"/>
            </w:pPr>
            <w:r/>
            <w:r>
              <w:rPr>
                <w:rFonts w:ascii="Calibri" w:hAnsi="Calibri"/>
                <w:b w:val="0"/>
                <w:color w:val="1F1F1F"/>
                <w:sz w:val="13"/>
              </w:rPr>
              <w:t>5% (18)</w:t>
            </w:r>
          </w:p>
        </w:tc>
        <w:tc>
          <w:tcPr>
            <w:tcW w:type="dxa" w:w="1512"/>
            <w:vAlign w:val="top"/>
          </w:tcPr>
          <w:p>
            <w:pPr>
              <w:spacing w:before="0" w:after="20" w:line="240" w:lineRule="auto"/>
            </w:pPr>
            <w:r/>
            <w:r>
              <w:rPr>
                <w:rFonts w:ascii="Calibri" w:hAnsi="Calibri"/>
                <w:b w:val="0"/>
                <w:color w:val="1F1F1F"/>
                <w:sz w:val="13"/>
              </w:rPr>
              <w:t>97% (361)</w:t>
            </w:r>
          </w:p>
        </w:tc>
        <w:tc>
          <w:tcPr>
            <w:tcW w:type="dxa" w:w="1512"/>
            <w:vAlign w:val="top"/>
          </w:tcPr>
          <w:p>
            <w:pPr>
              <w:spacing w:before="0" w:after="20" w:line="240" w:lineRule="auto"/>
            </w:pPr>
            <w:r/>
            <w:r>
              <w:rPr>
                <w:rFonts w:ascii="Calibri" w:hAnsi="Calibri"/>
                <w:b w:val="0"/>
                <w:color w:val="1F1F1F"/>
                <w:sz w:val="13"/>
              </w:rPr>
              <w:t>11% (39)</w:t>
            </w:r>
          </w:p>
        </w:tc>
      </w:tr>
      <w:tr>
        <w:tc>
          <w:tcPr>
            <w:tcW w:type="dxa" w:w="3168"/>
            <w:vAlign w:val="top"/>
          </w:tcPr>
          <w:p>
            <w:pPr>
              <w:spacing w:before="0" w:after="20" w:line="240" w:lineRule="auto"/>
            </w:pPr>
            <w:r/>
            <w:r>
              <w:rPr>
                <w:rFonts w:ascii="Calibri" w:hAnsi="Calibri"/>
                <w:b w:val="0"/>
                <w:color w:val="1F1F1F"/>
                <w:sz w:val="13"/>
              </w:rPr>
              <w:t>Thrombocytopenia</w:t>
            </w:r>
          </w:p>
        </w:tc>
        <w:tc>
          <w:tcPr>
            <w:tcW w:type="dxa" w:w="1512"/>
            <w:vAlign w:val="top"/>
          </w:tcPr>
          <w:p>
            <w:pPr>
              <w:spacing w:before="0" w:after="20" w:line="240" w:lineRule="auto"/>
            </w:pPr>
            <w:r/>
            <w:r>
              <w:rPr>
                <w:rFonts w:ascii="Calibri" w:hAnsi="Calibri"/>
                <w:b w:val="0"/>
                <w:color w:val="1F1F1F"/>
                <w:sz w:val="13"/>
              </w:rPr>
              <w:t>43% (160)</w:t>
            </w:r>
          </w:p>
        </w:tc>
        <w:tc>
          <w:tcPr>
            <w:tcW w:type="dxa" w:w="1512"/>
            <w:vAlign w:val="top"/>
          </w:tcPr>
          <w:p>
            <w:pPr>
              <w:spacing w:before="0" w:after="20" w:line="240" w:lineRule="auto"/>
            </w:pPr>
            <w:r/>
            <w:r>
              <w:rPr>
                <w:rFonts w:ascii="Calibri" w:hAnsi="Calibri"/>
                <w:b w:val="0"/>
                <w:color w:val="1F1F1F"/>
                <w:sz w:val="13"/>
              </w:rPr>
              <w:t>2% (6)</w:t>
            </w:r>
          </w:p>
        </w:tc>
        <w:tc>
          <w:tcPr>
            <w:tcW w:type="dxa" w:w="1512"/>
            <w:vAlign w:val="top"/>
          </w:tcPr>
          <w:p>
            <w:pPr>
              <w:spacing w:before="0" w:after="20" w:line="240" w:lineRule="auto"/>
            </w:pPr>
            <w:r/>
            <w:r>
              <w:rPr>
                <w:rFonts w:ascii="Calibri" w:hAnsi="Calibri"/>
                <w:b w:val="0"/>
                <w:color w:val="1F1F1F"/>
                <w:sz w:val="13"/>
              </w:rPr>
              <w:t>47% (176)</w:t>
            </w:r>
          </w:p>
        </w:tc>
        <w:tc>
          <w:tcPr>
            <w:tcW w:type="dxa" w:w="1512"/>
            <w:vAlign w:val="top"/>
          </w:tcPr>
          <w:p>
            <w:pPr>
              <w:spacing w:before="0" w:after="20" w:line="240" w:lineRule="auto"/>
            </w:pPr>
            <w:r/>
            <w:r>
              <w:rPr>
                <w:rFonts w:ascii="Calibri" w:hAnsi="Calibri"/>
                <w:b w:val="0"/>
                <w:color w:val="1F1F1F"/>
                <w:sz w:val="13"/>
              </w:rPr>
              <w:t>4% (15)</w:t>
            </w:r>
          </w:p>
        </w:tc>
      </w:tr>
      <w:tr>
        <w:tc>
          <w:tcPr>
            <w:tcW w:type="dxa" w:w="3168"/>
            <w:vAlign w:val="top"/>
          </w:tcPr>
          <w:p>
            <w:pPr>
              <w:spacing w:before="0" w:after="20" w:line="240" w:lineRule="auto"/>
            </w:pPr>
            <w:r/>
            <w:r>
              <w:rPr>
                <w:rFonts w:ascii="Calibri" w:hAnsi="Calibri"/>
                <w:b w:val="0"/>
                <w:color w:val="1F1F1F"/>
                <w:sz w:val="13"/>
              </w:rPr>
              <w:t>NON-HAEMATOLOGICAL</w:t>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c>
          <w:tcPr>
            <w:tcW w:type="dxa" w:w="1512"/>
            <w:vAlign w:val="top"/>
          </w:tcPr>
          <w:p>
            <w:pPr>
              <w:spacing w:before="0" w:after="20" w:line="240" w:lineRule="auto"/>
            </w:pPr>
            <w:r/>
            <w:r>
              <w:rPr>
                <w:rFonts w:ascii="Calibri" w:hAnsi="Calibri"/>
                <w:b w:val="0"/>
                <w:color w:val="1F1F1F"/>
                <w:sz w:val="13"/>
              </w:rPr>
            </w:r>
          </w:p>
        </w:tc>
      </w:tr>
      <w:tr>
        <w:tc>
          <w:tcPr>
            <w:tcW w:type="dxa" w:w="3168"/>
            <w:vAlign w:val="top"/>
          </w:tcPr>
          <w:p>
            <w:pPr>
              <w:spacing w:before="0" w:after="20" w:line="240" w:lineRule="auto"/>
            </w:pPr>
            <w:r/>
            <w:r>
              <w:rPr>
                <w:rFonts w:ascii="Calibri" w:hAnsi="Calibri"/>
                <w:b w:val="0"/>
                <w:color w:val="1F1F1F"/>
                <w:sz w:val="13"/>
              </w:rPr>
              <w:t>Diarrhoea</w:t>
            </w:r>
          </w:p>
        </w:tc>
        <w:tc>
          <w:tcPr>
            <w:tcW w:type="dxa" w:w="1512"/>
            <w:vAlign w:val="top"/>
          </w:tcPr>
          <w:p>
            <w:pPr>
              <w:spacing w:before="0" w:after="20" w:line="240" w:lineRule="auto"/>
            </w:pPr>
            <w:r/>
            <w:r>
              <w:rPr>
                <w:rFonts w:ascii="Calibri" w:hAnsi="Calibri"/>
                <w:b w:val="0"/>
                <w:color w:val="1F1F1F"/>
                <w:sz w:val="13"/>
              </w:rPr>
              <w:t>11% (39)</w:t>
            </w:r>
          </w:p>
        </w:tc>
        <w:tc>
          <w:tcPr>
            <w:tcW w:type="dxa" w:w="1512"/>
            <w:vAlign w:val="top"/>
          </w:tcPr>
          <w:p>
            <w:pPr>
              <w:spacing w:before="0" w:after="20" w:line="240" w:lineRule="auto"/>
            </w:pPr>
            <w:r/>
            <w:r>
              <w:rPr>
                <w:rFonts w:ascii="Calibri" w:hAnsi="Calibri"/>
                <w:b w:val="0"/>
                <w:color w:val="1F1F1F"/>
                <w:sz w:val="13"/>
              </w:rPr>
              <w:t>&lt;1% (1)</w:t>
            </w:r>
          </w:p>
        </w:tc>
        <w:tc>
          <w:tcPr>
            <w:tcW w:type="dxa" w:w="1512"/>
            <w:vAlign w:val="top"/>
          </w:tcPr>
          <w:p>
            <w:pPr>
              <w:spacing w:before="0" w:after="20" w:line="240" w:lineRule="auto"/>
            </w:pPr>
            <w:r/>
            <w:r>
              <w:rPr>
                <w:rFonts w:ascii="Calibri" w:hAnsi="Calibri"/>
                <w:b w:val="0"/>
                <w:color w:val="1F1F1F"/>
                <w:sz w:val="13"/>
              </w:rPr>
              <w:t>47% (173)</w:t>
            </w:r>
          </w:p>
        </w:tc>
        <w:tc>
          <w:tcPr>
            <w:tcW w:type="dxa" w:w="1512"/>
            <w:vAlign w:val="top"/>
          </w:tcPr>
          <w:p>
            <w:pPr>
              <w:spacing w:before="0" w:after="20" w:line="240" w:lineRule="auto"/>
            </w:pPr>
            <w:r/>
            <w:r>
              <w:rPr>
                <w:rFonts w:ascii="Calibri" w:hAnsi="Calibri"/>
                <w:b w:val="0"/>
                <w:color w:val="1F1F1F"/>
                <w:sz w:val="13"/>
              </w:rPr>
              <w:t>6% (23)</w:t>
            </w:r>
          </w:p>
        </w:tc>
      </w:tr>
      <w:tr>
        <w:tc>
          <w:tcPr>
            <w:tcW w:type="dxa" w:w="3168"/>
            <w:vAlign w:val="top"/>
          </w:tcPr>
          <w:p>
            <w:pPr>
              <w:spacing w:before="0" w:after="20" w:line="240" w:lineRule="auto"/>
            </w:pPr>
            <w:r/>
            <w:r>
              <w:rPr>
                <w:rFonts w:ascii="Calibri" w:hAnsi="Calibri"/>
                <w:b w:val="0"/>
                <w:color w:val="1F1F1F"/>
                <w:sz w:val="13"/>
              </w:rPr>
              <w:t>Fatigue</w:t>
            </w:r>
          </w:p>
        </w:tc>
        <w:tc>
          <w:tcPr>
            <w:tcW w:type="dxa" w:w="1512"/>
            <w:vAlign w:val="top"/>
          </w:tcPr>
          <w:p>
            <w:pPr>
              <w:spacing w:before="0" w:after="20" w:line="240" w:lineRule="auto"/>
            </w:pPr>
            <w:r/>
            <w:r>
              <w:rPr>
                <w:rFonts w:ascii="Calibri" w:hAnsi="Calibri"/>
                <w:b w:val="0"/>
                <w:color w:val="1F1F1F"/>
                <w:sz w:val="13"/>
              </w:rPr>
              <w:t>27% (102)</w:t>
            </w:r>
          </w:p>
        </w:tc>
        <w:tc>
          <w:tcPr>
            <w:tcW w:type="dxa" w:w="1512"/>
            <w:vAlign w:val="top"/>
          </w:tcPr>
          <w:p>
            <w:pPr>
              <w:spacing w:before="0" w:after="20" w:line="240" w:lineRule="auto"/>
            </w:pPr>
            <w:r/>
            <w:r>
              <w:rPr>
                <w:rFonts w:ascii="Calibri" w:hAnsi="Calibri"/>
                <w:b w:val="0"/>
                <w:color w:val="1F1F1F"/>
                <w:sz w:val="13"/>
              </w:rPr>
              <w:t>3% (11)</w:t>
            </w:r>
          </w:p>
        </w:tc>
        <w:tc>
          <w:tcPr>
            <w:tcW w:type="dxa" w:w="1512"/>
            <w:vAlign w:val="top"/>
          </w:tcPr>
          <w:p>
            <w:pPr>
              <w:spacing w:before="0" w:after="20" w:line="240" w:lineRule="auto"/>
            </w:pPr>
            <w:r/>
            <w:r>
              <w:rPr>
                <w:rFonts w:ascii="Calibri" w:hAnsi="Calibri"/>
                <w:b w:val="0"/>
                <w:color w:val="1F1F1F"/>
                <w:sz w:val="13"/>
              </w:rPr>
              <w:t>37% (136)</w:t>
            </w:r>
          </w:p>
        </w:tc>
        <w:tc>
          <w:tcPr>
            <w:tcW w:type="dxa" w:w="1512"/>
            <w:vAlign w:val="top"/>
          </w:tcPr>
          <w:p>
            <w:pPr>
              <w:spacing w:before="0" w:after="20" w:line="240" w:lineRule="auto"/>
            </w:pPr>
            <w:r/>
            <w:r>
              <w:rPr>
                <w:rFonts w:ascii="Calibri" w:hAnsi="Calibri"/>
                <w:b w:val="0"/>
                <w:color w:val="1F1F1F"/>
                <w:sz w:val="13"/>
              </w:rPr>
              <w:t>5% (18)</w:t>
            </w:r>
          </w:p>
        </w:tc>
      </w:tr>
      <w:tr>
        <w:tc>
          <w:tcPr>
            <w:tcW w:type="dxa" w:w="3168"/>
            <w:vAlign w:val="top"/>
          </w:tcPr>
          <w:p>
            <w:pPr>
              <w:spacing w:before="0" w:after="20" w:line="240" w:lineRule="auto"/>
            </w:pPr>
            <w:r/>
            <w:r>
              <w:rPr>
                <w:rFonts w:ascii="Calibri" w:hAnsi="Calibri"/>
                <w:b w:val="0"/>
                <w:color w:val="1F1F1F"/>
                <w:sz w:val="13"/>
              </w:rPr>
              <w:t>Nausea</w:t>
            </w:r>
          </w:p>
        </w:tc>
        <w:tc>
          <w:tcPr>
            <w:tcW w:type="dxa" w:w="1512"/>
            <w:vAlign w:val="top"/>
          </w:tcPr>
          <w:p>
            <w:pPr>
              <w:spacing w:before="0" w:after="20" w:line="240" w:lineRule="auto"/>
            </w:pPr>
            <w:r/>
            <w:r>
              <w:rPr>
                <w:rFonts w:ascii="Calibri" w:hAnsi="Calibri"/>
                <w:b w:val="0"/>
                <w:color w:val="1F1F1F"/>
                <w:sz w:val="13"/>
              </w:rPr>
              <w:t>23% (85)</w:t>
            </w:r>
          </w:p>
        </w:tc>
        <w:tc>
          <w:tcPr>
            <w:tcW w:type="dxa" w:w="1512"/>
            <w:vAlign w:val="top"/>
          </w:tcPr>
          <w:p>
            <w:pPr>
              <w:spacing w:before="0" w:after="20" w:line="240" w:lineRule="auto"/>
            </w:pPr>
            <w:r/>
            <w:r>
              <w:rPr>
                <w:rFonts w:ascii="Calibri" w:hAnsi="Calibri"/>
                <w:b w:val="0"/>
                <w:color w:val="1F1F1F"/>
                <w:sz w:val="13"/>
              </w:rPr>
              <w:t>&lt;1% (1)</w:t>
            </w:r>
          </w:p>
        </w:tc>
        <w:tc>
          <w:tcPr>
            <w:tcW w:type="dxa" w:w="1512"/>
            <w:vAlign w:val="top"/>
          </w:tcPr>
          <w:p>
            <w:pPr>
              <w:spacing w:before="0" w:after="20" w:line="240" w:lineRule="auto"/>
            </w:pPr>
            <w:r/>
            <w:r>
              <w:rPr>
                <w:rFonts w:ascii="Calibri" w:hAnsi="Calibri"/>
                <w:b w:val="0"/>
                <w:color w:val="1F1F1F"/>
                <w:sz w:val="13"/>
              </w:rPr>
              <w:t>34% (127)</w:t>
            </w:r>
          </w:p>
        </w:tc>
        <w:tc>
          <w:tcPr>
            <w:tcW w:type="dxa" w:w="1512"/>
            <w:vAlign w:val="top"/>
          </w:tcPr>
          <w:p>
            <w:pPr>
              <w:spacing w:before="0" w:after="20" w:line="240" w:lineRule="auto"/>
            </w:pPr>
            <w:r/>
            <w:r>
              <w:rPr>
                <w:rFonts w:ascii="Calibri" w:hAnsi="Calibri"/>
                <w:b w:val="0"/>
                <w:color w:val="1F1F1F"/>
                <w:sz w:val="13"/>
              </w:rPr>
              <w:t>2% (7)</w:t>
            </w:r>
          </w:p>
        </w:tc>
      </w:tr>
      <w:tr>
        <w:tc>
          <w:tcPr>
            <w:tcW w:type="dxa" w:w="3168"/>
            <w:vAlign w:val="top"/>
          </w:tcPr>
          <w:p>
            <w:pPr>
              <w:spacing w:before="0" w:after="20" w:line="240" w:lineRule="auto"/>
            </w:pPr>
            <w:r/>
            <w:r>
              <w:rPr>
                <w:rFonts w:ascii="Calibri" w:hAnsi="Calibri"/>
                <w:b w:val="0"/>
                <w:color w:val="1F1F1F"/>
                <w:sz w:val="13"/>
              </w:rPr>
              <w:t>Constipation</w:t>
            </w:r>
          </w:p>
        </w:tc>
        <w:tc>
          <w:tcPr>
            <w:tcW w:type="dxa" w:w="1512"/>
            <w:vAlign w:val="top"/>
          </w:tcPr>
          <w:p>
            <w:pPr>
              <w:spacing w:before="0" w:after="20" w:line="240" w:lineRule="auto"/>
            </w:pPr>
            <w:r/>
            <w:r>
              <w:rPr>
                <w:rFonts w:ascii="Calibri" w:hAnsi="Calibri"/>
                <w:b w:val="0"/>
                <w:color w:val="1F1F1F"/>
                <w:sz w:val="13"/>
              </w:rPr>
              <w:t>15% (57)</w:t>
            </w:r>
          </w:p>
        </w:tc>
        <w:tc>
          <w:tcPr>
            <w:tcW w:type="dxa" w:w="1512"/>
            <w:vAlign w:val="top"/>
          </w:tcPr>
          <w:p>
            <w:pPr>
              <w:spacing w:before="0" w:after="20" w:line="240" w:lineRule="auto"/>
            </w:pPr>
            <w:r/>
            <w:r>
              <w:rPr>
                <w:rFonts w:ascii="Calibri" w:hAnsi="Calibri"/>
                <w:b w:val="0"/>
                <w:color w:val="1F1F1F"/>
                <w:sz w:val="13"/>
              </w:rPr>
              <w:t>1% (2)</w:t>
            </w:r>
          </w:p>
        </w:tc>
        <w:tc>
          <w:tcPr>
            <w:tcW w:type="dxa" w:w="1512"/>
            <w:vAlign w:val="top"/>
          </w:tcPr>
          <w:p>
            <w:pPr>
              <w:spacing w:before="0" w:after="20" w:line="240" w:lineRule="auto"/>
            </w:pPr>
            <w:r/>
            <w:r>
              <w:rPr>
                <w:rFonts w:ascii="Calibri" w:hAnsi="Calibri"/>
                <w:b w:val="0"/>
                <w:color w:val="1F1F1F"/>
                <w:sz w:val="13"/>
              </w:rPr>
              <w:t>20% (76)</w:t>
            </w:r>
          </w:p>
        </w:tc>
        <w:tc>
          <w:tcPr>
            <w:tcW w:type="dxa" w:w="1512"/>
            <w:vAlign w:val="top"/>
          </w:tcPr>
          <w:p>
            <w:pPr>
              <w:spacing w:before="0" w:after="20" w:line="240" w:lineRule="auto"/>
            </w:pPr>
            <w:r/>
            <w:r>
              <w:rPr>
                <w:rFonts w:ascii="Calibri" w:hAnsi="Calibri"/>
                <w:b w:val="0"/>
                <w:color w:val="1F1F1F"/>
                <w:sz w:val="13"/>
              </w:rPr>
              <w:t>1% (4)</w:t>
            </w:r>
          </w:p>
        </w:tc>
      </w:tr>
      <w:tr>
        <w:tc>
          <w:tcPr>
            <w:tcW w:type="dxa" w:w="3168"/>
            <w:vAlign w:val="top"/>
          </w:tcPr>
          <w:p>
            <w:pPr>
              <w:spacing w:before="0" w:after="20" w:line="240" w:lineRule="auto"/>
            </w:pPr>
            <w:r/>
            <w:r>
              <w:rPr>
                <w:rFonts w:ascii="Calibri" w:hAnsi="Calibri"/>
                <w:b w:val="0"/>
                <w:color w:val="1F1F1F"/>
                <w:sz w:val="13"/>
              </w:rPr>
              <w:t>Vomiting</w:t>
            </w:r>
          </w:p>
        </w:tc>
        <w:tc>
          <w:tcPr>
            <w:tcW w:type="dxa" w:w="1512"/>
            <w:vAlign w:val="top"/>
          </w:tcPr>
          <w:p>
            <w:pPr>
              <w:spacing w:before="0" w:after="20" w:line="240" w:lineRule="auto"/>
            </w:pPr>
            <w:r/>
            <w:r>
              <w:rPr>
                <w:rFonts w:ascii="Calibri" w:hAnsi="Calibri"/>
                <w:b w:val="0"/>
                <w:color w:val="1F1F1F"/>
                <w:sz w:val="13"/>
              </w:rPr>
              <w:t>10% (38)</w:t>
            </w:r>
          </w:p>
        </w:tc>
        <w:tc>
          <w:tcPr>
            <w:tcW w:type="dxa" w:w="1512"/>
            <w:vAlign w:val="top"/>
          </w:tcPr>
          <w:p>
            <w:pPr>
              <w:spacing w:before="0" w:after="20" w:line="240" w:lineRule="auto"/>
            </w:pPr>
            <w:r/>
            <w:r>
              <w:rPr>
                <w:rFonts w:ascii="Calibri" w:hAnsi="Calibri"/>
                <w:b w:val="0"/>
                <w:color w:val="1F1F1F"/>
                <w:sz w:val="13"/>
              </w:rPr>
              <w:t>0</w:t>
            </w:r>
          </w:p>
        </w:tc>
        <w:tc>
          <w:tcPr>
            <w:tcW w:type="dxa" w:w="1512"/>
            <w:vAlign w:val="top"/>
          </w:tcPr>
          <w:p>
            <w:pPr>
              <w:spacing w:before="0" w:after="20" w:line="240" w:lineRule="auto"/>
            </w:pPr>
            <w:r/>
            <w:r>
              <w:rPr>
                <w:rFonts w:ascii="Calibri" w:hAnsi="Calibri"/>
                <w:b w:val="0"/>
                <w:color w:val="1F1F1F"/>
                <w:sz w:val="13"/>
              </w:rPr>
              <w:t>23% (84)</w:t>
            </w:r>
          </w:p>
        </w:tc>
        <w:tc>
          <w:tcPr>
            <w:tcW w:type="dxa" w:w="1512"/>
            <w:vAlign w:val="top"/>
          </w:tcPr>
          <w:p>
            <w:pPr>
              <w:spacing w:before="0" w:after="20" w:line="240" w:lineRule="auto"/>
            </w:pPr>
            <w:r/>
            <w:r>
              <w:rPr>
                <w:rFonts w:ascii="Calibri" w:hAnsi="Calibri"/>
                <w:b w:val="0"/>
                <w:color w:val="1F1F1F"/>
                <w:sz w:val="13"/>
              </w:rPr>
              <w:t>2% (7)</w:t>
            </w:r>
          </w:p>
        </w:tc>
      </w:tr>
      <w:tr>
        <w:tc>
          <w:tcPr>
            <w:tcW w:type="dxa" w:w="3168"/>
            <w:vAlign w:val="top"/>
          </w:tcPr>
          <w:p>
            <w:pPr>
              <w:spacing w:before="0" w:after="20" w:line="240" w:lineRule="auto"/>
            </w:pPr>
            <w:r/>
            <w:r>
              <w:rPr>
                <w:rFonts w:ascii="Calibri" w:hAnsi="Calibri"/>
                <w:b w:val="0"/>
                <w:color w:val="1F1F1F"/>
                <w:sz w:val="13"/>
              </w:rPr>
              <w:t>Asthenia</w:t>
            </w:r>
          </w:p>
        </w:tc>
        <w:tc>
          <w:tcPr>
            <w:tcW w:type="dxa" w:w="1512"/>
            <w:vAlign w:val="top"/>
          </w:tcPr>
          <w:p>
            <w:pPr>
              <w:spacing w:before="0" w:after="20" w:line="240" w:lineRule="auto"/>
            </w:pPr>
            <w:r/>
            <w:r>
              <w:rPr>
                <w:rFonts w:ascii="Calibri" w:hAnsi="Calibri"/>
                <w:b w:val="0"/>
                <w:color w:val="1F1F1F"/>
                <w:sz w:val="13"/>
              </w:rPr>
              <w:t>12% (46)</w:t>
            </w:r>
          </w:p>
        </w:tc>
        <w:tc>
          <w:tcPr>
            <w:tcW w:type="dxa" w:w="1512"/>
            <w:vAlign w:val="top"/>
          </w:tcPr>
          <w:p>
            <w:pPr>
              <w:spacing w:before="0" w:after="20" w:line="240" w:lineRule="auto"/>
            </w:pPr>
            <w:r/>
            <w:r>
              <w:rPr>
                <w:rFonts w:ascii="Calibri" w:hAnsi="Calibri"/>
                <w:b w:val="0"/>
                <w:color w:val="1F1F1F"/>
                <w:sz w:val="13"/>
              </w:rPr>
              <w:t>2% (9)</w:t>
            </w:r>
          </w:p>
        </w:tc>
        <w:tc>
          <w:tcPr>
            <w:tcW w:type="dxa" w:w="1512"/>
            <w:vAlign w:val="top"/>
          </w:tcPr>
          <w:p>
            <w:pPr>
              <w:spacing w:before="0" w:after="20" w:line="240" w:lineRule="auto"/>
            </w:pPr>
            <w:r/>
            <w:r>
              <w:rPr>
                <w:rFonts w:ascii="Calibri" w:hAnsi="Calibri"/>
                <w:b w:val="0"/>
                <w:color w:val="1F1F1F"/>
                <w:sz w:val="13"/>
              </w:rPr>
              <w:t>20% (76)</w:t>
            </w:r>
          </w:p>
        </w:tc>
        <w:tc>
          <w:tcPr>
            <w:tcW w:type="dxa" w:w="1512"/>
            <w:vAlign w:val="top"/>
          </w:tcPr>
          <w:p>
            <w:pPr>
              <w:spacing w:before="0" w:after="20" w:line="240" w:lineRule="auto"/>
            </w:pPr>
            <w:r/>
            <w:r>
              <w:rPr>
                <w:rFonts w:ascii="Calibri" w:hAnsi="Calibri"/>
                <w:b w:val="0"/>
                <w:color w:val="1F1F1F"/>
                <w:sz w:val="13"/>
              </w:rPr>
              <w:t>5% (17)</w:t>
            </w:r>
          </w:p>
        </w:tc>
      </w:tr>
      <w:tr>
        <w:tc>
          <w:tcPr>
            <w:tcW w:type="dxa" w:w="3168"/>
            <w:vAlign w:val="top"/>
          </w:tcPr>
          <w:p>
            <w:pPr>
              <w:spacing w:before="0" w:after="20" w:line="240" w:lineRule="auto"/>
            </w:pPr>
            <w:r/>
            <w:r>
              <w:rPr>
                <w:rFonts w:ascii="Calibri" w:hAnsi="Calibri"/>
                <w:b w:val="0"/>
                <w:color w:val="1F1F1F"/>
                <w:sz w:val="13"/>
              </w:rPr>
              <w:t>Back pain</w:t>
            </w:r>
          </w:p>
        </w:tc>
        <w:tc>
          <w:tcPr>
            <w:tcW w:type="dxa" w:w="1512"/>
            <w:vAlign w:val="top"/>
          </w:tcPr>
          <w:p>
            <w:pPr>
              <w:spacing w:before="0" w:after="20" w:line="240" w:lineRule="auto"/>
            </w:pPr>
            <w:r/>
            <w:r>
              <w:rPr>
                <w:rFonts w:ascii="Calibri" w:hAnsi="Calibri"/>
                <w:b w:val="0"/>
                <w:color w:val="1F1F1F"/>
                <w:sz w:val="13"/>
              </w:rPr>
              <w:t>12% (45)</w:t>
            </w:r>
          </w:p>
        </w:tc>
        <w:tc>
          <w:tcPr>
            <w:tcW w:type="dxa" w:w="1512"/>
            <w:vAlign w:val="top"/>
          </w:tcPr>
          <w:p>
            <w:pPr>
              <w:spacing w:before="0" w:after="20" w:line="240" w:lineRule="auto"/>
            </w:pPr>
            <w:r/>
            <w:r>
              <w:rPr>
                <w:rFonts w:ascii="Calibri" w:hAnsi="Calibri"/>
                <w:b w:val="0"/>
                <w:color w:val="1F1F1F"/>
                <w:sz w:val="13"/>
              </w:rPr>
              <w:t>3% (11)</w:t>
            </w:r>
          </w:p>
        </w:tc>
        <w:tc>
          <w:tcPr>
            <w:tcW w:type="dxa" w:w="1512"/>
            <w:vAlign w:val="top"/>
          </w:tcPr>
          <w:p>
            <w:pPr>
              <w:spacing w:before="0" w:after="20" w:line="240" w:lineRule="auto"/>
            </w:pPr>
            <w:r/>
            <w:r>
              <w:rPr>
                <w:rFonts w:ascii="Calibri" w:hAnsi="Calibri"/>
                <w:b w:val="0"/>
                <w:color w:val="1F1F1F"/>
                <w:sz w:val="13"/>
              </w:rPr>
              <w:t>16% (60)</w:t>
            </w:r>
          </w:p>
        </w:tc>
        <w:tc>
          <w:tcPr>
            <w:tcW w:type="dxa" w:w="1512"/>
            <w:vAlign w:val="top"/>
          </w:tcPr>
          <w:p>
            <w:pPr>
              <w:spacing w:before="0" w:after="20" w:line="240" w:lineRule="auto"/>
            </w:pPr>
            <w:r/>
            <w:r>
              <w:rPr>
                <w:rFonts w:ascii="Calibri" w:hAnsi="Calibri"/>
                <w:b w:val="0"/>
                <w:color w:val="1F1F1F"/>
                <w:sz w:val="13"/>
              </w:rPr>
              <w:t>4% (14)</w:t>
            </w:r>
          </w:p>
        </w:tc>
      </w:tr>
      <w:tr>
        <w:tc>
          <w:tcPr>
            <w:tcW w:type="dxa" w:w="3168"/>
            <w:vAlign w:val="top"/>
          </w:tcPr>
          <w:p>
            <w:pPr>
              <w:spacing w:before="0" w:after="20" w:line="240" w:lineRule="auto"/>
            </w:pPr>
            <w:r/>
            <w:r>
              <w:rPr>
                <w:rFonts w:ascii="Calibri" w:hAnsi="Calibri"/>
                <w:b w:val="0"/>
                <w:color w:val="1F1F1F"/>
                <w:sz w:val="13"/>
              </w:rPr>
              <w:t>Arthralgia</w:t>
            </w:r>
          </w:p>
        </w:tc>
        <w:tc>
          <w:tcPr>
            <w:tcW w:type="dxa" w:w="1512"/>
            <w:vAlign w:val="top"/>
          </w:tcPr>
          <w:p>
            <w:pPr>
              <w:spacing w:before="0" w:after="20" w:line="240" w:lineRule="auto"/>
            </w:pPr>
            <w:r/>
            <w:r>
              <w:rPr>
                <w:rFonts w:ascii="Calibri" w:hAnsi="Calibri"/>
                <w:b w:val="0"/>
                <w:color w:val="1F1F1F"/>
                <w:sz w:val="13"/>
              </w:rPr>
              <w:t>8% (31)</w:t>
            </w:r>
          </w:p>
        </w:tc>
        <w:tc>
          <w:tcPr>
            <w:tcW w:type="dxa" w:w="1512"/>
            <w:vAlign w:val="top"/>
          </w:tcPr>
          <w:p>
            <w:pPr>
              <w:spacing w:before="0" w:after="20" w:line="240" w:lineRule="auto"/>
            </w:pPr>
            <w:r/>
            <w:r>
              <w:rPr>
                <w:rFonts w:ascii="Calibri" w:hAnsi="Calibri"/>
                <w:b w:val="0"/>
                <w:color w:val="1F1F1F"/>
                <w:sz w:val="13"/>
              </w:rPr>
              <w:t>1% (4)</w:t>
            </w:r>
          </w:p>
        </w:tc>
        <w:tc>
          <w:tcPr>
            <w:tcW w:type="dxa" w:w="1512"/>
            <w:vAlign w:val="top"/>
          </w:tcPr>
          <w:p>
            <w:pPr>
              <w:spacing w:before="0" w:after="20" w:line="240" w:lineRule="auto"/>
            </w:pPr>
            <w:r/>
            <w:r>
              <w:rPr>
                <w:rFonts w:ascii="Calibri" w:hAnsi="Calibri"/>
                <w:b w:val="0"/>
                <w:color w:val="1F1F1F"/>
                <w:sz w:val="13"/>
              </w:rPr>
              <w:t>11% (39)</w:t>
            </w:r>
          </w:p>
        </w:tc>
        <w:tc>
          <w:tcPr>
            <w:tcW w:type="dxa" w:w="1512"/>
            <w:vAlign w:val="top"/>
          </w:tcPr>
          <w:p>
            <w:pPr>
              <w:spacing w:before="0" w:after="20" w:line="240" w:lineRule="auto"/>
            </w:pPr>
            <w:r/>
            <w:r>
              <w:rPr>
                <w:rFonts w:ascii="Calibri" w:hAnsi="Calibri"/>
                <w:b w:val="0"/>
                <w:color w:val="1F1F1F"/>
                <w:sz w:val="13"/>
              </w:rPr>
              <w:t>1% (4)</w:t>
            </w:r>
          </w:p>
        </w:tc>
      </w:tr>
      <w:tr>
        <w:tc>
          <w:tcPr>
            <w:tcW w:type="dxa" w:w="3168"/>
            <w:vAlign w:val="top"/>
          </w:tcPr>
          <w:p>
            <w:pPr>
              <w:spacing w:before="0" w:after="20" w:line="240" w:lineRule="auto"/>
            </w:pPr>
            <w:r/>
            <w:r>
              <w:rPr>
                <w:rFonts w:ascii="Calibri" w:hAnsi="Calibri"/>
                <w:b w:val="0"/>
                <w:color w:val="1F1F1F"/>
                <w:sz w:val="13"/>
              </w:rPr>
              <w:t>Pain in extremity</w:t>
            </w:r>
          </w:p>
        </w:tc>
        <w:tc>
          <w:tcPr>
            <w:tcW w:type="dxa" w:w="1512"/>
            <w:vAlign w:val="top"/>
          </w:tcPr>
          <w:p>
            <w:pPr>
              <w:spacing w:before="0" w:after="20" w:line="240" w:lineRule="auto"/>
            </w:pPr>
            <w:r/>
            <w:r>
              <w:rPr>
                <w:rFonts w:ascii="Calibri" w:hAnsi="Calibri"/>
                <w:b w:val="0"/>
                <w:color w:val="1F1F1F"/>
                <w:sz w:val="13"/>
              </w:rPr>
              <w:t>7% (27)</w:t>
            </w:r>
          </w:p>
        </w:tc>
        <w:tc>
          <w:tcPr>
            <w:tcW w:type="dxa" w:w="1512"/>
            <w:vAlign w:val="top"/>
          </w:tcPr>
          <w:p>
            <w:pPr>
              <w:spacing w:before="0" w:after="20" w:line="240" w:lineRule="auto"/>
            </w:pPr>
            <w:r/>
            <w:r>
              <w:rPr>
                <w:rFonts w:ascii="Calibri" w:hAnsi="Calibri"/>
                <w:b w:val="0"/>
                <w:color w:val="1F1F1F"/>
                <w:sz w:val="13"/>
              </w:rPr>
              <w:t>1% (4)</w:t>
            </w:r>
          </w:p>
        </w:tc>
        <w:tc>
          <w:tcPr>
            <w:tcW w:type="dxa" w:w="1512"/>
            <w:vAlign w:val="top"/>
          </w:tcPr>
          <w:p>
            <w:pPr>
              <w:spacing w:before="0" w:after="20" w:line="240" w:lineRule="auto"/>
            </w:pPr>
            <w:r/>
            <w:r>
              <w:rPr>
                <w:rFonts w:ascii="Calibri" w:hAnsi="Calibri"/>
                <w:b w:val="0"/>
                <w:color w:val="1F1F1F"/>
                <w:sz w:val="13"/>
              </w:rPr>
              <w:t>8% (30)</w:t>
            </w:r>
          </w:p>
        </w:tc>
        <w:tc>
          <w:tcPr>
            <w:tcW w:type="dxa" w:w="1512"/>
            <w:vAlign w:val="top"/>
          </w:tcPr>
          <w:p>
            <w:pPr>
              <w:spacing w:before="0" w:after="20" w:line="240" w:lineRule="auto"/>
            </w:pPr>
            <w:r/>
            <w:r>
              <w:rPr>
                <w:rFonts w:ascii="Calibri" w:hAnsi="Calibri"/>
                <w:b w:val="0"/>
                <w:color w:val="1F1F1F"/>
                <w:sz w:val="13"/>
              </w:rPr>
              <w:t>2% (6)</w:t>
            </w:r>
          </w:p>
        </w:tc>
      </w:tr>
      <w:tr>
        <w:tc>
          <w:tcPr>
            <w:tcW w:type="dxa" w:w="3168"/>
            <w:vAlign w:val="top"/>
          </w:tcPr>
          <w:p>
            <w:pPr>
              <w:spacing w:before="0" w:after="20" w:line="240" w:lineRule="auto"/>
            </w:pPr>
            <w:r/>
            <w:r>
              <w:rPr>
                <w:rFonts w:ascii="Calibri" w:hAnsi="Calibri"/>
                <w:b w:val="0"/>
                <w:color w:val="1F1F1F"/>
                <w:sz w:val="13"/>
              </w:rPr>
              <w:t>Haematuria</w:t>
            </w:r>
          </w:p>
        </w:tc>
        <w:tc>
          <w:tcPr>
            <w:tcW w:type="dxa" w:w="1512"/>
            <w:vAlign w:val="top"/>
          </w:tcPr>
          <w:p>
            <w:pPr>
              <w:spacing w:before="0" w:after="20" w:line="240" w:lineRule="auto"/>
            </w:pPr>
            <w:r/>
            <w:r>
              <w:rPr>
                <w:rFonts w:ascii="Calibri" w:hAnsi="Calibri"/>
                <w:b w:val="0"/>
                <w:color w:val="1F1F1F"/>
                <w:sz w:val="13"/>
              </w:rPr>
              <w:t>4% (14)</w:t>
            </w:r>
          </w:p>
        </w:tc>
        <w:tc>
          <w:tcPr>
            <w:tcW w:type="dxa" w:w="1512"/>
            <w:vAlign w:val="top"/>
          </w:tcPr>
          <w:p>
            <w:pPr>
              <w:spacing w:before="0" w:after="20" w:line="240" w:lineRule="auto"/>
            </w:pPr>
            <w:r/>
            <w:r>
              <w:rPr>
                <w:rFonts w:ascii="Calibri" w:hAnsi="Calibri"/>
                <w:b w:val="0"/>
                <w:color w:val="1F1F1F"/>
                <w:sz w:val="13"/>
              </w:rPr>
              <w:t>1% (2)</w:t>
            </w:r>
          </w:p>
        </w:tc>
        <w:tc>
          <w:tcPr>
            <w:tcW w:type="dxa" w:w="1512"/>
            <w:vAlign w:val="top"/>
          </w:tcPr>
          <w:p>
            <w:pPr>
              <w:spacing w:before="0" w:after="20" w:line="240" w:lineRule="auto"/>
            </w:pPr>
            <w:r/>
            <w:r>
              <w:rPr>
                <w:rFonts w:ascii="Calibri" w:hAnsi="Calibri"/>
                <w:b w:val="0"/>
                <w:color w:val="1F1F1F"/>
                <w:sz w:val="13"/>
              </w:rPr>
              <w:t>17% (62)</w:t>
            </w:r>
          </w:p>
        </w:tc>
        <w:tc>
          <w:tcPr>
            <w:tcW w:type="dxa" w:w="1512"/>
            <w:vAlign w:val="top"/>
          </w:tcPr>
          <w:p>
            <w:pPr>
              <w:spacing w:before="0" w:after="20" w:line="240" w:lineRule="auto"/>
            </w:pPr>
            <w:r/>
            <w:r>
              <w:rPr>
                <w:rFonts w:ascii="Calibri" w:hAnsi="Calibri"/>
                <w:b w:val="0"/>
                <w:color w:val="1F1F1F"/>
                <w:sz w:val="13"/>
              </w:rPr>
              <w:t>2% (7)</w:t>
            </w:r>
          </w:p>
        </w:tc>
      </w:tr>
      <w:tr>
        <w:tc>
          <w:tcPr>
            <w:tcW w:type="dxa" w:w="3168"/>
            <w:vAlign w:val="top"/>
          </w:tcPr>
          <w:p>
            <w:pPr>
              <w:spacing w:before="0" w:after="20" w:line="240" w:lineRule="auto"/>
            </w:pPr>
            <w:r/>
            <w:r>
              <w:rPr>
                <w:rFonts w:ascii="Calibri" w:hAnsi="Calibri"/>
                <w:b w:val="0"/>
                <w:color w:val="1F1F1F"/>
                <w:sz w:val="13"/>
              </w:rPr>
              <w:t>Abdominal pain</w:t>
            </w:r>
          </w:p>
        </w:tc>
        <w:tc>
          <w:tcPr>
            <w:tcW w:type="dxa" w:w="1512"/>
            <w:vAlign w:val="top"/>
          </w:tcPr>
          <w:p>
            <w:pPr>
              <w:spacing w:before="0" w:after="20" w:line="240" w:lineRule="auto"/>
            </w:pPr>
            <w:r/>
            <w:r>
              <w:rPr>
                <w:rFonts w:ascii="Calibri" w:hAnsi="Calibri"/>
                <w:b w:val="0"/>
                <w:color w:val="1F1F1F"/>
                <w:sz w:val="13"/>
              </w:rPr>
              <w:t>4% (13)</w:t>
            </w:r>
          </w:p>
        </w:tc>
        <w:tc>
          <w:tcPr>
            <w:tcW w:type="dxa" w:w="1512"/>
            <w:vAlign w:val="top"/>
          </w:tcPr>
          <w:p>
            <w:pPr>
              <w:spacing w:before="0" w:after="20" w:line="240" w:lineRule="auto"/>
            </w:pPr>
            <w:r/>
            <w:r>
              <w:rPr>
                <w:rFonts w:ascii="Calibri" w:hAnsi="Calibri"/>
                <w:b w:val="0"/>
                <w:color w:val="1F1F1F"/>
                <w:sz w:val="13"/>
              </w:rPr>
              <w:t>0</w:t>
            </w:r>
          </w:p>
        </w:tc>
        <w:tc>
          <w:tcPr>
            <w:tcW w:type="dxa" w:w="1512"/>
            <w:vAlign w:val="top"/>
          </w:tcPr>
          <w:p>
            <w:pPr>
              <w:spacing w:before="0" w:after="20" w:line="240" w:lineRule="auto"/>
            </w:pPr>
            <w:r/>
            <w:r>
              <w:rPr>
                <w:rFonts w:ascii="Calibri" w:hAnsi="Calibri"/>
                <w:b w:val="0"/>
                <w:color w:val="1F1F1F"/>
                <w:sz w:val="13"/>
              </w:rPr>
              <w:t>12% (43)</w:t>
            </w:r>
          </w:p>
        </w:tc>
        <w:tc>
          <w:tcPr>
            <w:tcW w:type="dxa" w:w="1512"/>
            <w:vAlign w:val="top"/>
          </w:tcPr>
          <w:p>
            <w:pPr>
              <w:spacing w:before="0" w:after="20" w:line="240" w:lineRule="auto"/>
            </w:pPr>
            <w:r/>
            <w:r>
              <w:rPr>
                <w:rFonts w:ascii="Calibri" w:hAnsi="Calibri"/>
                <w:b w:val="0"/>
                <w:color w:val="1F1F1F"/>
                <w:sz w:val="13"/>
              </w:rPr>
              <w:t>2% (7)</w:t>
            </w:r>
          </w:p>
        </w:tc>
      </w:tr>
      <w:tr>
        <w:tc>
          <w:tcPr>
            <w:tcW w:type="dxa" w:w="3168"/>
            <w:vAlign w:val="top"/>
          </w:tcPr>
          <w:p>
            <w:pPr>
              <w:spacing w:before="0" w:after="20" w:line="240" w:lineRule="auto"/>
            </w:pPr>
            <w:r/>
            <w:r>
              <w:rPr>
                <w:rFonts w:ascii="Calibri" w:hAnsi="Calibri"/>
                <w:b w:val="0"/>
                <w:color w:val="1F1F1F"/>
                <w:sz w:val="13"/>
              </w:rPr>
              <w:t>Dyspnoea</w:t>
            </w:r>
          </w:p>
        </w:tc>
        <w:tc>
          <w:tcPr>
            <w:tcW w:type="dxa" w:w="1512"/>
            <w:vAlign w:val="top"/>
          </w:tcPr>
          <w:p>
            <w:pPr>
              <w:spacing w:before="0" w:after="20" w:line="240" w:lineRule="auto"/>
            </w:pPr>
            <w:r/>
            <w:r>
              <w:rPr>
                <w:rFonts w:ascii="Calibri" w:hAnsi="Calibri"/>
                <w:b w:val="0"/>
                <w:color w:val="1F1F1F"/>
                <w:sz w:val="13"/>
              </w:rPr>
              <w:t>5% (17)</w:t>
            </w:r>
          </w:p>
        </w:tc>
        <w:tc>
          <w:tcPr>
            <w:tcW w:type="dxa" w:w="1512"/>
            <w:vAlign w:val="top"/>
          </w:tcPr>
          <w:p>
            <w:pPr>
              <w:spacing w:before="0" w:after="20" w:line="240" w:lineRule="auto"/>
            </w:pPr>
            <w:r/>
            <w:r>
              <w:rPr>
                <w:rFonts w:ascii="Calibri" w:hAnsi="Calibri"/>
                <w:b w:val="0"/>
                <w:color w:val="1F1F1F"/>
                <w:sz w:val="13"/>
              </w:rPr>
              <w:t>1% (3)</w:t>
            </w:r>
          </w:p>
        </w:tc>
        <w:tc>
          <w:tcPr>
            <w:tcW w:type="dxa" w:w="1512"/>
            <w:vAlign w:val="top"/>
          </w:tcPr>
          <w:p>
            <w:pPr>
              <w:spacing w:before="0" w:after="20" w:line="240" w:lineRule="auto"/>
            </w:pPr>
            <w:r/>
            <w:r>
              <w:rPr>
                <w:rFonts w:ascii="Calibri" w:hAnsi="Calibri"/>
                <w:b w:val="0"/>
                <w:color w:val="1F1F1F"/>
                <w:sz w:val="13"/>
              </w:rPr>
              <w:t>12% (44)</w:t>
            </w:r>
          </w:p>
        </w:tc>
        <w:tc>
          <w:tcPr>
            <w:tcW w:type="dxa" w:w="1512"/>
            <w:vAlign w:val="top"/>
          </w:tcPr>
          <w:p>
            <w:pPr>
              <w:spacing w:before="0" w:after="20" w:line="240" w:lineRule="auto"/>
            </w:pPr>
            <w:r/>
            <w:r>
              <w:rPr>
                <w:rFonts w:ascii="Calibri" w:hAnsi="Calibri"/>
                <w:b w:val="0"/>
                <w:color w:val="1F1F1F"/>
                <w:sz w:val="13"/>
              </w:rPr>
              <w:t>1% (5)</w:t>
            </w:r>
          </w:p>
        </w:tc>
      </w:tr>
      <w:tr>
        <w:tc>
          <w:tcPr>
            <w:tcW w:type="dxa" w:w="3168"/>
            <w:vAlign w:val="top"/>
          </w:tcPr>
          <w:p>
            <w:pPr>
              <w:spacing w:before="0" w:after="20" w:line="240" w:lineRule="auto"/>
            </w:pPr>
            <w:r/>
            <w:r>
              <w:rPr>
                <w:rFonts w:ascii="Calibri" w:hAnsi="Calibri"/>
                <w:b w:val="0"/>
                <w:color w:val="1F1F1F"/>
                <w:sz w:val="13"/>
              </w:rPr>
              <w:t>Pyrexia</w:t>
            </w:r>
          </w:p>
        </w:tc>
        <w:tc>
          <w:tcPr>
            <w:tcW w:type="dxa" w:w="1512"/>
            <w:vAlign w:val="top"/>
          </w:tcPr>
          <w:p>
            <w:pPr>
              <w:spacing w:before="0" w:after="20" w:line="240" w:lineRule="auto"/>
            </w:pPr>
            <w:r/>
            <w:r>
              <w:rPr>
                <w:rFonts w:ascii="Calibri" w:hAnsi="Calibri"/>
                <w:b w:val="0"/>
                <w:color w:val="1F1F1F"/>
                <w:sz w:val="13"/>
              </w:rPr>
              <w:t>6% (23)</w:t>
            </w:r>
          </w:p>
        </w:tc>
        <w:tc>
          <w:tcPr>
            <w:tcW w:type="dxa" w:w="1512"/>
            <w:vAlign w:val="top"/>
          </w:tcPr>
          <w:p>
            <w:pPr>
              <w:spacing w:before="0" w:after="20" w:line="240" w:lineRule="auto"/>
            </w:pPr>
            <w:r/>
            <w:r>
              <w:rPr>
                <w:rFonts w:ascii="Calibri" w:hAnsi="Calibri"/>
                <w:b w:val="0"/>
                <w:color w:val="1F1F1F"/>
                <w:sz w:val="13"/>
              </w:rPr>
              <w:t>&lt;1% (1)</w:t>
            </w:r>
          </w:p>
        </w:tc>
        <w:tc>
          <w:tcPr>
            <w:tcW w:type="dxa" w:w="1512"/>
            <w:vAlign w:val="top"/>
          </w:tcPr>
          <w:p>
            <w:pPr>
              <w:spacing w:before="0" w:after="20" w:line="240" w:lineRule="auto"/>
            </w:pPr>
            <w:r/>
            <w:r>
              <w:rPr>
                <w:rFonts w:ascii="Calibri" w:hAnsi="Calibri"/>
                <w:b w:val="0"/>
                <w:color w:val="1F1F1F"/>
                <w:sz w:val="13"/>
              </w:rPr>
              <w:t>12% (45)</w:t>
            </w:r>
          </w:p>
        </w:tc>
        <w:tc>
          <w:tcPr>
            <w:tcW w:type="dxa" w:w="1512"/>
            <w:vAlign w:val="top"/>
          </w:tcPr>
          <w:p>
            <w:pPr>
              <w:spacing w:before="0" w:after="20" w:line="240" w:lineRule="auto"/>
            </w:pPr>
            <w:r/>
            <w:r>
              <w:rPr>
                <w:rFonts w:ascii="Calibri" w:hAnsi="Calibri"/>
                <w:b w:val="0"/>
                <w:color w:val="1F1F1F"/>
                <w:sz w:val="13"/>
              </w:rPr>
              <w:t>1% (4)</w:t>
            </w:r>
          </w:p>
        </w:tc>
      </w:tr>
      <w:tr>
        <w:tc>
          <w:tcPr>
            <w:tcW w:type="dxa" w:w="3168"/>
            <w:vAlign w:val="top"/>
          </w:tcPr>
          <w:p>
            <w:pPr>
              <w:spacing w:before="0" w:after="20" w:line="240" w:lineRule="auto"/>
            </w:pPr>
            <w:r/>
            <w:r>
              <w:rPr>
                <w:rFonts w:ascii="Calibri" w:hAnsi="Calibri"/>
                <w:b w:val="0"/>
                <w:color w:val="1F1F1F"/>
                <w:sz w:val="13"/>
              </w:rPr>
              <w:t>Urinary tract infection</w:t>
            </w:r>
          </w:p>
        </w:tc>
        <w:tc>
          <w:tcPr>
            <w:tcW w:type="dxa" w:w="1512"/>
            <w:vAlign w:val="top"/>
          </w:tcPr>
          <w:p>
            <w:pPr>
              <w:spacing w:before="0" w:after="20" w:line="240" w:lineRule="auto"/>
            </w:pPr>
            <w:r/>
            <w:r>
              <w:rPr>
                <w:rFonts w:ascii="Calibri" w:hAnsi="Calibri"/>
                <w:b w:val="0"/>
                <w:color w:val="1F1F1F"/>
                <w:sz w:val="13"/>
              </w:rPr>
              <w:t>3% (11)</w:t>
            </w:r>
          </w:p>
        </w:tc>
        <w:tc>
          <w:tcPr>
            <w:tcW w:type="dxa" w:w="1512"/>
            <w:vAlign w:val="top"/>
          </w:tcPr>
          <w:p>
            <w:pPr>
              <w:spacing w:before="0" w:after="20" w:line="240" w:lineRule="auto"/>
            </w:pPr>
            <w:r/>
            <w:r>
              <w:rPr>
                <w:rFonts w:ascii="Calibri" w:hAnsi="Calibri"/>
                <w:b w:val="0"/>
                <w:color w:val="1F1F1F"/>
                <w:sz w:val="13"/>
              </w:rPr>
              <w:t>1% (3)</w:t>
            </w:r>
          </w:p>
        </w:tc>
        <w:tc>
          <w:tcPr>
            <w:tcW w:type="dxa" w:w="1512"/>
            <w:vAlign w:val="top"/>
          </w:tcPr>
          <w:p>
            <w:pPr>
              <w:spacing w:before="0" w:after="20" w:line="240" w:lineRule="auto"/>
            </w:pPr>
            <w:r/>
            <w:r>
              <w:rPr>
                <w:rFonts w:ascii="Calibri" w:hAnsi="Calibri"/>
                <w:b w:val="0"/>
                <w:color w:val="1F1F1F"/>
                <w:sz w:val="13"/>
              </w:rPr>
              <w:t>7% (27)</w:t>
            </w:r>
          </w:p>
        </w:tc>
        <w:tc>
          <w:tcPr>
            <w:tcW w:type="dxa" w:w="1512"/>
            <w:vAlign w:val="top"/>
          </w:tcPr>
          <w:p>
            <w:pPr>
              <w:spacing w:before="0" w:after="20" w:line="240" w:lineRule="auto"/>
            </w:pPr>
            <w:r/>
            <w:r>
              <w:rPr>
                <w:rFonts w:ascii="Calibri" w:hAnsi="Calibri"/>
                <w:b w:val="0"/>
                <w:color w:val="1F1F1F"/>
                <w:sz w:val="13"/>
              </w:rPr>
              <w:t>1% (4)</w:t>
            </w:r>
          </w:p>
        </w:tc>
      </w:tr>
      <w:tr>
        <w:tc>
          <w:tcPr>
            <w:tcW w:type="dxa" w:w="3168"/>
            <w:vAlign w:val="top"/>
          </w:tcPr>
          <w:p>
            <w:pPr>
              <w:spacing w:before="0" w:after="20" w:line="240" w:lineRule="auto"/>
            </w:pPr>
            <w:r/>
            <w:r>
              <w:rPr>
                <w:rFonts w:ascii="Calibri" w:hAnsi="Calibri"/>
                <w:b w:val="0"/>
                <w:color w:val="1F1F1F"/>
                <w:sz w:val="13"/>
              </w:rPr>
              <w:t>Pain</w:t>
            </w:r>
          </w:p>
        </w:tc>
        <w:tc>
          <w:tcPr>
            <w:tcW w:type="dxa" w:w="1512"/>
            <w:vAlign w:val="top"/>
          </w:tcPr>
          <w:p>
            <w:pPr>
              <w:spacing w:before="0" w:after="20" w:line="240" w:lineRule="auto"/>
            </w:pPr>
            <w:r/>
            <w:r>
              <w:rPr>
                <w:rFonts w:ascii="Calibri" w:hAnsi="Calibri"/>
                <w:b w:val="0"/>
                <w:color w:val="1F1F1F"/>
                <w:sz w:val="13"/>
              </w:rPr>
              <w:t>5% (18)</w:t>
            </w:r>
          </w:p>
        </w:tc>
        <w:tc>
          <w:tcPr>
            <w:tcW w:type="dxa" w:w="1512"/>
            <w:vAlign w:val="top"/>
          </w:tcPr>
          <w:p>
            <w:pPr>
              <w:spacing w:before="0" w:after="20" w:line="240" w:lineRule="auto"/>
            </w:pPr>
            <w:r/>
            <w:r>
              <w:rPr>
                <w:rFonts w:ascii="Calibri" w:hAnsi="Calibri"/>
                <w:b w:val="0"/>
                <w:color w:val="1F1F1F"/>
                <w:sz w:val="13"/>
              </w:rPr>
              <w:t>2% (7)</w:t>
            </w:r>
          </w:p>
        </w:tc>
        <w:tc>
          <w:tcPr>
            <w:tcW w:type="dxa" w:w="1512"/>
            <w:vAlign w:val="top"/>
          </w:tcPr>
          <w:p>
            <w:pPr>
              <w:spacing w:before="0" w:after="20" w:line="240" w:lineRule="auto"/>
            </w:pPr>
            <w:r/>
            <w:r>
              <w:rPr>
                <w:rFonts w:ascii="Calibri" w:hAnsi="Calibri"/>
                <w:b w:val="0"/>
                <w:color w:val="1F1F1F"/>
                <w:sz w:val="13"/>
              </w:rPr>
              <w:t>5% (20)</w:t>
            </w:r>
          </w:p>
        </w:tc>
        <w:tc>
          <w:tcPr>
            <w:tcW w:type="dxa" w:w="1512"/>
            <w:vAlign w:val="top"/>
          </w:tcPr>
          <w:p>
            <w:pPr>
              <w:spacing w:before="0" w:after="20" w:line="240" w:lineRule="auto"/>
            </w:pPr>
            <w:r/>
            <w:r>
              <w:rPr>
                <w:rFonts w:ascii="Calibri" w:hAnsi="Calibri"/>
                <w:b w:val="0"/>
                <w:color w:val="1F1F1F"/>
                <w:sz w:val="13"/>
              </w:rPr>
              <w:t>1% (4)</w:t>
            </w:r>
          </w:p>
        </w:tc>
      </w:tr>
      <w:tr>
        <w:tc>
          <w:tcPr>
            <w:tcW w:type="dxa" w:w="3168"/>
            <w:vAlign w:val="top"/>
          </w:tcPr>
          <w:p>
            <w:pPr>
              <w:spacing w:before="0" w:after="20" w:line="240" w:lineRule="auto"/>
            </w:pPr>
            <w:r/>
            <w:r>
              <w:rPr>
                <w:rFonts w:ascii="Calibri" w:hAnsi="Calibri"/>
                <w:b w:val="0"/>
                <w:color w:val="1F1F1F"/>
                <w:sz w:val="13"/>
              </w:rPr>
              <w:t>Bone pain</w:t>
            </w:r>
          </w:p>
        </w:tc>
        <w:tc>
          <w:tcPr>
            <w:tcW w:type="dxa" w:w="1512"/>
            <w:vAlign w:val="top"/>
          </w:tcPr>
          <w:p>
            <w:pPr>
              <w:spacing w:before="0" w:after="20" w:line="240" w:lineRule="auto"/>
            </w:pPr>
            <w:r/>
            <w:r>
              <w:rPr>
                <w:rFonts w:ascii="Calibri" w:hAnsi="Calibri"/>
                <w:b w:val="0"/>
                <w:color w:val="1F1F1F"/>
                <w:sz w:val="13"/>
              </w:rPr>
              <w:t>5% (19)</w:t>
            </w:r>
          </w:p>
        </w:tc>
        <w:tc>
          <w:tcPr>
            <w:tcW w:type="dxa" w:w="1512"/>
            <w:vAlign w:val="top"/>
          </w:tcPr>
          <w:p>
            <w:pPr>
              <w:spacing w:before="0" w:after="20" w:line="240" w:lineRule="auto"/>
            </w:pPr>
            <w:r/>
            <w:r>
              <w:rPr>
                <w:rFonts w:ascii="Calibri" w:hAnsi="Calibri"/>
                <w:b w:val="0"/>
                <w:color w:val="1F1F1F"/>
                <w:sz w:val="13"/>
              </w:rPr>
              <w:t>2% (9)</w:t>
            </w:r>
          </w:p>
        </w:tc>
        <w:tc>
          <w:tcPr>
            <w:tcW w:type="dxa" w:w="1512"/>
            <w:vAlign w:val="top"/>
          </w:tcPr>
          <w:p>
            <w:pPr>
              <w:spacing w:before="0" w:after="20" w:line="240" w:lineRule="auto"/>
            </w:pPr>
            <w:r/>
            <w:r>
              <w:rPr>
                <w:rFonts w:ascii="Calibri" w:hAnsi="Calibri"/>
                <w:b w:val="0"/>
                <w:color w:val="1F1F1F"/>
                <w:sz w:val="13"/>
              </w:rPr>
              <w:t>5% (19)</w:t>
            </w:r>
          </w:p>
        </w:tc>
        <w:tc>
          <w:tcPr>
            <w:tcW w:type="dxa" w:w="1512"/>
            <w:vAlign w:val="top"/>
          </w:tcPr>
          <w:p>
            <w:pPr>
              <w:spacing w:before="0" w:after="20" w:line="240" w:lineRule="auto"/>
            </w:pPr>
            <w:r/>
            <w:r>
              <w:rPr>
                <w:rFonts w:ascii="Calibri" w:hAnsi="Calibri"/>
                <w:b w:val="0"/>
                <w:color w:val="1F1F1F"/>
                <w:sz w:val="13"/>
              </w:rPr>
              <w:t>1% (3)</w:t>
            </w:r>
          </w:p>
        </w:tc>
      </w:tr>
      <w:tr>
        <w:tc>
          <w:tcPr>
            <w:tcW w:type="dxa" w:w="3168"/>
            <w:vAlign w:val="top"/>
          </w:tcPr>
          <w:p>
            <w:pPr>
              <w:spacing w:before="0" w:after="20" w:line="240" w:lineRule="auto"/>
            </w:pPr>
            <w:r/>
            <w:r>
              <w:rPr>
                <w:rFonts w:ascii="Calibri" w:hAnsi="Calibri"/>
                <w:b w:val="0"/>
                <w:color w:val="1F1F1F"/>
                <w:sz w:val="13"/>
              </w:rPr>
              <w:t>Peripheral neuropathy</w:t>
            </w:r>
          </w:p>
        </w:tc>
        <w:tc>
          <w:tcPr>
            <w:tcW w:type="dxa" w:w="1512"/>
            <w:vAlign w:val="top"/>
          </w:tcPr>
          <w:p>
            <w:pPr>
              <w:spacing w:before="0" w:after="20" w:line="240" w:lineRule="auto"/>
            </w:pPr>
            <w:r/>
            <w:r>
              <w:rPr>
                <w:rFonts w:ascii="Calibri" w:hAnsi="Calibri"/>
                <w:b w:val="0"/>
                <w:color w:val="1F1F1F"/>
                <w:sz w:val="13"/>
              </w:rPr>
              <w:t>3% (12)</w:t>
            </w:r>
          </w:p>
        </w:tc>
        <w:tc>
          <w:tcPr>
            <w:tcW w:type="dxa" w:w="1512"/>
            <w:vAlign w:val="top"/>
          </w:tcPr>
          <w:p>
            <w:pPr>
              <w:spacing w:before="0" w:after="20" w:line="240" w:lineRule="auto"/>
            </w:pPr>
            <w:r/>
            <w:r>
              <w:rPr>
                <w:rFonts w:ascii="Calibri" w:hAnsi="Calibri"/>
                <w:b w:val="0"/>
                <w:color w:val="1F1F1F"/>
                <w:sz w:val="13"/>
              </w:rPr>
              <w:t>1% (3)</w:t>
            </w:r>
          </w:p>
        </w:tc>
        <w:tc>
          <w:tcPr>
            <w:tcW w:type="dxa" w:w="1512"/>
            <w:vAlign w:val="top"/>
          </w:tcPr>
          <w:p>
            <w:pPr>
              <w:spacing w:before="0" w:after="20" w:line="240" w:lineRule="auto"/>
            </w:pPr>
            <w:r/>
            <w:r>
              <w:rPr>
                <w:rFonts w:ascii="Calibri" w:hAnsi="Calibri"/>
                <w:b w:val="0"/>
                <w:color w:val="1F1F1F"/>
                <w:sz w:val="13"/>
              </w:rPr>
              <w:t>14% (52)</w:t>
            </w:r>
          </w:p>
        </w:tc>
        <w:tc>
          <w:tcPr>
            <w:tcW w:type="dxa" w:w="1512"/>
            <w:vAlign w:val="top"/>
          </w:tcPr>
          <w:p>
            <w:pPr>
              <w:spacing w:before="0" w:after="20" w:line="240" w:lineRule="auto"/>
            </w:pPr>
            <w:r/>
            <w:r>
              <w:rPr>
                <w:rFonts w:ascii="Calibri" w:hAnsi="Calibri"/>
                <w:b w:val="0"/>
                <w:color w:val="1F1F1F"/>
                <w:sz w:val="13"/>
              </w:rPr>
              <w:t>1% (3)</w:t>
            </w:r>
          </w:p>
        </w:tc>
      </w:tr>
      <w:tr>
        <w:tc>
          <w:tcPr>
            <w:tcW w:type="dxa" w:w="3168"/>
            <w:vAlign w:val="top"/>
          </w:tcPr>
          <w:p>
            <w:pPr>
              <w:spacing w:before="0" w:after="20" w:line="240" w:lineRule="auto"/>
            </w:pPr>
            <w:r/>
            <w:r>
              <w:rPr>
                <w:rFonts w:ascii="Calibri" w:hAnsi="Calibri"/>
                <w:b w:val="0"/>
                <w:color w:val="1F1F1F"/>
                <w:sz w:val="13"/>
              </w:rPr>
              <w:t>Peripheral oedema</w:t>
            </w:r>
          </w:p>
        </w:tc>
        <w:tc>
          <w:tcPr>
            <w:tcW w:type="dxa" w:w="1512"/>
            <w:vAlign w:val="top"/>
          </w:tcPr>
          <w:p>
            <w:pPr>
              <w:spacing w:before="0" w:after="20" w:line="240" w:lineRule="auto"/>
            </w:pPr>
            <w:r/>
            <w:r>
              <w:rPr>
                <w:rFonts w:ascii="Calibri" w:hAnsi="Calibri"/>
                <w:b w:val="0"/>
                <w:color w:val="1F1F1F"/>
                <w:sz w:val="13"/>
              </w:rPr>
              <w:t>9% (34)</w:t>
            </w:r>
          </w:p>
        </w:tc>
        <w:tc>
          <w:tcPr>
            <w:tcW w:type="dxa" w:w="1512"/>
            <w:vAlign w:val="top"/>
          </w:tcPr>
          <w:p>
            <w:pPr>
              <w:spacing w:before="0" w:after="20" w:line="240" w:lineRule="auto"/>
            </w:pPr>
            <w:r/>
            <w:r>
              <w:rPr>
                <w:rFonts w:ascii="Calibri" w:hAnsi="Calibri"/>
                <w:b w:val="0"/>
                <w:color w:val="1F1F1F"/>
                <w:sz w:val="13"/>
              </w:rPr>
              <w:t>-</w:t>
            </w:r>
          </w:p>
        </w:tc>
        <w:tc>
          <w:tcPr>
            <w:tcW w:type="dxa" w:w="1512"/>
            <w:vAlign w:val="top"/>
          </w:tcPr>
          <w:p>
            <w:pPr>
              <w:spacing w:before="0" w:after="20" w:line="240" w:lineRule="auto"/>
            </w:pPr>
            <w:r/>
            <w:r>
              <w:rPr>
                <w:rFonts w:ascii="Calibri" w:hAnsi="Calibri"/>
                <w:b w:val="0"/>
                <w:color w:val="1F1F1F"/>
                <w:sz w:val="13"/>
              </w:rPr>
              <w:t>9% (34)</w:t>
            </w:r>
          </w:p>
        </w:tc>
        <w:tc>
          <w:tcPr>
            <w:tcW w:type="dxa" w:w="1512"/>
            <w:vAlign w:val="top"/>
          </w:tcPr>
          <w:p>
            <w:pPr>
              <w:spacing w:before="0" w:after="20" w:line="240" w:lineRule="auto"/>
            </w:pPr>
            <w:r/>
            <w:r>
              <w:rPr>
                <w:rFonts w:ascii="Calibri" w:hAnsi="Calibri"/>
                <w:b w:val="0"/>
                <w:color w:val="1F1F1F"/>
                <w:sz w:val="13"/>
              </w:rPr>
              <w:t>-</w:t>
            </w:r>
          </w:p>
        </w:tc>
      </w:tr>
    </w:tbl>
    <w:p/>
    <w:p>
      <w:pPr>
        <w:pStyle w:val="Heading2"/>
      </w:pPr>
      <w:r>
        <w:t>F.3 Death targets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vAlign w:val="top"/>
            <w:shd w:fill="1F4E79"/>
          </w:tcPr>
          <w:p>
            <w:pPr>
              <w:spacing w:before="0" w:after="20" w:line="240" w:lineRule="auto"/>
            </w:pPr>
            <w:r/>
            <w:r>
              <w:rPr>
                <w:rFonts w:ascii="Calibri" w:hAnsi="Calibri"/>
                <w:b/>
                <w:color w:val="FFFFFF"/>
                <w:sz w:val="14"/>
              </w:rPr>
              <w:t>Death Parameter</w:t>
            </w:r>
          </w:p>
        </w:tc>
        <w:tc>
          <w:tcPr>
            <w:tcW w:type="dxa" w:w="2808"/>
            <w:vAlign w:val="top"/>
            <w:shd w:fill="1F4E79"/>
          </w:tcPr>
          <w:p>
            <w:pPr>
              <w:spacing w:before="0" w:after="20" w:line="240" w:lineRule="auto"/>
            </w:pPr>
            <w:r/>
            <w:r>
              <w:rPr>
                <w:rFonts w:ascii="Calibri" w:hAnsi="Calibri"/>
                <w:b/>
                <w:color w:val="FFFFFF"/>
                <w:sz w:val="14"/>
              </w:rPr>
              <w:t>MP (n=371 safety)</w:t>
            </w:r>
          </w:p>
        </w:tc>
        <w:tc>
          <w:tcPr>
            <w:tcW w:type="dxa" w:w="2808"/>
            <w:vAlign w:val="top"/>
            <w:shd w:fill="1F4E79"/>
          </w:tcPr>
          <w:p>
            <w:pPr>
              <w:spacing w:before="0" w:after="20" w:line="240" w:lineRule="auto"/>
            </w:pPr>
            <w:r/>
            <w:r>
              <w:rPr>
                <w:rFonts w:ascii="Calibri" w:hAnsi="Calibri"/>
                <w:b/>
                <w:color w:val="FFFFFF"/>
                <w:sz w:val="14"/>
              </w:rPr>
              <w:t>CbzP (n=371 safety)</w:t>
            </w:r>
          </w:p>
        </w:tc>
      </w:tr>
      <w:tr>
        <w:tc>
          <w:tcPr>
            <w:tcW w:type="dxa" w:w="3744"/>
            <w:vAlign w:val="top"/>
          </w:tcPr>
          <w:p>
            <w:pPr>
              <w:spacing w:before="0" w:after="20" w:line="240" w:lineRule="auto"/>
            </w:pPr>
            <w:r/>
            <w:r>
              <w:rPr>
                <w:rFonts w:ascii="Calibri" w:hAnsi="Calibri"/>
                <w:b w:val="0"/>
                <w:color w:val="1F1F1F"/>
                <w:sz w:val="14"/>
              </w:rPr>
              <w:t>Total deaths during study (safety population)</w:t>
            </w:r>
          </w:p>
        </w:tc>
        <w:tc>
          <w:tcPr>
            <w:tcW w:type="dxa" w:w="2808"/>
            <w:vAlign w:val="top"/>
          </w:tcPr>
          <w:p>
            <w:pPr>
              <w:spacing w:before="0" w:after="20" w:line="240" w:lineRule="auto"/>
            </w:pPr>
            <w:r/>
            <w:r>
              <w:rPr>
                <w:rFonts w:ascii="Calibri" w:hAnsi="Calibri"/>
                <w:b w:val="0"/>
                <w:color w:val="1F1F1F"/>
                <w:sz w:val="14"/>
              </w:rPr>
              <w:t>275 (74%)</w:t>
            </w:r>
          </w:p>
        </w:tc>
        <w:tc>
          <w:tcPr>
            <w:tcW w:type="dxa" w:w="2808"/>
            <w:vAlign w:val="top"/>
          </w:tcPr>
          <w:p>
            <w:pPr>
              <w:spacing w:before="0" w:after="20" w:line="240" w:lineRule="auto"/>
            </w:pPr>
            <w:r/>
            <w:r>
              <w:rPr>
                <w:rFonts w:ascii="Calibri" w:hAnsi="Calibri"/>
                <w:b w:val="0"/>
                <w:color w:val="1F1F1F"/>
                <w:sz w:val="14"/>
              </w:rPr>
              <w:t>227 (61%)</w:t>
            </w:r>
          </w:p>
        </w:tc>
      </w:tr>
      <w:tr>
        <w:tc>
          <w:tcPr>
            <w:tcW w:type="dxa" w:w="3744"/>
            <w:vAlign w:val="top"/>
          </w:tcPr>
          <w:p>
            <w:pPr>
              <w:spacing w:before="0" w:after="20" w:line="240" w:lineRule="auto"/>
            </w:pPr>
            <w:r/>
            <w:r>
              <w:rPr>
                <w:rFonts w:ascii="Calibri" w:hAnsi="Calibri"/>
                <w:b w:val="0"/>
                <w:color w:val="1F1F1F"/>
                <w:sz w:val="14"/>
              </w:rPr>
              <w:t>Deaths &lt;=30 days after last dose</w:t>
            </w:r>
          </w:p>
        </w:tc>
        <w:tc>
          <w:tcPr>
            <w:tcW w:type="dxa" w:w="2808"/>
            <w:vAlign w:val="top"/>
          </w:tcPr>
          <w:p>
            <w:pPr>
              <w:spacing w:before="0" w:after="20" w:line="240" w:lineRule="auto"/>
            </w:pPr>
            <w:r/>
            <w:r>
              <w:rPr>
                <w:rFonts w:ascii="Calibri" w:hAnsi="Calibri"/>
                <w:b w:val="0"/>
                <w:color w:val="1F1F1F"/>
                <w:sz w:val="14"/>
              </w:rPr>
              <w:t>9 (2%)</w:t>
            </w:r>
          </w:p>
        </w:tc>
        <w:tc>
          <w:tcPr>
            <w:tcW w:type="dxa" w:w="2808"/>
            <w:vAlign w:val="top"/>
          </w:tcPr>
          <w:p>
            <w:pPr>
              <w:spacing w:before="0" w:after="20" w:line="240" w:lineRule="auto"/>
            </w:pPr>
            <w:r/>
            <w:r>
              <w:rPr>
                <w:rFonts w:ascii="Calibri" w:hAnsi="Calibri"/>
                <w:b w:val="0"/>
                <w:color w:val="1F1F1F"/>
                <w:sz w:val="14"/>
              </w:rPr>
              <w:t>18 (5%)</w:t>
            </w:r>
          </w:p>
        </w:tc>
      </w:tr>
      <w:tr>
        <w:tc>
          <w:tcPr>
            <w:tcW w:type="dxa" w:w="3744"/>
            <w:vAlign w:val="top"/>
          </w:tcPr>
          <w:p>
            <w:pPr>
              <w:spacing w:before="0" w:after="20" w:line="240" w:lineRule="auto"/>
            </w:pPr>
            <w:r/>
            <w:r>
              <w:rPr>
                <w:rFonts w:ascii="Calibri" w:hAnsi="Calibri"/>
                <w:b w:val="0"/>
                <w:color w:val="1F1F1F"/>
                <w:sz w:val="14"/>
              </w:rPr>
              <w:t>- Disease progression</w:t>
            </w:r>
          </w:p>
        </w:tc>
        <w:tc>
          <w:tcPr>
            <w:tcW w:type="dxa" w:w="2808"/>
            <w:vAlign w:val="top"/>
          </w:tcPr>
          <w:p>
            <w:pPr>
              <w:spacing w:before="0" w:after="20" w:line="240" w:lineRule="auto"/>
            </w:pPr>
            <w:r/>
            <w:r>
              <w:rPr>
                <w:rFonts w:ascii="Calibri" w:hAnsi="Calibri"/>
                <w:b w:val="0"/>
                <w:color w:val="1F1F1F"/>
                <w:sz w:val="14"/>
              </w:rPr>
              <w:t>6 (2%)*</w:t>
            </w:r>
          </w:p>
        </w:tc>
        <w:tc>
          <w:tcPr>
            <w:tcW w:type="dxa" w:w="2808"/>
            <w:vAlign w:val="top"/>
          </w:tcPr>
          <w:p>
            <w:pPr>
              <w:spacing w:before="0" w:after="20" w:line="240" w:lineRule="auto"/>
            </w:pPr>
            <w:r/>
            <w:r>
              <w:rPr>
                <w:rFonts w:ascii="Calibri" w:hAnsi="Calibri"/>
                <w:b w:val="0"/>
                <w:color w:val="1F1F1F"/>
                <w:sz w:val="14"/>
              </w:rPr>
              <w:t>0</w:t>
            </w:r>
          </w:p>
        </w:tc>
      </w:tr>
      <w:tr>
        <w:tc>
          <w:tcPr>
            <w:tcW w:type="dxa" w:w="3744"/>
            <w:vAlign w:val="top"/>
          </w:tcPr>
          <w:p>
            <w:pPr>
              <w:spacing w:before="0" w:after="20" w:line="240" w:lineRule="auto"/>
            </w:pPr>
            <w:r/>
            <w:r>
              <w:rPr>
                <w:rFonts w:ascii="Calibri" w:hAnsi="Calibri"/>
                <w:b w:val="0"/>
                <w:color w:val="1F1F1F"/>
                <w:sz w:val="14"/>
              </w:rPr>
              <w:t>- Neutropenia and clinical consequences / sepsis</w:t>
            </w:r>
          </w:p>
        </w:tc>
        <w:tc>
          <w:tcPr>
            <w:tcW w:type="dxa" w:w="2808"/>
            <w:vAlign w:val="top"/>
          </w:tcPr>
          <w:p>
            <w:pPr>
              <w:spacing w:before="0" w:after="20" w:line="240" w:lineRule="auto"/>
            </w:pPr>
            <w:r/>
            <w:r>
              <w:rPr>
                <w:rFonts w:ascii="Calibri" w:hAnsi="Calibri"/>
                <w:b w:val="0"/>
                <w:color w:val="1F1F1F"/>
                <w:sz w:val="14"/>
              </w:rPr>
              <w:t>1 (&lt;1%)</w:t>
            </w:r>
          </w:p>
        </w:tc>
        <w:tc>
          <w:tcPr>
            <w:tcW w:type="dxa" w:w="2808"/>
            <w:vAlign w:val="top"/>
          </w:tcPr>
          <w:p>
            <w:pPr>
              <w:spacing w:before="0" w:after="20" w:line="240" w:lineRule="auto"/>
            </w:pPr>
            <w:r/>
            <w:r>
              <w:rPr>
                <w:rFonts w:ascii="Calibri" w:hAnsi="Calibri"/>
                <w:b w:val="0"/>
                <w:color w:val="1F1F1F"/>
                <w:sz w:val="14"/>
              </w:rPr>
              <w:t>7 (2%)</w:t>
            </w:r>
          </w:p>
        </w:tc>
      </w:tr>
      <w:tr>
        <w:tc>
          <w:tcPr>
            <w:tcW w:type="dxa" w:w="3744"/>
            <w:vAlign w:val="top"/>
          </w:tcPr>
          <w:p>
            <w:pPr>
              <w:spacing w:before="0" w:after="20" w:line="240" w:lineRule="auto"/>
            </w:pPr>
            <w:r/>
            <w:r>
              <w:rPr>
                <w:rFonts w:ascii="Calibri" w:hAnsi="Calibri"/>
                <w:b w:val="0"/>
                <w:color w:val="1F1F1F"/>
                <w:sz w:val="14"/>
              </w:rPr>
              <w:t>- Cardiac</w:t>
            </w:r>
          </w:p>
        </w:tc>
        <w:tc>
          <w:tcPr>
            <w:tcW w:type="dxa" w:w="2808"/>
            <w:vAlign w:val="top"/>
          </w:tcPr>
          <w:p>
            <w:pPr>
              <w:spacing w:before="0" w:after="20" w:line="240" w:lineRule="auto"/>
            </w:pPr>
            <w:r/>
            <w:r>
              <w:rPr>
                <w:rFonts w:ascii="Calibri" w:hAnsi="Calibri"/>
                <w:b w:val="0"/>
                <w:color w:val="1F1F1F"/>
                <w:sz w:val="14"/>
              </w:rPr>
              <w:t>0</w:t>
            </w:r>
          </w:p>
        </w:tc>
        <w:tc>
          <w:tcPr>
            <w:tcW w:type="dxa" w:w="2808"/>
            <w:vAlign w:val="top"/>
          </w:tcPr>
          <w:p>
            <w:pPr>
              <w:spacing w:before="0" w:after="20" w:line="240" w:lineRule="auto"/>
            </w:pPr>
            <w:r/>
            <w:r>
              <w:rPr>
                <w:rFonts w:ascii="Calibri" w:hAnsi="Calibri"/>
                <w:b w:val="0"/>
                <w:color w:val="1F1F1F"/>
                <w:sz w:val="14"/>
              </w:rPr>
              <w:t>5 (1%)</w:t>
            </w:r>
          </w:p>
        </w:tc>
      </w:tr>
      <w:tr>
        <w:tc>
          <w:tcPr>
            <w:tcW w:type="dxa" w:w="3744"/>
            <w:vAlign w:val="top"/>
          </w:tcPr>
          <w:p>
            <w:pPr>
              <w:spacing w:before="0" w:after="20" w:line="240" w:lineRule="auto"/>
            </w:pPr>
            <w:r/>
            <w:r>
              <w:rPr>
                <w:rFonts w:ascii="Calibri" w:hAnsi="Calibri"/>
                <w:b w:val="0"/>
                <w:color w:val="1F1F1F"/>
                <w:sz w:val="14"/>
              </w:rPr>
              <w:t>- Renal failure</w:t>
            </w:r>
          </w:p>
        </w:tc>
        <w:tc>
          <w:tcPr>
            <w:tcW w:type="dxa" w:w="2808"/>
            <w:vAlign w:val="top"/>
          </w:tcPr>
          <w:p>
            <w:pPr>
              <w:spacing w:before="0" w:after="20" w:line="240" w:lineRule="auto"/>
            </w:pPr>
            <w:r/>
            <w:r>
              <w:rPr>
                <w:rFonts w:ascii="Calibri" w:hAnsi="Calibri"/>
                <w:b w:val="0"/>
                <w:color w:val="1F1F1F"/>
                <w:sz w:val="14"/>
              </w:rPr>
              <w:t>0</w:t>
            </w:r>
          </w:p>
        </w:tc>
        <w:tc>
          <w:tcPr>
            <w:tcW w:type="dxa" w:w="2808"/>
            <w:vAlign w:val="top"/>
          </w:tcPr>
          <w:p>
            <w:pPr>
              <w:spacing w:before="0" w:after="20" w:line="240" w:lineRule="auto"/>
            </w:pPr>
            <w:r/>
            <w:r>
              <w:rPr>
                <w:rFonts w:ascii="Calibri" w:hAnsi="Calibri"/>
                <w:b w:val="0"/>
                <w:color w:val="1F1F1F"/>
                <w:sz w:val="14"/>
              </w:rPr>
              <w:t>3 (1%)</w:t>
            </w:r>
          </w:p>
        </w:tc>
      </w:tr>
      <w:tr>
        <w:tc>
          <w:tcPr>
            <w:tcW w:type="dxa" w:w="3744"/>
            <w:vAlign w:val="top"/>
          </w:tcPr>
          <w:p>
            <w:pPr>
              <w:spacing w:before="0" w:after="20" w:line="240" w:lineRule="auto"/>
            </w:pPr>
            <w:r/>
            <w:r>
              <w:rPr>
                <w:rFonts w:ascii="Calibri" w:hAnsi="Calibri"/>
                <w:b w:val="0"/>
                <w:color w:val="1F1F1F"/>
                <w:sz w:val="14"/>
              </w:rPr>
              <w:t>- Dyspnoea (investigator: disease progression)*</w:t>
            </w:r>
          </w:p>
        </w:tc>
        <w:tc>
          <w:tcPr>
            <w:tcW w:type="dxa" w:w="2808"/>
            <w:vAlign w:val="top"/>
          </w:tcPr>
          <w:p>
            <w:pPr>
              <w:spacing w:before="0" w:after="20" w:line="240" w:lineRule="auto"/>
            </w:pPr>
            <w:r/>
            <w:r>
              <w:rPr>
                <w:rFonts w:ascii="Calibri" w:hAnsi="Calibri"/>
                <w:b w:val="0"/>
                <w:color w:val="1F1F1F"/>
                <w:sz w:val="14"/>
              </w:rPr>
              <w:t>1 (&lt;1%)</w:t>
            </w:r>
          </w:p>
        </w:tc>
        <w:tc>
          <w:tcPr>
            <w:tcW w:type="dxa" w:w="2808"/>
            <w:vAlign w:val="top"/>
          </w:tcPr>
          <w:p>
            <w:pPr>
              <w:spacing w:before="0" w:after="20" w:line="240" w:lineRule="auto"/>
            </w:pPr>
            <w:r/>
            <w:r>
              <w:rPr>
                <w:rFonts w:ascii="Calibri" w:hAnsi="Calibri"/>
                <w:b w:val="0"/>
                <w:color w:val="1F1F1F"/>
                <w:sz w:val="14"/>
              </w:rPr>
              <w:t>0</w:t>
            </w:r>
          </w:p>
        </w:tc>
      </w:tr>
      <w:tr>
        <w:tc>
          <w:tcPr>
            <w:tcW w:type="dxa" w:w="3744"/>
            <w:vAlign w:val="top"/>
          </w:tcPr>
          <w:p>
            <w:pPr>
              <w:spacing w:before="0" w:after="20" w:line="240" w:lineRule="auto"/>
            </w:pPr>
            <w:r/>
            <w:r>
              <w:rPr>
                <w:rFonts w:ascii="Calibri" w:hAnsi="Calibri"/>
                <w:b w:val="0"/>
                <w:color w:val="1F1F1F"/>
                <w:sz w:val="14"/>
              </w:rPr>
              <w:t>- Dehydration / electrolyte imbalance</w:t>
            </w:r>
          </w:p>
        </w:tc>
        <w:tc>
          <w:tcPr>
            <w:tcW w:type="dxa" w:w="2808"/>
            <w:vAlign w:val="top"/>
          </w:tcPr>
          <w:p>
            <w:pPr>
              <w:spacing w:before="0" w:after="20" w:line="240" w:lineRule="auto"/>
            </w:pPr>
            <w:r/>
            <w:r>
              <w:rPr>
                <w:rFonts w:ascii="Calibri" w:hAnsi="Calibri"/>
                <w:b w:val="0"/>
                <w:color w:val="1F1F1F"/>
                <w:sz w:val="14"/>
              </w:rPr>
              <w:t>0</w:t>
            </w:r>
          </w:p>
        </w:tc>
        <w:tc>
          <w:tcPr>
            <w:tcW w:type="dxa" w:w="2808"/>
            <w:vAlign w:val="top"/>
          </w:tcPr>
          <w:p>
            <w:pPr>
              <w:spacing w:before="0" w:after="20" w:line="240" w:lineRule="auto"/>
            </w:pPr>
            <w:r/>
            <w:r>
              <w:rPr>
                <w:rFonts w:ascii="Calibri" w:hAnsi="Calibri"/>
                <w:b w:val="0"/>
                <w:color w:val="1F1F1F"/>
                <w:sz w:val="14"/>
              </w:rPr>
              <w:t>1 (&lt;1%)</w:t>
            </w:r>
          </w:p>
        </w:tc>
      </w:tr>
      <w:tr>
        <w:tc>
          <w:tcPr>
            <w:tcW w:type="dxa" w:w="3744"/>
            <w:vAlign w:val="top"/>
          </w:tcPr>
          <w:p>
            <w:pPr>
              <w:spacing w:before="0" w:after="20" w:line="240" w:lineRule="auto"/>
            </w:pPr>
            <w:r/>
            <w:r>
              <w:rPr>
                <w:rFonts w:ascii="Calibri" w:hAnsi="Calibri"/>
                <w:b w:val="0"/>
                <w:color w:val="1F1F1F"/>
                <w:sz w:val="14"/>
              </w:rPr>
              <w:t>- Cerebral haemorrhage</w:t>
            </w:r>
          </w:p>
        </w:tc>
        <w:tc>
          <w:tcPr>
            <w:tcW w:type="dxa" w:w="2808"/>
            <w:vAlign w:val="top"/>
          </w:tcPr>
          <w:p>
            <w:pPr>
              <w:spacing w:before="0" w:after="20" w:line="240" w:lineRule="auto"/>
            </w:pPr>
            <w:r/>
            <w:r>
              <w:rPr>
                <w:rFonts w:ascii="Calibri" w:hAnsi="Calibri"/>
                <w:b w:val="0"/>
                <w:color w:val="1F1F1F"/>
                <w:sz w:val="14"/>
              </w:rPr>
              <w:t>0</w:t>
            </w:r>
          </w:p>
        </w:tc>
        <w:tc>
          <w:tcPr>
            <w:tcW w:type="dxa" w:w="2808"/>
            <w:vAlign w:val="top"/>
          </w:tcPr>
          <w:p>
            <w:pPr>
              <w:spacing w:before="0" w:after="20" w:line="240" w:lineRule="auto"/>
            </w:pPr>
            <w:r/>
            <w:r>
              <w:rPr>
                <w:rFonts w:ascii="Calibri" w:hAnsi="Calibri"/>
                <w:b w:val="0"/>
                <w:color w:val="1F1F1F"/>
                <w:sz w:val="14"/>
              </w:rPr>
              <w:t>1 (&lt;1%)</w:t>
            </w:r>
          </w:p>
        </w:tc>
      </w:tr>
      <w:tr>
        <w:tc>
          <w:tcPr>
            <w:tcW w:type="dxa" w:w="3744"/>
            <w:vAlign w:val="top"/>
          </w:tcPr>
          <w:p>
            <w:pPr>
              <w:spacing w:before="0" w:after="20" w:line="240" w:lineRule="auto"/>
            </w:pPr>
            <w:r/>
            <w:r>
              <w:rPr>
                <w:rFonts w:ascii="Calibri" w:hAnsi="Calibri"/>
                <w:b w:val="0"/>
                <w:color w:val="1F1F1F"/>
                <w:sz w:val="14"/>
              </w:rPr>
              <w:t>- Unknown cause</w:t>
            </w:r>
          </w:p>
        </w:tc>
        <w:tc>
          <w:tcPr>
            <w:tcW w:type="dxa" w:w="2808"/>
            <w:vAlign w:val="top"/>
          </w:tcPr>
          <w:p>
            <w:pPr>
              <w:spacing w:before="0" w:after="20" w:line="240" w:lineRule="auto"/>
            </w:pPr>
            <w:r/>
            <w:r>
              <w:rPr>
                <w:rFonts w:ascii="Calibri" w:hAnsi="Calibri"/>
                <w:b w:val="0"/>
                <w:color w:val="1F1F1F"/>
                <w:sz w:val="14"/>
              </w:rPr>
              <w:t>0</w:t>
            </w:r>
          </w:p>
        </w:tc>
        <w:tc>
          <w:tcPr>
            <w:tcW w:type="dxa" w:w="2808"/>
            <w:vAlign w:val="top"/>
          </w:tcPr>
          <w:p>
            <w:pPr>
              <w:spacing w:before="0" w:after="20" w:line="240" w:lineRule="auto"/>
            </w:pPr>
            <w:r/>
            <w:r>
              <w:rPr>
                <w:rFonts w:ascii="Calibri" w:hAnsi="Calibri"/>
                <w:b w:val="0"/>
                <w:color w:val="1F1F1F"/>
                <w:sz w:val="14"/>
              </w:rPr>
              <w:t>1 (&lt;1%)</w:t>
            </w:r>
          </w:p>
        </w:tc>
      </w:tr>
      <w:tr>
        <w:tc>
          <w:tcPr>
            <w:tcW w:type="dxa" w:w="3744"/>
            <w:vAlign w:val="top"/>
          </w:tcPr>
          <w:p>
            <w:pPr>
              <w:spacing w:before="0" w:after="20" w:line="240" w:lineRule="auto"/>
            </w:pPr>
            <w:r/>
            <w:r>
              <w:rPr>
                <w:rFonts w:ascii="Calibri" w:hAnsi="Calibri"/>
                <w:b w:val="0"/>
                <w:color w:val="1F1F1F"/>
                <w:sz w:val="14"/>
              </w:rPr>
              <w:t>- Motor vehicle accident</w:t>
            </w:r>
          </w:p>
        </w:tc>
        <w:tc>
          <w:tcPr>
            <w:tcW w:type="dxa" w:w="2808"/>
            <w:vAlign w:val="top"/>
          </w:tcPr>
          <w:p>
            <w:pPr>
              <w:spacing w:before="0" w:after="20" w:line="240" w:lineRule="auto"/>
            </w:pPr>
            <w:r/>
            <w:r>
              <w:rPr>
                <w:rFonts w:ascii="Calibri" w:hAnsi="Calibri"/>
                <w:b w:val="0"/>
                <w:color w:val="1F1F1F"/>
                <w:sz w:val="14"/>
              </w:rPr>
              <w:t>1 (&lt;1%)</w:t>
            </w:r>
          </w:p>
        </w:tc>
        <w:tc>
          <w:tcPr>
            <w:tcW w:type="dxa" w:w="2808"/>
            <w:vAlign w:val="top"/>
          </w:tcPr>
          <w:p>
            <w:pPr>
              <w:spacing w:before="0" w:after="20" w:line="240" w:lineRule="auto"/>
            </w:pPr>
            <w:r/>
            <w:r>
              <w:rPr>
                <w:rFonts w:ascii="Calibri" w:hAnsi="Calibri"/>
                <w:b w:val="0"/>
                <w:color w:val="1F1F1F"/>
                <w:sz w:val="14"/>
              </w:rPr>
              <w:t>0</w:t>
            </w:r>
          </w:p>
        </w:tc>
      </w:tr>
      <w:tr>
        <w:tc>
          <w:tcPr>
            <w:tcW w:type="dxa" w:w="3744"/>
            <w:vAlign w:val="top"/>
          </w:tcPr>
          <w:p>
            <w:pPr>
              <w:spacing w:before="0" w:after="20" w:line="240" w:lineRule="auto"/>
            </w:pPr>
            <w:r/>
            <w:r>
              <w:rPr>
                <w:rFonts w:ascii="Calibri" w:hAnsi="Calibri"/>
                <w:b w:val="0"/>
                <w:color w:val="1F1F1F"/>
                <w:sz w:val="14"/>
              </w:rPr>
              <w:t>Deaths &gt;30 days after last dose</w:t>
            </w:r>
          </w:p>
        </w:tc>
        <w:tc>
          <w:tcPr>
            <w:tcW w:type="dxa" w:w="2808"/>
            <w:vAlign w:val="top"/>
          </w:tcPr>
          <w:p>
            <w:pPr>
              <w:spacing w:before="0" w:after="20" w:line="240" w:lineRule="auto"/>
            </w:pPr>
            <w:r/>
            <w:r>
              <w:rPr>
                <w:rFonts w:ascii="Calibri" w:hAnsi="Calibri"/>
                <w:b w:val="0"/>
                <w:color w:val="1F1F1F"/>
                <w:sz w:val="14"/>
              </w:rPr>
              <w:t>266 (72%)</w:t>
            </w:r>
          </w:p>
        </w:tc>
        <w:tc>
          <w:tcPr>
            <w:tcW w:type="dxa" w:w="2808"/>
            <w:vAlign w:val="top"/>
          </w:tcPr>
          <w:p>
            <w:pPr>
              <w:spacing w:before="0" w:after="20" w:line="240" w:lineRule="auto"/>
            </w:pPr>
            <w:r/>
            <w:r>
              <w:rPr>
                <w:rFonts w:ascii="Calibri" w:hAnsi="Calibri"/>
                <w:b w:val="0"/>
                <w:color w:val="1F1F1F"/>
                <w:sz w:val="14"/>
              </w:rPr>
              <w:t>209 (56%)</w:t>
            </w:r>
          </w:p>
        </w:tc>
      </w:tr>
    </w:tbl>
    <w:p/>
    <w:p>
      <w:pPr>
        <w:pStyle w:val="Heading2"/>
      </w:pPr>
      <w:r>
        <w:t>F.4 Exposure targets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vAlign w:val="top"/>
            <w:shd w:fill="1F4E79"/>
          </w:tcPr>
          <w:p>
            <w:pPr>
              <w:spacing w:before="0" w:after="20" w:line="240" w:lineRule="auto"/>
            </w:pPr>
            <w:r/>
            <w:r>
              <w:rPr>
                <w:rFonts w:ascii="Calibri" w:hAnsi="Calibri"/>
                <w:b/>
                <w:color w:val="FFFFFF"/>
                <w:sz w:val="14"/>
              </w:rPr>
              <w:t>Exposure Parameter</w:t>
            </w:r>
          </w:p>
        </w:tc>
        <w:tc>
          <w:tcPr>
            <w:tcW w:type="dxa" w:w="2808"/>
            <w:vAlign w:val="top"/>
            <w:shd w:fill="1F4E79"/>
          </w:tcPr>
          <w:p>
            <w:pPr>
              <w:spacing w:before="0" w:after="20" w:line="240" w:lineRule="auto"/>
            </w:pPr>
            <w:r/>
            <w:r>
              <w:rPr>
                <w:rFonts w:ascii="Calibri" w:hAnsi="Calibri"/>
                <w:b/>
                <w:color w:val="FFFFFF"/>
                <w:sz w:val="14"/>
              </w:rPr>
              <w:t>MP</w:t>
            </w:r>
          </w:p>
        </w:tc>
        <w:tc>
          <w:tcPr>
            <w:tcW w:type="dxa" w:w="2808"/>
            <w:vAlign w:val="top"/>
            <w:shd w:fill="1F4E79"/>
          </w:tcPr>
          <w:p>
            <w:pPr>
              <w:spacing w:before="0" w:after="20" w:line="240" w:lineRule="auto"/>
            </w:pPr>
            <w:r/>
            <w:r>
              <w:rPr>
                <w:rFonts w:ascii="Calibri" w:hAnsi="Calibri"/>
                <w:b/>
                <w:color w:val="FFFFFF"/>
                <w:sz w:val="14"/>
              </w:rPr>
              <w:t>CbzP</w:t>
            </w:r>
          </w:p>
        </w:tc>
      </w:tr>
      <w:tr>
        <w:tc>
          <w:tcPr>
            <w:tcW w:type="dxa" w:w="3744"/>
            <w:vAlign w:val="top"/>
          </w:tcPr>
          <w:p>
            <w:pPr>
              <w:spacing w:before="0" w:after="20" w:line="240" w:lineRule="auto"/>
            </w:pPr>
            <w:r/>
            <w:r>
              <w:rPr>
                <w:rFonts w:ascii="Calibri" w:hAnsi="Calibri"/>
                <w:b w:val="0"/>
                <w:color w:val="1F1F1F"/>
                <w:sz w:val="14"/>
              </w:rPr>
              <w:t>Median cycles (IQR)</w:t>
            </w:r>
          </w:p>
        </w:tc>
        <w:tc>
          <w:tcPr>
            <w:tcW w:type="dxa" w:w="2808"/>
            <w:vAlign w:val="top"/>
          </w:tcPr>
          <w:p>
            <w:pPr>
              <w:spacing w:before="0" w:after="20" w:line="240" w:lineRule="auto"/>
            </w:pPr>
            <w:r/>
            <w:r>
              <w:rPr>
                <w:rFonts w:ascii="Calibri" w:hAnsi="Calibri"/>
                <w:b w:val="0"/>
                <w:color w:val="1F1F1F"/>
                <w:sz w:val="14"/>
              </w:rPr>
              <w:t>4 (IQR 2-7)</w:t>
            </w:r>
          </w:p>
        </w:tc>
        <w:tc>
          <w:tcPr>
            <w:tcW w:type="dxa" w:w="2808"/>
            <w:vAlign w:val="top"/>
          </w:tcPr>
          <w:p>
            <w:pPr>
              <w:spacing w:before="0" w:after="20" w:line="240" w:lineRule="auto"/>
            </w:pPr>
            <w:r/>
            <w:r>
              <w:rPr>
                <w:rFonts w:ascii="Calibri" w:hAnsi="Calibri"/>
                <w:b w:val="0"/>
                <w:color w:val="1F1F1F"/>
                <w:sz w:val="14"/>
              </w:rPr>
              <w:t>6 (IQR 3-10)</w:t>
            </w:r>
          </w:p>
        </w:tc>
      </w:tr>
      <w:tr>
        <w:tc>
          <w:tcPr>
            <w:tcW w:type="dxa" w:w="3744"/>
            <w:vAlign w:val="top"/>
          </w:tcPr>
          <w:p>
            <w:pPr>
              <w:spacing w:before="0" w:after="20" w:line="240" w:lineRule="auto"/>
            </w:pPr>
            <w:r/>
            <w:r>
              <w:rPr>
                <w:rFonts w:ascii="Calibri" w:hAnsi="Calibri"/>
                <w:b w:val="0"/>
                <w:color w:val="1F1F1F"/>
                <w:sz w:val="14"/>
              </w:rPr>
              <w:t>Patients completing all 10 cycles</w:t>
            </w:r>
          </w:p>
        </w:tc>
        <w:tc>
          <w:tcPr>
            <w:tcW w:type="dxa" w:w="2808"/>
            <w:vAlign w:val="top"/>
          </w:tcPr>
          <w:p>
            <w:pPr>
              <w:spacing w:before="0" w:after="20" w:line="240" w:lineRule="auto"/>
            </w:pPr>
            <w:r/>
            <w:r>
              <w:rPr>
                <w:rFonts w:ascii="Calibri" w:hAnsi="Calibri"/>
                <w:b w:val="0"/>
                <w:color w:val="1F1F1F"/>
                <w:sz w:val="14"/>
              </w:rPr>
              <w:t>46 (12%)</w:t>
            </w:r>
          </w:p>
        </w:tc>
        <w:tc>
          <w:tcPr>
            <w:tcW w:type="dxa" w:w="2808"/>
            <w:vAlign w:val="top"/>
          </w:tcPr>
          <w:p>
            <w:pPr>
              <w:spacing w:before="0" w:after="20" w:line="240" w:lineRule="auto"/>
            </w:pPr>
            <w:r/>
            <w:r>
              <w:rPr>
                <w:rFonts w:ascii="Calibri" w:hAnsi="Calibri"/>
                <w:b w:val="0"/>
                <w:color w:val="1F1F1F"/>
                <w:sz w:val="14"/>
              </w:rPr>
              <w:t>105 (28%)</w:t>
            </w:r>
          </w:p>
        </w:tc>
      </w:tr>
      <w:tr>
        <w:tc>
          <w:tcPr>
            <w:tcW w:type="dxa" w:w="3744"/>
            <w:vAlign w:val="top"/>
          </w:tcPr>
          <w:p>
            <w:pPr>
              <w:spacing w:before="0" w:after="20" w:line="240" w:lineRule="auto"/>
            </w:pPr>
            <w:r/>
            <w:r>
              <w:rPr>
                <w:rFonts w:ascii="Calibri" w:hAnsi="Calibri"/>
                <w:b w:val="0"/>
                <w:color w:val="1F1F1F"/>
                <w:sz w:val="14"/>
              </w:rPr>
              <w:t>Patients receiving &gt;90% planned dose intensity</w:t>
            </w:r>
          </w:p>
        </w:tc>
        <w:tc>
          <w:tcPr>
            <w:tcW w:type="dxa" w:w="2808"/>
            <w:vAlign w:val="top"/>
          </w:tcPr>
          <w:p>
            <w:pPr>
              <w:spacing w:before="0" w:after="20" w:line="240" w:lineRule="auto"/>
            </w:pPr>
            <w:r/>
            <w:r>
              <w:rPr>
                <w:rFonts w:ascii="Calibri" w:hAnsi="Calibri"/>
                <w:b w:val="0"/>
                <w:color w:val="1F1F1F"/>
                <w:sz w:val="14"/>
              </w:rPr>
              <w:t>301 (81%)</w:t>
            </w:r>
          </w:p>
        </w:tc>
        <w:tc>
          <w:tcPr>
            <w:tcW w:type="dxa" w:w="2808"/>
            <w:vAlign w:val="top"/>
          </w:tcPr>
          <w:p>
            <w:pPr>
              <w:spacing w:before="0" w:after="20" w:line="240" w:lineRule="auto"/>
            </w:pPr>
            <w:r/>
            <w:r>
              <w:rPr>
                <w:rFonts w:ascii="Calibri" w:hAnsi="Calibri"/>
                <w:b w:val="0"/>
                <w:color w:val="1F1F1F"/>
                <w:sz w:val="14"/>
              </w:rPr>
              <w:t>282 (76%)</w:t>
            </w:r>
          </w:p>
        </w:tc>
      </w:tr>
      <w:tr>
        <w:tc>
          <w:tcPr>
            <w:tcW w:type="dxa" w:w="3744"/>
            <w:vAlign w:val="top"/>
          </w:tcPr>
          <w:p>
            <w:pPr>
              <w:spacing w:before="0" w:after="20" w:line="240" w:lineRule="auto"/>
            </w:pPr>
            <w:r/>
            <w:r>
              <w:rPr>
                <w:rFonts w:ascii="Calibri" w:hAnsi="Calibri"/>
                <w:b w:val="0"/>
                <w:color w:val="1F1F1F"/>
                <w:sz w:val="14"/>
              </w:rPr>
              <w:t>Median RDI % (IQR)</w:t>
            </w:r>
          </w:p>
        </w:tc>
        <w:tc>
          <w:tcPr>
            <w:tcW w:type="dxa" w:w="2808"/>
            <w:vAlign w:val="top"/>
          </w:tcPr>
          <w:p>
            <w:pPr>
              <w:spacing w:before="0" w:after="20" w:line="240" w:lineRule="auto"/>
            </w:pPr>
            <w:r/>
            <w:r>
              <w:rPr>
                <w:rFonts w:ascii="Calibri" w:hAnsi="Calibri"/>
                <w:b w:val="0"/>
                <w:color w:val="1F1F1F"/>
                <w:sz w:val="14"/>
              </w:rPr>
              <w:t>97.3% (92.0-99.3)</w:t>
            </w:r>
          </w:p>
        </w:tc>
        <w:tc>
          <w:tcPr>
            <w:tcW w:type="dxa" w:w="2808"/>
            <w:vAlign w:val="top"/>
          </w:tcPr>
          <w:p>
            <w:pPr>
              <w:spacing w:before="0" w:after="20" w:line="240" w:lineRule="auto"/>
            </w:pPr>
            <w:r/>
            <w:r>
              <w:rPr>
                <w:rFonts w:ascii="Calibri" w:hAnsi="Calibri"/>
                <w:b w:val="0"/>
                <w:color w:val="1F1F1F"/>
                <w:sz w:val="14"/>
              </w:rPr>
              <w:t>96.1% (90.1-98.9)</w:t>
            </w:r>
          </w:p>
        </w:tc>
      </w:tr>
      <w:tr>
        <w:tc>
          <w:tcPr>
            <w:tcW w:type="dxa" w:w="3744"/>
            <w:vAlign w:val="top"/>
          </w:tcPr>
          <w:p>
            <w:pPr>
              <w:spacing w:before="0" w:after="20" w:line="240" w:lineRule="auto"/>
            </w:pPr>
            <w:r/>
            <w:r>
              <w:rPr>
                <w:rFonts w:ascii="Calibri" w:hAnsi="Calibri"/>
                <w:b w:val="0"/>
                <w:color w:val="1F1F1F"/>
                <w:sz w:val="14"/>
              </w:rPr>
              <w:t>Patients with &gt;=1 dose reduction</w:t>
            </w:r>
          </w:p>
        </w:tc>
        <w:tc>
          <w:tcPr>
            <w:tcW w:type="dxa" w:w="2808"/>
            <w:vAlign w:val="top"/>
          </w:tcPr>
          <w:p>
            <w:pPr>
              <w:spacing w:before="0" w:after="20" w:line="240" w:lineRule="auto"/>
            </w:pPr>
            <w:r/>
            <w:r>
              <w:rPr>
                <w:rFonts w:ascii="Calibri" w:hAnsi="Calibri"/>
                <w:b w:val="0"/>
                <w:color w:val="1F1F1F"/>
                <w:sz w:val="14"/>
              </w:rPr>
              <w:t>15 (4%)</w:t>
            </w:r>
          </w:p>
        </w:tc>
        <w:tc>
          <w:tcPr>
            <w:tcW w:type="dxa" w:w="2808"/>
            <w:vAlign w:val="top"/>
          </w:tcPr>
          <w:p>
            <w:pPr>
              <w:spacing w:before="0" w:after="20" w:line="240" w:lineRule="auto"/>
            </w:pPr>
            <w:r/>
            <w:r>
              <w:rPr>
                <w:rFonts w:ascii="Calibri" w:hAnsi="Calibri"/>
                <w:b w:val="0"/>
                <w:color w:val="1F1F1F"/>
                <w:sz w:val="14"/>
              </w:rPr>
              <w:t>45 (12%)</w:t>
            </w:r>
          </w:p>
        </w:tc>
      </w:tr>
      <w:tr>
        <w:tc>
          <w:tcPr>
            <w:tcW w:type="dxa" w:w="3744"/>
            <w:vAlign w:val="top"/>
          </w:tcPr>
          <w:p>
            <w:pPr>
              <w:spacing w:before="0" w:after="20" w:line="240" w:lineRule="auto"/>
            </w:pPr>
            <w:r/>
            <w:r>
              <w:rPr>
                <w:rFonts w:ascii="Calibri" w:hAnsi="Calibri"/>
                <w:b w:val="0"/>
                <w:color w:val="1F1F1F"/>
                <w:sz w:val="14"/>
              </w:rPr>
              <w:t>Dose reduction cycles / total cycles</w:t>
            </w:r>
          </w:p>
        </w:tc>
        <w:tc>
          <w:tcPr>
            <w:tcW w:type="dxa" w:w="2808"/>
            <w:vAlign w:val="top"/>
          </w:tcPr>
          <w:p>
            <w:pPr>
              <w:spacing w:before="0" w:after="20" w:line="240" w:lineRule="auto"/>
            </w:pPr>
            <w:r/>
            <w:r>
              <w:rPr>
                <w:rFonts w:ascii="Calibri" w:hAnsi="Calibri"/>
                <w:b w:val="0"/>
                <w:color w:val="1F1F1F"/>
                <w:sz w:val="14"/>
              </w:rPr>
              <w:t>88 / 1,736 (5%)</w:t>
            </w:r>
          </w:p>
        </w:tc>
        <w:tc>
          <w:tcPr>
            <w:tcW w:type="dxa" w:w="2808"/>
            <w:vAlign w:val="top"/>
          </w:tcPr>
          <w:p>
            <w:pPr>
              <w:spacing w:before="0" w:after="20" w:line="240" w:lineRule="auto"/>
            </w:pPr>
            <w:r/>
            <w:r>
              <w:rPr>
                <w:rFonts w:ascii="Calibri" w:hAnsi="Calibri"/>
                <w:b w:val="0"/>
                <w:color w:val="1F1F1F"/>
                <w:sz w:val="14"/>
              </w:rPr>
              <w:t>221 / 2,251 (10%)</w:t>
            </w:r>
          </w:p>
        </w:tc>
      </w:tr>
      <w:tr>
        <w:tc>
          <w:tcPr>
            <w:tcW w:type="dxa" w:w="3744"/>
            <w:vAlign w:val="top"/>
          </w:tcPr>
          <w:p>
            <w:pPr>
              <w:spacing w:before="0" w:after="20" w:line="240" w:lineRule="auto"/>
            </w:pPr>
            <w:r/>
            <w:r>
              <w:rPr>
                <w:rFonts w:ascii="Calibri" w:hAnsi="Calibri"/>
                <w:b w:val="0"/>
                <w:color w:val="1F1F1F"/>
                <w:sz w:val="14"/>
              </w:rPr>
              <w:t>Patients with any treatment delay</w:t>
            </w:r>
          </w:p>
        </w:tc>
        <w:tc>
          <w:tcPr>
            <w:tcW w:type="dxa" w:w="2808"/>
            <w:vAlign w:val="top"/>
          </w:tcPr>
          <w:p>
            <w:pPr>
              <w:spacing w:before="0" w:after="20" w:line="240" w:lineRule="auto"/>
            </w:pPr>
            <w:r/>
            <w:r>
              <w:rPr>
                <w:rFonts w:ascii="Calibri" w:hAnsi="Calibri"/>
                <w:b w:val="0"/>
                <w:color w:val="1F1F1F"/>
                <w:sz w:val="14"/>
              </w:rPr>
              <w:t>56 (15%)</w:t>
            </w:r>
          </w:p>
        </w:tc>
        <w:tc>
          <w:tcPr>
            <w:tcW w:type="dxa" w:w="2808"/>
            <w:vAlign w:val="top"/>
          </w:tcPr>
          <w:p>
            <w:pPr>
              <w:spacing w:before="0" w:after="20" w:line="240" w:lineRule="auto"/>
            </w:pPr>
            <w:r/>
            <w:r>
              <w:rPr>
                <w:rFonts w:ascii="Calibri" w:hAnsi="Calibri"/>
                <w:b w:val="0"/>
                <w:color w:val="1F1F1F"/>
                <w:sz w:val="14"/>
              </w:rPr>
              <w:t>104 (28%)</w:t>
            </w:r>
          </w:p>
        </w:tc>
      </w:tr>
      <w:tr>
        <w:tc>
          <w:tcPr>
            <w:tcW w:type="dxa" w:w="3744"/>
            <w:vAlign w:val="top"/>
          </w:tcPr>
          <w:p>
            <w:pPr>
              <w:spacing w:before="0" w:after="20" w:line="240" w:lineRule="auto"/>
            </w:pPr>
            <w:r/>
            <w:r>
              <w:rPr>
                <w:rFonts w:ascii="Calibri" w:hAnsi="Calibri"/>
                <w:b w:val="0"/>
                <w:color w:val="1F1F1F"/>
                <w:sz w:val="14"/>
              </w:rPr>
              <w:t>Delay cycles &lt;=9 days / total</w:t>
            </w:r>
          </w:p>
        </w:tc>
        <w:tc>
          <w:tcPr>
            <w:tcW w:type="dxa" w:w="2808"/>
            <w:vAlign w:val="top"/>
          </w:tcPr>
          <w:p>
            <w:pPr>
              <w:spacing w:before="0" w:after="20" w:line="240" w:lineRule="auto"/>
            </w:pPr>
            <w:r/>
            <w:r>
              <w:rPr>
                <w:rFonts w:ascii="Calibri" w:hAnsi="Calibri"/>
                <w:b w:val="0"/>
                <w:color w:val="1F1F1F"/>
                <w:sz w:val="14"/>
              </w:rPr>
              <w:t>110 (6%)</w:t>
            </w:r>
          </w:p>
        </w:tc>
        <w:tc>
          <w:tcPr>
            <w:tcW w:type="dxa" w:w="2808"/>
            <w:vAlign w:val="top"/>
          </w:tcPr>
          <w:p>
            <w:pPr>
              <w:spacing w:before="0" w:after="20" w:line="240" w:lineRule="auto"/>
            </w:pPr>
            <w:r/>
            <w:r>
              <w:rPr>
                <w:rFonts w:ascii="Calibri" w:hAnsi="Calibri"/>
                <w:b w:val="0"/>
                <w:color w:val="1F1F1F"/>
                <w:sz w:val="14"/>
              </w:rPr>
              <w:t>157 (7%)</w:t>
            </w:r>
          </w:p>
        </w:tc>
      </w:tr>
      <w:tr>
        <w:tc>
          <w:tcPr>
            <w:tcW w:type="dxa" w:w="3744"/>
            <w:vAlign w:val="top"/>
          </w:tcPr>
          <w:p>
            <w:pPr>
              <w:spacing w:before="0" w:after="20" w:line="240" w:lineRule="auto"/>
            </w:pPr>
            <w:r/>
            <w:r>
              <w:rPr>
                <w:rFonts w:ascii="Calibri" w:hAnsi="Calibri"/>
                <w:b w:val="0"/>
                <w:color w:val="1F1F1F"/>
                <w:sz w:val="14"/>
              </w:rPr>
              <w:t>Delay cycles &gt;9 days / total</w:t>
            </w:r>
          </w:p>
        </w:tc>
        <w:tc>
          <w:tcPr>
            <w:tcW w:type="dxa" w:w="2808"/>
            <w:vAlign w:val="top"/>
          </w:tcPr>
          <w:p>
            <w:pPr>
              <w:spacing w:before="0" w:after="20" w:line="240" w:lineRule="auto"/>
            </w:pPr>
            <w:r/>
            <w:r>
              <w:rPr>
                <w:rFonts w:ascii="Calibri" w:hAnsi="Calibri"/>
                <w:b w:val="0"/>
                <w:color w:val="1F1F1F"/>
                <w:sz w:val="14"/>
              </w:rPr>
              <w:t>28 (2%)</w:t>
            </w:r>
          </w:p>
        </w:tc>
        <w:tc>
          <w:tcPr>
            <w:tcW w:type="dxa" w:w="2808"/>
            <w:vAlign w:val="top"/>
          </w:tcPr>
          <w:p>
            <w:pPr>
              <w:spacing w:before="0" w:after="20" w:line="240" w:lineRule="auto"/>
            </w:pPr>
            <w:r/>
            <w:r>
              <w:rPr>
                <w:rFonts w:ascii="Calibri" w:hAnsi="Calibri"/>
                <w:b w:val="0"/>
                <w:color w:val="1F1F1F"/>
                <w:sz w:val="14"/>
              </w:rPr>
              <w:t>51 (2%)</w:t>
            </w:r>
          </w:p>
        </w:tc>
      </w:tr>
      <w:tr>
        <w:tc>
          <w:tcPr>
            <w:tcW w:type="dxa" w:w="3744"/>
            <w:vAlign w:val="top"/>
          </w:tcPr>
          <w:p>
            <w:pPr>
              <w:spacing w:before="0" w:after="20" w:line="240" w:lineRule="auto"/>
            </w:pPr>
            <w:r/>
            <w:r>
              <w:rPr>
                <w:rFonts w:ascii="Calibri" w:hAnsi="Calibri"/>
                <w:b w:val="0"/>
                <w:color w:val="1F1F1F"/>
                <w:sz w:val="14"/>
              </w:rPr>
              <w:t>Total treatment cycles</w:t>
            </w:r>
          </w:p>
        </w:tc>
        <w:tc>
          <w:tcPr>
            <w:tcW w:type="dxa" w:w="2808"/>
            <w:vAlign w:val="top"/>
          </w:tcPr>
          <w:p>
            <w:pPr>
              <w:spacing w:before="0" w:after="20" w:line="240" w:lineRule="auto"/>
            </w:pPr>
            <w:r/>
            <w:r>
              <w:rPr>
                <w:rFonts w:ascii="Calibri" w:hAnsi="Calibri"/>
                <w:b w:val="0"/>
                <w:color w:val="1F1F1F"/>
                <w:sz w:val="14"/>
              </w:rPr>
              <w:t>1,736</w:t>
            </w:r>
          </w:p>
        </w:tc>
        <w:tc>
          <w:tcPr>
            <w:tcW w:type="dxa" w:w="2808"/>
            <w:vAlign w:val="top"/>
          </w:tcPr>
          <w:p>
            <w:pPr>
              <w:spacing w:before="0" w:after="20" w:line="240" w:lineRule="auto"/>
            </w:pPr>
            <w:r/>
            <w:r>
              <w:rPr>
                <w:rFonts w:ascii="Calibri" w:hAnsi="Calibri"/>
                <w:b w:val="0"/>
                <w:color w:val="1F1F1F"/>
                <w:sz w:val="14"/>
              </w:rPr>
              <w:t>2,251</w:t>
            </w:r>
          </w:p>
        </w:tc>
      </w:tr>
    </w:tbl>
    <w:p/>
    <w:p>
      <w:pPr>
        <w:pStyle w:val="Heading1"/>
      </w:pPr>
      <w:r>
        <w:t>Appendix G. Subgroup target register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024"/>
            <w:vAlign w:val="top"/>
            <w:shd w:fill="1F4E79"/>
          </w:tcPr>
          <w:p>
            <w:pPr>
              <w:spacing w:before="0" w:after="20" w:line="240" w:lineRule="auto"/>
            </w:pPr>
            <w:r/>
            <w:r>
              <w:rPr>
                <w:rFonts w:ascii="Calibri" w:hAnsi="Calibri"/>
                <w:b/>
                <w:color w:val="FFFFFF"/>
                <w:sz w:val="13"/>
              </w:rPr>
              <w:t>Subgroup</w:t>
            </w:r>
          </w:p>
        </w:tc>
        <w:tc>
          <w:tcPr>
            <w:tcW w:type="dxa" w:w="1152"/>
            <w:vAlign w:val="top"/>
            <w:shd w:fill="1F4E79"/>
          </w:tcPr>
          <w:p>
            <w:pPr>
              <w:spacing w:before="0" w:after="20" w:line="240" w:lineRule="auto"/>
            </w:pPr>
            <w:r/>
            <w:r>
              <w:rPr>
                <w:rFonts w:ascii="Calibri" w:hAnsi="Calibri"/>
                <w:b/>
                <w:color w:val="FFFFFF"/>
                <w:sz w:val="13"/>
              </w:rPr>
              <w:t>N*</w:t>
            </w:r>
          </w:p>
        </w:tc>
        <w:tc>
          <w:tcPr>
            <w:tcW w:type="dxa" w:w="2232"/>
            <w:vAlign w:val="top"/>
            <w:shd w:fill="1F4E79"/>
          </w:tcPr>
          <w:p>
            <w:pPr>
              <w:spacing w:before="0" w:after="20" w:line="240" w:lineRule="auto"/>
            </w:pPr>
            <w:r/>
            <w:r>
              <w:rPr>
                <w:rFonts w:ascii="Calibri" w:hAnsi="Calibri"/>
                <w:b/>
                <w:color w:val="FFFFFF"/>
                <w:sz w:val="13"/>
              </w:rPr>
              <w:t>OS HR (95% CI)</w:t>
            </w:r>
          </w:p>
        </w:tc>
        <w:tc>
          <w:tcPr>
            <w:tcW w:type="dxa" w:w="2952"/>
            <w:vAlign w:val="top"/>
            <w:shd w:fill="1F4E79"/>
          </w:tcPr>
          <w:p>
            <w:pPr>
              <w:spacing w:before="0" w:after="20" w:line="240" w:lineRule="auto"/>
            </w:pPr>
            <w:r/>
            <w:r>
              <w:rPr>
                <w:rFonts w:ascii="Calibri" w:hAnsi="Calibri"/>
                <w:b/>
                <w:color w:val="FFFFFF"/>
                <w:sz w:val="13"/>
              </w:rPr>
              <w:t>ADSL Variable</w:t>
            </w:r>
          </w:p>
        </w:tc>
      </w:tr>
      <w:tr>
        <w:tc>
          <w:tcPr>
            <w:tcW w:type="dxa" w:w="3024"/>
            <w:vAlign w:val="top"/>
          </w:tcPr>
          <w:p>
            <w:pPr>
              <w:spacing w:before="0" w:after="20" w:line="240" w:lineRule="auto"/>
            </w:pPr>
            <w:r/>
            <w:r>
              <w:rPr>
                <w:rFonts w:ascii="Calibri" w:hAnsi="Calibri"/>
                <w:b w:val="0"/>
                <w:color w:val="1F1F1F"/>
                <w:sz w:val="13"/>
              </w:rPr>
              <w:t>All randomised</w:t>
            </w:r>
          </w:p>
        </w:tc>
        <w:tc>
          <w:tcPr>
            <w:tcW w:type="dxa" w:w="1152"/>
            <w:vAlign w:val="top"/>
          </w:tcPr>
          <w:p>
            <w:pPr>
              <w:spacing w:before="0" w:after="20" w:line="240" w:lineRule="auto"/>
            </w:pPr>
            <w:r/>
            <w:r>
              <w:rPr>
                <w:rFonts w:ascii="Calibri" w:hAnsi="Calibri"/>
                <w:b w:val="0"/>
                <w:color w:val="1F1F1F"/>
                <w:sz w:val="13"/>
              </w:rPr>
              <w:t>755</w:t>
            </w:r>
          </w:p>
        </w:tc>
        <w:tc>
          <w:tcPr>
            <w:tcW w:type="dxa" w:w="2232"/>
            <w:vAlign w:val="top"/>
          </w:tcPr>
          <w:p>
            <w:pPr>
              <w:spacing w:before="0" w:after="20" w:line="240" w:lineRule="auto"/>
            </w:pPr>
            <w:r/>
            <w:r>
              <w:rPr>
                <w:rFonts w:ascii="Calibri" w:hAnsi="Calibri"/>
                <w:b w:val="0"/>
                <w:color w:val="1F1F1F"/>
                <w:sz w:val="13"/>
              </w:rPr>
              <w:t>0.70 (0.59-0.83)</w:t>
            </w:r>
          </w:p>
        </w:tc>
        <w:tc>
          <w:tcPr>
            <w:tcW w:type="dxa" w:w="2952"/>
            <w:vAlign w:val="top"/>
          </w:tcPr>
          <w:p>
            <w:pPr>
              <w:spacing w:before="0" w:after="20" w:line="240" w:lineRule="auto"/>
            </w:pPr>
            <w:r/>
            <w:r>
              <w:rPr>
                <w:rFonts w:ascii="Calibri" w:hAnsi="Calibri"/>
                <w:b w:val="0"/>
                <w:color w:val="1F1F1F"/>
                <w:sz w:val="13"/>
              </w:rPr>
              <w:t>Full ITT</w:t>
            </w:r>
          </w:p>
        </w:tc>
      </w:tr>
      <w:tr>
        <w:tc>
          <w:tcPr>
            <w:tcW w:type="dxa" w:w="3024"/>
            <w:vAlign w:val="top"/>
          </w:tcPr>
          <w:p>
            <w:pPr>
              <w:spacing w:before="0" w:after="20" w:line="240" w:lineRule="auto"/>
            </w:pPr>
            <w:r/>
            <w:r>
              <w:rPr>
                <w:rFonts w:ascii="Calibri" w:hAnsi="Calibri"/>
                <w:b w:val="0"/>
                <w:color w:val="1F1F1F"/>
                <w:sz w:val="13"/>
              </w:rPr>
              <w:t>ECOG PS 0-1</w:t>
            </w:r>
          </w:p>
        </w:tc>
        <w:tc>
          <w:tcPr>
            <w:tcW w:type="dxa" w:w="1152"/>
            <w:vAlign w:val="top"/>
          </w:tcPr>
          <w:p>
            <w:pPr>
              <w:spacing w:before="0" w:after="20" w:line="240" w:lineRule="auto"/>
            </w:pPr>
            <w:r/>
            <w:r>
              <w:rPr>
                <w:rFonts w:ascii="Calibri" w:hAnsi="Calibri"/>
                <w:b w:val="0"/>
                <w:color w:val="1F1F1F"/>
                <w:sz w:val="13"/>
              </w:rPr>
              <w:t>694</w:t>
            </w:r>
          </w:p>
        </w:tc>
        <w:tc>
          <w:tcPr>
            <w:tcW w:type="dxa" w:w="2232"/>
            <w:vAlign w:val="top"/>
          </w:tcPr>
          <w:p>
            <w:pPr>
              <w:spacing w:before="0" w:after="20" w:line="240" w:lineRule="auto"/>
            </w:pPr>
            <w:r/>
            <w:r>
              <w:rPr>
                <w:rFonts w:ascii="Calibri" w:hAnsi="Calibri"/>
                <w:b w:val="0"/>
                <w:color w:val="1F1F1F"/>
                <w:sz w:val="13"/>
              </w:rPr>
              <w:t>0.68 (0.57-0.82)</w:t>
            </w:r>
          </w:p>
        </w:tc>
        <w:tc>
          <w:tcPr>
            <w:tcW w:type="dxa" w:w="2952"/>
            <w:vAlign w:val="top"/>
          </w:tcPr>
          <w:p>
            <w:pPr>
              <w:spacing w:before="0" w:after="20" w:line="240" w:lineRule="auto"/>
            </w:pPr>
            <w:r/>
            <w:r>
              <w:rPr>
                <w:rFonts w:ascii="Calibri" w:hAnsi="Calibri"/>
                <w:b w:val="0"/>
                <w:color w:val="1F1F1F"/>
                <w:sz w:val="13"/>
              </w:rPr>
              <w:t>ECOGBLN IN (0,1)</w:t>
            </w:r>
          </w:p>
        </w:tc>
      </w:tr>
      <w:tr>
        <w:tc>
          <w:tcPr>
            <w:tcW w:type="dxa" w:w="3024"/>
            <w:vAlign w:val="top"/>
          </w:tcPr>
          <w:p>
            <w:pPr>
              <w:spacing w:before="0" w:after="20" w:line="240" w:lineRule="auto"/>
            </w:pPr>
            <w:r/>
            <w:r>
              <w:rPr>
                <w:rFonts w:ascii="Calibri" w:hAnsi="Calibri"/>
                <w:b w:val="0"/>
                <w:color w:val="1F1F1F"/>
                <w:sz w:val="13"/>
              </w:rPr>
              <w:t>ECOG PS 2</w:t>
            </w:r>
          </w:p>
        </w:tc>
        <w:tc>
          <w:tcPr>
            <w:tcW w:type="dxa" w:w="1152"/>
            <w:vAlign w:val="top"/>
          </w:tcPr>
          <w:p>
            <w:pPr>
              <w:spacing w:before="0" w:after="20" w:line="240" w:lineRule="auto"/>
            </w:pPr>
            <w:r/>
            <w:r>
              <w:rPr>
                <w:rFonts w:ascii="Calibri" w:hAnsi="Calibri"/>
                <w:b w:val="0"/>
                <w:color w:val="1F1F1F"/>
                <w:sz w:val="13"/>
              </w:rPr>
              <w:t>61</w:t>
            </w:r>
          </w:p>
        </w:tc>
        <w:tc>
          <w:tcPr>
            <w:tcW w:type="dxa" w:w="2232"/>
            <w:vAlign w:val="top"/>
          </w:tcPr>
          <w:p>
            <w:pPr>
              <w:spacing w:before="0" w:after="20" w:line="240" w:lineRule="auto"/>
            </w:pPr>
            <w:r/>
            <w:r>
              <w:rPr>
                <w:rFonts w:ascii="Calibri" w:hAnsi="Calibri"/>
                <w:b w:val="0"/>
                <w:color w:val="1F1F1F"/>
                <w:sz w:val="13"/>
              </w:rPr>
              <w:t>0.81 (0.48-1.38)</w:t>
            </w:r>
          </w:p>
        </w:tc>
        <w:tc>
          <w:tcPr>
            <w:tcW w:type="dxa" w:w="2952"/>
            <w:vAlign w:val="top"/>
          </w:tcPr>
          <w:p>
            <w:pPr>
              <w:spacing w:before="0" w:after="20" w:line="240" w:lineRule="auto"/>
            </w:pPr>
            <w:r/>
            <w:r>
              <w:rPr>
                <w:rFonts w:ascii="Calibri" w:hAnsi="Calibri"/>
                <w:b w:val="0"/>
                <w:color w:val="1F1F1F"/>
                <w:sz w:val="13"/>
              </w:rPr>
              <w:t>ECOGBLN=2</w:t>
            </w:r>
          </w:p>
        </w:tc>
      </w:tr>
      <w:tr>
        <w:tc>
          <w:tcPr>
            <w:tcW w:type="dxa" w:w="3024"/>
            <w:vAlign w:val="top"/>
          </w:tcPr>
          <w:p>
            <w:pPr>
              <w:spacing w:before="0" w:after="20" w:line="240" w:lineRule="auto"/>
            </w:pPr>
            <w:r/>
            <w:r>
              <w:rPr>
                <w:rFonts w:ascii="Calibri" w:hAnsi="Calibri"/>
                <w:b w:val="0"/>
                <w:color w:val="1F1F1F"/>
                <w:sz w:val="13"/>
              </w:rPr>
              <w:t>Non-measurable disease</w:t>
            </w:r>
          </w:p>
        </w:tc>
        <w:tc>
          <w:tcPr>
            <w:tcW w:type="dxa" w:w="1152"/>
            <w:vAlign w:val="top"/>
          </w:tcPr>
          <w:p>
            <w:pPr>
              <w:spacing w:before="0" w:after="20" w:line="240" w:lineRule="auto"/>
            </w:pPr>
            <w:r/>
            <w:r>
              <w:rPr>
                <w:rFonts w:ascii="Calibri" w:hAnsi="Calibri"/>
                <w:b w:val="0"/>
                <w:color w:val="1F1F1F"/>
                <w:sz w:val="13"/>
              </w:rPr>
              <w:t>350</w:t>
            </w:r>
          </w:p>
        </w:tc>
        <w:tc>
          <w:tcPr>
            <w:tcW w:type="dxa" w:w="2232"/>
            <w:vAlign w:val="top"/>
          </w:tcPr>
          <w:p>
            <w:pPr>
              <w:spacing w:before="0" w:after="20" w:line="240" w:lineRule="auto"/>
            </w:pPr>
            <w:r/>
            <w:r>
              <w:rPr>
                <w:rFonts w:ascii="Calibri" w:hAnsi="Calibri"/>
                <w:b w:val="0"/>
                <w:color w:val="1F1F1F"/>
                <w:sz w:val="13"/>
              </w:rPr>
              <w:t>0.72 (0.55-0.93)</w:t>
            </w:r>
          </w:p>
        </w:tc>
        <w:tc>
          <w:tcPr>
            <w:tcW w:type="dxa" w:w="2952"/>
            <w:vAlign w:val="top"/>
          </w:tcPr>
          <w:p>
            <w:pPr>
              <w:spacing w:before="0" w:after="20" w:line="240" w:lineRule="auto"/>
            </w:pPr>
            <w:r/>
            <w:r>
              <w:rPr>
                <w:rFonts w:ascii="Calibri" w:hAnsi="Calibri"/>
                <w:b w:val="0"/>
                <w:color w:val="1F1F1F"/>
                <w:sz w:val="13"/>
              </w:rPr>
              <w:t>MEASDISFL='N'</w:t>
            </w:r>
          </w:p>
        </w:tc>
      </w:tr>
      <w:tr>
        <w:tc>
          <w:tcPr>
            <w:tcW w:type="dxa" w:w="3024"/>
            <w:vAlign w:val="top"/>
          </w:tcPr>
          <w:p>
            <w:pPr>
              <w:spacing w:before="0" w:after="20" w:line="240" w:lineRule="auto"/>
            </w:pPr>
            <w:r/>
            <w:r>
              <w:rPr>
                <w:rFonts w:ascii="Calibri" w:hAnsi="Calibri"/>
                <w:b w:val="0"/>
                <w:color w:val="1F1F1F"/>
                <w:sz w:val="13"/>
              </w:rPr>
              <w:t>Measurable disease</w:t>
            </w:r>
          </w:p>
        </w:tc>
        <w:tc>
          <w:tcPr>
            <w:tcW w:type="dxa" w:w="1152"/>
            <w:vAlign w:val="top"/>
          </w:tcPr>
          <w:p>
            <w:pPr>
              <w:spacing w:before="0" w:after="20" w:line="240" w:lineRule="auto"/>
            </w:pPr>
            <w:r/>
            <w:r>
              <w:rPr>
                <w:rFonts w:ascii="Calibri" w:hAnsi="Calibri"/>
                <w:b w:val="0"/>
                <w:color w:val="1F1F1F"/>
                <w:sz w:val="13"/>
              </w:rPr>
              <w:t>405</w:t>
            </w:r>
          </w:p>
        </w:tc>
        <w:tc>
          <w:tcPr>
            <w:tcW w:type="dxa" w:w="2232"/>
            <w:vAlign w:val="top"/>
          </w:tcPr>
          <w:p>
            <w:pPr>
              <w:spacing w:before="0" w:after="20" w:line="240" w:lineRule="auto"/>
            </w:pPr>
            <w:r/>
            <w:r>
              <w:rPr>
                <w:rFonts w:ascii="Calibri" w:hAnsi="Calibri"/>
                <w:b w:val="0"/>
                <w:color w:val="1F1F1F"/>
                <w:sz w:val="13"/>
              </w:rPr>
              <w:t>0.68 (0.54-0.85)</w:t>
            </w:r>
          </w:p>
        </w:tc>
        <w:tc>
          <w:tcPr>
            <w:tcW w:type="dxa" w:w="2952"/>
            <w:vAlign w:val="top"/>
          </w:tcPr>
          <w:p>
            <w:pPr>
              <w:spacing w:before="0" w:after="20" w:line="240" w:lineRule="auto"/>
            </w:pPr>
            <w:r/>
            <w:r>
              <w:rPr>
                <w:rFonts w:ascii="Calibri" w:hAnsi="Calibri"/>
                <w:b w:val="0"/>
                <w:color w:val="1F1F1F"/>
                <w:sz w:val="13"/>
              </w:rPr>
              <w:t>MEASDISFL='Y'</w:t>
            </w:r>
          </w:p>
        </w:tc>
      </w:tr>
      <w:tr>
        <w:tc>
          <w:tcPr>
            <w:tcW w:type="dxa" w:w="3024"/>
            <w:vAlign w:val="top"/>
          </w:tcPr>
          <w:p>
            <w:pPr>
              <w:spacing w:before="0" w:after="20" w:line="240" w:lineRule="auto"/>
            </w:pPr>
            <w:r/>
            <w:r>
              <w:rPr>
                <w:rFonts w:ascii="Calibri" w:hAnsi="Calibri"/>
                <w:b w:val="0"/>
                <w:color w:val="1F1F1F"/>
                <w:sz w:val="13"/>
              </w:rPr>
              <w:t>Prior chemo regimens: 1</w:t>
            </w:r>
          </w:p>
        </w:tc>
        <w:tc>
          <w:tcPr>
            <w:tcW w:type="dxa" w:w="1152"/>
            <w:vAlign w:val="top"/>
          </w:tcPr>
          <w:p>
            <w:pPr>
              <w:spacing w:before="0" w:after="20" w:line="240" w:lineRule="auto"/>
            </w:pPr>
            <w:r/>
            <w:r>
              <w:rPr>
                <w:rFonts w:ascii="Calibri" w:hAnsi="Calibri"/>
                <w:b w:val="0"/>
                <w:color w:val="1F1F1F"/>
                <w:sz w:val="13"/>
              </w:rPr>
              <w:t>528</w:t>
            </w:r>
          </w:p>
        </w:tc>
        <w:tc>
          <w:tcPr>
            <w:tcW w:type="dxa" w:w="2232"/>
            <w:vAlign w:val="top"/>
          </w:tcPr>
          <w:p>
            <w:pPr>
              <w:spacing w:before="0" w:after="20" w:line="240" w:lineRule="auto"/>
            </w:pPr>
            <w:r/>
            <w:r>
              <w:rPr>
                <w:rFonts w:ascii="Calibri" w:hAnsi="Calibri"/>
                <w:b w:val="0"/>
                <w:color w:val="1F1F1F"/>
                <w:sz w:val="13"/>
              </w:rPr>
              <w:t>0.67 (0.55-0.83)</w:t>
            </w:r>
          </w:p>
        </w:tc>
        <w:tc>
          <w:tcPr>
            <w:tcW w:type="dxa" w:w="2952"/>
            <w:vAlign w:val="top"/>
          </w:tcPr>
          <w:p>
            <w:pPr>
              <w:spacing w:before="0" w:after="20" w:line="240" w:lineRule="auto"/>
            </w:pPr>
            <w:r/>
            <w:r>
              <w:rPr>
                <w:rFonts w:ascii="Calibri" w:hAnsi="Calibri"/>
                <w:b w:val="0"/>
                <w:color w:val="1F1F1F"/>
                <w:sz w:val="13"/>
              </w:rPr>
              <w:t>NPRCHEMO=1</w:t>
            </w:r>
          </w:p>
        </w:tc>
      </w:tr>
      <w:tr>
        <w:tc>
          <w:tcPr>
            <w:tcW w:type="dxa" w:w="3024"/>
            <w:vAlign w:val="top"/>
          </w:tcPr>
          <w:p>
            <w:pPr>
              <w:spacing w:before="0" w:after="20" w:line="240" w:lineRule="auto"/>
            </w:pPr>
            <w:r/>
            <w:r>
              <w:rPr>
                <w:rFonts w:ascii="Calibri" w:hAnsi="Calibri"/>
                <w:b w:val="0"/>
                <w:color w:val="1F1F1F"/>
                <w:sz w:val="13"/>
              </w:rPr>
              <w:t>Prior chemo regimens: &gt;=2</w:t>
            </w:r>
          </w:p>
        </w:tc>
        <w:tc>
          <w:tcPr>
            <w:tcW w:type="dxa" w:w="1152"/>
            <w:vAlign w:val="top"/>
          </w:tcPr>
          <w:p>
            <w:pPr>
              <w:spacing w:before="0" w:after="20" w:line="240" w:lineRule="auto"/>
            </w:pPr>
            <w:r/>
            <w:r>
              <w:rPr>
                <w:rFonts w:ascii="Calibri" w:hAnsi="Calibri"/>
                <w:b w:val="0"/>
                <w:color w:val="1F1F1F"/>
                <w:sz w:val="13"/>
              </w:rPr>
              <w:t>227</w:t>
            </w:r>
          </w:p>
        </w:tc>
        <w:tc>
          <w:tcPr>
            <w:tcW w:type="dxa" w:w="2232"/>
            <w:vAlign w:val="top"/>
          </w:tcPr>
          <w:p>
            <w:pPr>
              <w:spacing w:before="0" w:after="20" w:line="240" w:lineRule="auto"/>
            </w:pPr>
            <w:r/>
            <w:r>
              <w:rPr>
                <w:rFonts w:ascii="Calibri" w:hAnsi="Calibri"/>
                <w:b w:val="0"/>
                <w:color w:val="1F1F1F"/>
                <w:sz w:val="13"/>
              </w:rPr>
              <w:t>0.75 (0.55-1.02)</w:t>
            </w:r>
          </w:p>
        </w:tc>
        <w:tc>
          <w:tcPr>
            <w:tcW w:type="dxa" w:w="2952"/>
            <w:vAlign w:val="top"/>
          </w:tcPr>
          <w:p>
            <w:pPr>
              <w:spacing w:before="0" w:after="20" w:line="240" w:lineRule="auto"/>
            </w:pPr>
            <w:r/>
            <w:r>
              <w:rPr>
                <w:rFonts w:ascii="Calibri" w:hAnsi="Calibri"/>
                <w:b w:val="0"/>
                <w:color w:val="1F1F1F"/>
                <w:sz w:val="13"/>
              </w:rPr>
              <w:t>NPRCHEMO GE 2</w:t>
            </w:r>
          </w:p>
        </w:tc>
      </w:tr>
      <w:tr>
        <w:tc>
          <w:tcPr>
            <w:tcW w:type="dxa" w:w="3024"/>
            <w:vAlign w:val="top"/>
          </w:tcPr>
          <w:p>
            <w:pPr>
              <w:spacing w:before="0" w:after="20" w:line="240" w:lineRule="auto"/>
            </w:pPr>
            <w:r/>
            <w:r>
              <w:rPr>
                <w:rFonts w:ascii="Calibri" w:hAnsi="Calibri"/>
                <w:b w:val="0"/>
                <w:color w:val="1F1F1F"/>
                <w:sz w:val="13"/>
              </w:rPr>
              <w:t>Age &lt;65 years</w:t>
            </w:r>
          </w:p>
        </w:tc>
        <w:tc>
          <w:tcPr>
            <w:tcW w:type="dxa" w:w="1152"/>
            <w:vAlign w:val="top"/>
          </w:tcPr>
          <w:p>
            <w:pPr>
              <w:spacing w:before="0" w:after="20" w:line="240" w:lineRule="auto"/>
            </w:pPr>
            <w:r/>
            <w:r>
              <w:rPr>
                <w:rFonts w:ascii="Calibri" w:hAnsi="Calibri"/>
                <w:b w:val="0"/>
                <w:color w:val="1F1F1F"/>
                <w:sz w:val="13"/>
              </w:rPr>
              <w:t>295</w:t>
            </w:r>
          </w:p>
        </w:tc>
        <w:tc>
          <w:tcPr>
            <w:tcW w:type="dxa" w:w="2232"/>
            <w:vAlign w:val="top"/>
          </w:tcPr>
          <w:p>
            <w:pPr>
              <w:spacing w:before="0" w:after="20" w:line="240" w:lineRule="auto"/>
            </w:pPr>
            <w:r/>
            <w:r>
              <w:rPr>
                <w:rFonts w:ascii="Calibri" w:hAnsi="Calibri"/>
                <w:b w:val="0"/>
                <w:color w:val="1F1F1F"/>
                <w:sz w:val="13"/>
              </w:rPr>
              <w:t>0.81 (0.61-1.08)</w:t>
            </w:r>
          </w:p>
        </w:tc>
        <w:tc>
          <w:tcPr>
            <w:tcW w:type="dxa" w:w="2952"/>
            <w:vAlign w:val="top"/>
          </w:tcPr>
          <w:p>
            <w:pPr>
              <w:spacing w:before="0" w:after="20" w:line="240" w:lineRule="auto"/>
            </w:pPr>
            <w:r/>
            <w:r>
              <w:rPr>
                <w:rFonts w:ascii="Calibri" w:hAnsi="Calibri"/>
                <w:b w:val="0"/>
                <w:color w:val="1F1F1F"/>
                <w:sz w:val="13"/>
              </w:rPr>
              <w:t>AGEGR1='&lt;65'</w:t>
            </w:r>
          </w:p>
        </w:tc>
      </w:tr>
      <w:tr>
        <w:tc>
          <w:tcPr>
            <w:tcW w:type="dxa" w:w="3024"/>
            <w:vAlign w:val="top"/>
          </w:tcPr>
          <w:p>
            <w:pPr>
              <w:spacing w:before="0" w:after="20" w:line="240" w:lineRule="auto"/>
            </w:pPr>
            <w:r/>
            <w:r>
              <w:rPr>
                <w:rFonts w:ascii="Calibri" w:hAnsi="Calibri"/>
                <w:b w:val="0"/>
                <w:color w:val="1F1F1F"/>
                <w:sz w:val="13"/>
              </w:rPr>
              <w:t>Age &gt;=65 years</w:t>
            </w:r>
          </w:p>
        </w:tc>
        <w:tc>
          <w:tcPr>
            <w:tcW w:type="dxa" w:w="1152"/>
            <w:vAlign w:val="top"/>
          </w:tcPr>
          <w:p>
            <w:pPr>
              <w:spacing w:before="0" w:after="20" w:line="240" w:lineRule="auto"/>
            </w:pPr>
            <w:r/>
            <w:r>
              <w:rPr>
                <w:rFonts w:ascii="Calibri" w:hAnsi="Calibri"/>
                <w:b w:val="0"/>
                <w:color w:val="1F1F1F"/>
                <w:sz w:val="13"/>
              </w:rPr>
              <w:t>460</w:t>
            </w:r>
          </w:p>
        </w:tc>
        <w:tc>
          <w:tcPr>
            <w:tcW w:type="dxa" w:w="2232"/>
            <w:vAlign w:val="top"/>
          </w:tcPr>
          <w:p>
            <w:pPr>
              <w:spacing w:before="0" w:after="20" w:line="240" w:lineRule="auto"/>
            </w:pPr>
            <w:r/>
            <w:r>
              <w:rPr>
                <w:rFonts w:ascii="Calibri" w:hAnsi="Calibri"/>
                <w:b w:val="0"/>
                <w:color w:val="1F1F1F"/>
                <w:sz w:val="13"/>
              </w:rPr>
              <w:t>0.62 (0.50-0.78)</w:t>
            </w:r>
          </w:p>
        </w:tc>
        <w:tc>
          <w:tcPr>
            <w:tcW w:type="dxa" w:w="2952"/>
            <w:vAlign w:val="top"/>
          </w:tcPr>
          <w:p>
            <w:pPr>
              <w:spacing w:before="0" w:after="20" w:line="240" w:lineRule="auto"/>
            </w:pPr>
            <w:r/>
            <w:r>
              <w:rPr>
                <w:rFonts w:ascii="Calibri" w:hAnsi="Calibri"/>
                <w:b w:val="0"/>
                <w:color w:val="1F1F1F"/>
                <w:sz w:val="13"/>
              </w:rPr>
              <w:t>AGEGR1='&gt;=65'</w:t>
            </w:r>
          </w:p>
        </w:tc>
      </w:tr>
      <w:tr>
        <w:tc>
          <w:tcPr>
            <w:tcW w:type="dxa" w:w="3024"/>
            <w:vAlign w:val="top"/>
          </w:tcPr>
          <w:p>
            <w:pPr>
              <w:spacing w:before="0" w:after="20" w:line="240" w:lineRule="auto"/>
            </w:pPr>
            <w:r/>
            <w:r>
              <w:rPr>
                <w:rFonts w:ascii="Calibri" w:hAnsi="Calibri"/>
                <w:b w:val="0"/>
                <w:color w:val="1F1F1F"/>
                <w:sz w:val="13"/>
              </w:rPr>
              <w:t>No pain at baseline*a</w:t>
            </w:r>
          </w:p>
        </w:tc>
        <w:tc>
          <w:tcPr>
            <w:tcW w:type="dxa" w:w="1152"/>
            <w:vAlign w:val="top"/>
          </w:tcPr>
          <w:p>
            <w:pPr>
              <w:spacing w:before="0" w:after="20" w:line="240" w:lineRule="auto"/>
            </w:pPr>
            <w:r/>
            <w:r>
              <w:rPr>
                <w:rFonts w:ascii="Calibri" w:hAnsi="Calibri"/>
                <w:b w:val="0"/>
                <w:color w:val="1F1F1F"/>
                <w:sz w:val="13"/>
              </w:rPr>
              <w:t>374</w:t>
            </w:r>
          </w:p>
        </w:tc>
        <w:tc>
          <w:tcPr>
            <w:tcW w:type="dxa" w:w="2232"/>
            <w:vAlign w:val="top"/>
          </w:tcPr>
          <w:p>
            <w:pPr>
              <w:spacing w:before="0" w:after="20" w:line="240" w:lineRule="auto"/>
            </w:pPr>
            <w:r/>
            <w:r>
              <w:rPr>
                <w:rFonts w:ascii="Calibri" w:hAnsi="Calibri"/>
                <w:b w:val="0"/>
                <w:color w:val="1F1F1F"/>
                <w:sz w:val="13"/>
              </w:rPr>
              <w:t>0.55 (0.42-0.72)</w:t>
            </w:r>
          </w:p>
        </w:tc>
        <w:tc>
          <w:tcPr>
            <w:tcW w:type="dxa" w:w="2952"/>
            <w:vAlign w:val="top"/>
          </w:tcPr>
          <w:p>
            <w:pPr>
              <w:spacing w:before="0" w:after="20" w:line="240" w:lineRule="auto"/>
            </w:pPr>
            <w:r/>
            <w:r>
              <w:rPr>
                <w:rFonts w:ascii="Calibri" w:hAnsi="Calibri"/>
                <w:b w:val="0"/>
                <w:color w:val="1F1F1F"/>
                <w:sz w:val="13"/>
              </w:rPr>
              <w:t>PAINBL='N'</w:t>
            </w:r>
          </w:p>
        </w:tc>
      </w:tr>
      <w:tr>
        <w:tc>
          <w:tcPr>
            <w:tcW w:type="dxa" w:w="3024"/>
            <w:vAlign w:val="top"/>
          </w:tcPr>
          <w:p>
            <w:pPr>
              <w:spacing w:before="0" w:after="20" w:line="240" w:lineRule="auto"/>
            </w:pPr>
            <w:r/>
            <w:r>
              <w:rPr>
                <w:rFonts w:ascii="Calibri" w:hAnsi="Calibri"/>
                <w:b w:val="0"/>
                <w:color w:val="1F1F1F"/>
                <w:sz w:val="13"/>
              </w:rPr>
              <w:t>Pain at baseline*a</w:t>
            </w:r>
          </w:p>
        </w:tc>
        <w:tc>
          <w:tcPr>
            <w:tcW w:type="dxa" w:w="1152"/>
            <w:vAlign w:val="top"/>
          </w:tcPr>
          <w:p>
            <w:pPr>
              <w:spacing w:before="0" w:after="20" w:line="240" w:lineRule="auto"/>
            </w:pPr>
            <w:r/>
            <w:r>
              <w:rPr>
                <w:rFonts w:ascii="Calibri" w:hAnsi="Calibri"/>
                <w:b w:val="0"/>
                <w:color w:val="1F1F1F"/>
                <w:sz w:val="13"/>
              </w:rPr>
              <w:t>342</w:t>
            </w:r>
          </w:p>
        </w:tc>
        <w:tc>
          <w:tcPr>
            <w:tcW w:type="dxa" w:w="2232"/>
            <w:vAlign w:val="top"/>
          </w:tcPr>
          <w:p>
            <w:pPr>
              <w:spacing w:before="0" w:after="20" w:line="240" w:lineRule="auto"/>
            </w:pPr>
            <w:r/>
            <w:r>
              <w:rPr>
                <w:rFonts w:ascii="Calibri" w:hAnsi="Calibri"/>
                <w:b w:val="0"/>
                <w:color w:val="1F1F1F"/>
                <w:sz w:val="13"/>
              </w:rPr>
              <w:t>0.77 (0.61-0.98)</w:t>
            </w:r>
          </w:p>
        </w:tc>
        <w:tc>
          <w:tcPr>
            <w:tcW w:type="dxa" w:w="2952"/>
            <w:vAlign w:val="top"/>
          </w:tcPr>
          <w:p>
            <w:pPr>
              <w:spacing w:before="0" w:after="20" w:line="240" w:lineRule="auto"/>
            </w:pPr>
            <w:r/>
            <w:r>
              <w:rPr>
                <w:rFonts w:ascii="Calibri" w:hAnsi="Calibri"/>
                <w:b w:val="0"/>
                <w:color w:val="1F1F1F"/>
                <w:sz w:val="13"/>
              </w:rPr>
              <w:t>PAINBL='Y'</w:t>
            </w:r>
          </w:p>
        </w:tc>
      </w:tr>
      <w:tr>
        <w:tc>
          <w:tcPr>
            <w:tcW w:type="dxa" w:w="3024"/>
            <w:vAlign w:val="top"/>
          </w:tcPr>
          <w:p>
            <w:pPr>
              <w:spacing w:before="0" w:after="20" w:line="240" w:lineRule="auto"/>
            </w:pPr>
            <w:r/>
            <w:r>
              <w:rPr>
                <w:rFonts w:ascii="Calibri" w:hAnsi="Calibri"/>
                <w:b w:val="0"/>
                <w:color w:val="1F1F1F"/>
                <w:sz w:val="13"/>
              </w:rPr>
              <w:t>No rising PSA at baseline*b</w:t>
            </w:r>
          </w:p>
        </w:tc>
        <w:tc>
          <w:tcPr>
            <w:tcW w:type="dxa" w:w="1152"/>
            <w:vAlign w:val="top"/>
          </w:tcPr>
          <w:p>
            <w:pPr>
              <w:spacing w:before="0" w:after="20" w:line="240" w:lineRule="auto"/>
            </w:pPr>
            <w:r/>
            <w:r>
              <w:rPr>
                <w:rFonts w:ascii="Calibri" w:hAnsi="Calibri"/>
                <w:b w:val="0"/>
                <w:color w:val="1F1F1F"/>
                <w:sz w:val="13"/>
              </w:rPr>
              <w:t>159</w:t>
            </w:r>
          </w:p>
        </w:tc>
        <w:tc>
          <w:tcPr>
            <w:tcW w:type="dxa" w:w="2232"/>
            <w:vAlign w:val="top"/>
          </w:tcPr>
          <w:p>
            <w:pPr>
              <w:spacing w:before="0" w:after="20" w:line="240" w:lineRule="auto"/>
            </w:pPr>
            <w:r/>
            <w:r>
              <w:rPr>
                <w:rFonts w:ascii="Calibri" w:hAnsi="Calibri"/>
                <w:b w:val="0"/>
                <w:color w:val="1F1F1F"/>
                <w:sz w:val="13"/>
              </w:rPr>
              <w:t>0.88 (0.61-1.26)</w:t>
            </w:r>
          </w:p>
        </w:tc>
        <w:tc>
          <w:tcPr>
            <w:tcW w:type="dxa" w:w="2952"/>
            <w:vAlign w:val="top"/>
          </w:tcPr>
          <w:p>
            <w:pPr>
              <w:spacing w:before="0" w:after="20" w:line="240" w:lineRule="auto"/>
            </w:pPr>
            <w:r/>
            <w:r>
              <w:rPr>
                <w:rFonts w:ascii="Calibri" w:hAnsi="Calibri"/>
                <w:b w:val="0"/>
                <w:color w:val="1F1F1F"/>
                <w:sz w:val="13"/>
              </w:rPr>
              <w:t>RISEPSAFL='N'</w:t>
            </w:r>
          </w:p>
        </w:tc>
      </w:tr>
      <w:tr>
        <w:tc>
          <w:tcPr>
            <w:tcW w:type="dxa" w:w="3024"/>
            <w:vAlign w:val="top"/>
          </w:tcPr>
          <w:p>
            <w:pPr>
              <w:spacing w:before="0" w:after="20" w:line="240" w:lineRule="auto"/>
            </w:pPr>
            <w:r/>
            <w:r>
              <w:rPr>
                <w:rFonts w:ascii="Calibri" w:hAnsi="Calibri"/>
                <w:b w:val="0"/>
                <w:color w:val="1F1F1F"/>
                <w:sz w:val="13"/>
              </w:rPr>
              <w:t>Rising PSA at baseline*b</w:t>
            </w:r>
          </w:p>
        </w:tc>
        <w:tc>
          <w:tcPr>
            <w:tcW w:type="dxa" w:w="1152"/>
            <w:vAlign w:val="top"/>
          </w:tcPr>
          <w:p>
            <w:pPr>
              <w:spacing w:before="0" w:after="20" w:line="240" w:lineRule="auto"/>
            </w:pPr>
            <w:r/>
            <w:r>
              <w:rPr>
                <w:rFonts w:ascii="Calibri" w:hAnsi="Calibri"/>
                <w:b w:val="0"/>
                <w:color w:val="1F1F1F"/>
                <w:sz w:val="13"/>
              </w:rPr>
              <w:t>583</w:t>
            </w:r>
          </w:p>
        </w:tc>
        <w:tc>
          <w:tcPr>
            <w:tcW w:type="dxa" w:w="2232"/>
            <w:vAlign w:val="top"/>
          </w:tcPr>
          <w:p>
            <w:pPr>
              <w:spacing w:before="0" w:after="20" w:line="240" w:lineRule="auto"/>
            </w:pPr>
            <w:r/>
            <w:r>
              <w:rPr>
                <w:rFonts w:ascii="Calibri" w:hAnsi="Calibri"/>
                <w:b w:val="0"/>
                <w:color w:val="1F1F1F"/>
                <w:sz w:val="13"/>
              </w:rPr>
              <w:t>0.65 (0.53-0.80)</w:t>
            </w:r>
          </w:p>
        </w:tc>
        <w:tc>
          <w:tcPr>
            <w:tcW w:type="dxa" w:w="2952"/>
            <w:vAlign w:val="top"/>
          </w:tcPr>
          <w:p>
            <w:pPr>
              <w:spacing w:before="0" w:after="20" w:line="240" w:lineRule="auto"/>
            </w:pPr>
            <w:r/>
            <w:r>
              <w:rPr>
                <w:rFonts w:ascii="Calibri" w:hAnsi="Calibri"/>
                <w:b w:val="0"/>
                <w:color w:val="1F1F1F"/>
                <w:sz w:val="13"/>
              </w:rPr>
              <w:t>RISEPSAFL='Y'</w:t>
            </w:r>
          </w:p>
        </w:tc>
      </w:tr>
      <w:tr>
        <w:tc>
          <w:tcPr>
            <w:tcW w:type="dxa" w:w="3024"/>
            <w:vAlign w:val="top"/>
          </w:tcPr>
          <w:p>
            <w:pPr>
              <w:spacing w:before="0" w:after="20" w:line="240" w:lineRule="auto"/>
            </w:pPr>
            <w:r/>
            <w:r>
              <w:rPr>
                <w:rFonts w:ascii="Calibri" w:hAnsi="Calibri"/>
                <w:b w:val="0"/>
                <w:color w:val="1F1F1F"/>
                <w:sz w:val="13"/>
              </w:rPr>
              <w:t>Prior docetaxel &lt;225 mg/m^2*c</w:t>
            </w:r>
          </w:p>
        </w:tc>
        <w:tc>
          <w:tcPr>
            <w:tcW w:type="dxa" w:w="1152"/>
            <w:vAlign w:val="top"/>
          </w:tcPr>
          <w:p>
            <w:pPr>
              <w:spacing w:before="0" w:after="20" w:line="240" w:lineRule="auto"/>
            </w:pPr>
            <w:r/>
            <w:r>
              <w:rPr>
                <w:rFonts w:ascii="Calibri" w:hAnsi="Calibri"/>
                <w:b w:val="0"/>
                <w:color w:val="1F1F1F"/>
                <w:sz w:val="13"/>
              </w:rPr>
              <w:t>59</w:t>
            </w:r>
          </w:p>
        </w:tc>
        <w:tc>
          <w:tcPr>
            <w:tcW w:type="dxa" w:w="2232"/>
            <w:vAlign w:val="top"/>
          </w:tcPr>
          <w:p>
            <w:pPr>
              <w:spacing w:before="0" w:after="20" w:line="240" w:lineRule="auto"/>
            </w:pPr>
            <w:r/>
            <w:r>
              <w:rPr>
                <w:rFonts w:ascii="Calibri" w:hAnsi="Calibri"/>
                <w:b w:val="0"/>
                <w:color w:val="1F1F1F"/>
                <w:sz w:val="13"/>
              </w:rPr>
              <w:t>0.96 (0.49-1.86)</w:t>
            </w:r>
          </w:p>
        </w:tc>
        <w:tc>
          <w:tcPr>
            <w:tcW w:type="dxa" w:w="2952"/>
            <w:vAlign w:val="top"/>
          </w:tcPr>
          <w:p>
            <w:pPr>
              <w:spacing w:before="0" w:after="20" w:line="240" w:lineRule="auto"/>
            </w:pPr>
            <w:r/>
            <w:r>
              <w:rPr>
                <w:rFonts w:ascii="Calibri" w:hAnsi="Calibri"/>
                <w:b w:val="0"/>
                <w:color w:val="1F1F1F"/>
                <w:sz w:val="13"/>
              </w:rPr>
              <w:t>TOTDOC_GRP='&lt;225'</w:t>
            </w:r>
          </w:p>
        </w:tc>
      </w:tr>
      <w:tr>
        <w:tc>
          <w:tcPr>
            <w:tcW w:type="dxa" w:w="3024"/>
            <w:vAlign w:val="top"/>
          </w:tcPr>
          <w:p>
            <w:pPr>
              <w:spacing w:before="0" w:after="20" w:line="240" w:lineRule="auto"/>
            </w:pPr>
            <w:r/>
            <w:r>
              <w:rPr>
                <w:rFonts w:ascii="Calibri" w:hAnsi="Calibri"/>
                <w:b w:val="0"/>
                <w:color w:val="1F1F1F"/>
                <w:sz w:val="13"/>
              </w:rPr>
              <w:t>Prior docetaxel &gt;=225-&lt;450 mg/m^2*c</w:t>
            </w:r>
          </w:p>
        </w:tc>
        <w:tc>
          <w:tcPr>
            <w:tcW w:type="dxa" w:w="1152"/>
            <w:vAlign w:val="top"/>
          </w:tcPr>
          <w:p>
            <w:pPr>
              <w:spacing w:before="0" w:after="20" w:line="240" w:lineRule="auto"/>
            </w:pPr>
            <w:r/>
            <w:r>
              <w:rPr>
                <w:rFonts w:ascii="Calibri" w:hAnsi="Calibri"/>
                <w:b w:val="0"/>
                <w:color w:val="1F1F1F"/>
                <w:sz w:val="13"/>
              </w:rPr>
              <w:t>206</w:t>
            </w:r>
          </w:p>
        </w:tc>
        <w:tc>
          <w:tcPr>
            <w:tcW w:type="dxa" w:w="2232"/>
            <w:vAlign w:val="top"/>
          </w:tcPr>
          <w:p>
            <w:pPr>
              <w:spacing w:before="0" w:after="20" w:line="240" w:lineRule="auto"/>
            </w:pPr>
            <w:r/>
            <w:r>
              <w:rPr>
                <w:rFonts w:ascii="Calibri" w:hAnsi="Calibri"/>
                <w:b w:val="0"/>
                <w:color w:val="1F1F1F"/>
                <w:sz w:val="13"/>
              </w:rPr>
              <w:t>0.60 (0.43-0.84)</w:t>
            </w:r>
          </w:p>
        </w:tc>
        <w:tc>
          <w:tcPr>
            <w:tcW w:type="dxa" w:w="2952"/>
            <w:vAlign w:val="top"/>
          </w:tcPr>
          <w:p>
            <w:pPr>
              <w:spacing w:before="0" w:after="20" w:line="240" w:lineRule="auto"/>
            </w:pPr>
            <w:r/>
            <w:r>
              <w:rPr>
                <w:rFonts w:ascii="Calibri" w:hAnsi="Calibri"/>
                <w:b w:val="0"/>
                <w:color w:val="1F1F1F"/>
                <w:sz w:val="13"/>
              </w:rPr>
              <w:t>TOTDOC_GRP='225&lt;450'</w:t>
            </w:r>
          </w:p>
        </w:tc>
      </w:tr>
      <w:tr>
        <w:tc>
          <w:tcPr>
            <w:tcW w:type="dxa" w:w="3024"/>
            <w:vAlign w:val="top"/>
          </w:tcPr>
          <w:p>
            <w:pPr>
              <w:spacing w:before="0" w:after="20" w:line="240" w:lineRule="auto"/>
            </w:pPr>
            <w:r/>
            <w:r>
              <w:rPr>
                <w:rFonts w:ascii="Calibri" w:hAnsi="Calibri"/>
                <w:b w:val="0"/>
                <w:color w:val="1F1F1F"/>
                <w:sz w:val="13"/>
              </w:rPr>
              <w:t>Prior docetaxel &gt;=450-&lt;675 mg/m^2*c</w:t>
            </w:r>
          </w:p>
        </w:tc>
        <w:tc>
          <w:tcPr>
            <w:tcW w:type="dxa" w:w="1152"/>
            <w:vAlign w:val="top"/>
          </w:tcPr>
          <w:p>
            <w:pPr>
              <w:spacing w:before="0" w:after="20" w:line="240" w:lineRule="auto"/>
            </w:pPr>
            <w:r/>
            <w:r>
              <w:rPr>
                <w:rFonts w:ascii="Calibri" w:hAnsi="Calibri"/>
                <w:b w:val="0"/>
                <w:color w:val="1F1F1F"/>
                <w:sz w:val="13"/>
              </w:rPr>
              <w:t>217</w:t>
            </w:r>
          </w:p>
        </w:tc>
        <w:tc>
          <w:tcPr>
            <w:tcW w:type="dxa" w:w="2232"/>
            <w:vAlign w:val="top"/>
          </w:tcPr>
          <w:p>
            <w:pPr>
              <w:spacing w:before="0" w:after="20" w:line="240" w:lineRule="auto"/>
            </w:pPr>
            <w:r/>
            <w:r>
              <w:rPr>
                <w:rFonts w:ascii="Calibri" w:hAnsi="Calibri"/>
                <w:b w:val="0"/>
                <w:color w:val="1F1F1F"/>
                <w:sz w:val="13"/>
              </w:rPr>
              <w:t>0.83 (0.60-1.16)</w:t>
            </w:r>
          </w:p>
        </w:tc>
        <w:tc>
          <w:tcPr>
            <w:tcW w:type="dxa" w:w="2952"/>
            <w:vAlign w:val="top"/>
          </w:tcPr>
          <w:p>
            <w:pPr>
              <w:spacing w:before="0" w:after="20" w:line="240" w:lineRule="auto"/>
            </w:pPr>
            <w:r/>
            <w:r>
              <w:rPr>
                <w:rFonts w:ascii="Calibri" w:hAnsi="Calibri"/>
                <w:b w:val="0"/>
                <w:color w:val="1F1F1F"/>
                <w:sz w:val="13"/>
              </w:rPr>
              <w:t>TOTDOC_GRP='450&lt;675'</w:t>
            </w:r>
          </w:p>
        </w:tc>
      </w:tr>
      <w:tr>
        <w:tc>
          <w:tcPr>
            <w:tcW w:type="dxa" w:w="3024"/>
            <w:vAlign w:val="top"/>
          </w:tcPr>
          <w:p>
            <w:pPr>
              <w:spacing w:before="0" w:after="20" w:line="240" w:lineRule="auto"/>
            </w:pPr>
            <w:r/>
            <w:r>
              <w:rPr>
                <w:rFonts w:ascii="Calibri" w:hAnsi="Calibri"/>
                <w:b w:val="0"/>
                <w:color w:val="1F1F1F"/>
                <w:sz w:val="13"/>
              </w:rPr>
              <w:t>Prior docetaxel &gt;=675-&lt;900 mg/m^2*c</w:t>
            </w:r>
          </w:p>
        </w:tc>
        <w:tc>
          <w:tcPr>
            <w:tcW w:type="dxa" w:w="1152"/>
            <w:vAlign w:val="top"/>
          </w:tcPr>
          <w:p>
            <w:pPr>
              <w:spacing w:before="0" w:after="20" w:line="240" w:lineRule="auto"/>
            </w:pPr>
            <w:r/>
            <w:r>
              <w:rPr>
                <w:rFonts w:ascii="Calibri" w:hAnsi="Calibri"/>
                <w:b w:val="0"/>
                <w:color w:val="1F1F1F"/>
                <w:sz w:val="13"/>
              </w:rPr>
              <w:t>131</w:t>
            </w:r>
          </w:p>
        </w:tc>
        <w:tc>
          <w:tcPr>
            <w:tcW w:type="dxa" w:w="2232"/>
            <w:vAlign w:val="top"/>
          </w:tcPr>
          <w:p>
            <w:pPr>
              <w:spacing w:before="0" w:after="20" w:line="240" w:lineRule="auto"/>
            </w:pPr>
            <w:r/>
            <w:r>
              <w:rPr>
                <w:rFonts w:ascii="Calibri" w:hAnsi="Calibri"/>
                <w:b w:val="0"/>
                <w:color w:val="1F1F1F"/>
                <w:sz w:val="13"/>
              </w:rPr>
              <w:t>0.73 (0.48-1.10)</w:t>
            </w:r>
          </w:p>
        </w:tc>
        <w:tc>
          <w:tcPr>
            <w:tcW w:type="dxa" w:w="2952"/>
            <w:vAlign w:val="top"/>
          </w:tcPr>
          <w:p>
            <w:pPr>
              <w:spacing w:before="0" w:after="20" w:line="240" w:lineRule="auto"/>
            </w:pPr>
            <w:r/>
            <w:r>
              <w:rPr>
                <w:rFonts w:ascii="Calibri" w:hAnsi="Calibri"/>
                <w:b w:val="0"/>
                <w:color w:val="1F1F1F"/>
                <w:sz w:val="13"/>
              </w:rPr>
              <w:t>TOTDOC_GRP='675&lt;900'</w:t>
            </w:r>
          </w:p>
        </w:tc>
      </w:tr>
      <w:tr>
        <w:tc>
          <w:tcPr>
            <w:tcW w:type="dxa" w:w="3024"/>
            <w:vAlign w:val="top"/>
          </w:tcPr>
          <w:p>
            <w:pPr>
              <w:spacing w:before="0" w:after="20" w:line="240" w:lineRule="auto"/>
            </w:pPr>
            <w:r/>
            <w:r>
              <w:rPr>
                <w:rFonts w:ascii="Calibri" w:hAnsi="Calibri"/>
                <w:b w:val="0"/>
                <w:color w:val="1F1F1F"/>
                <w:sz w:val="13"/>
              </w:rPr>
              <w:t>Prior docetaxel &gt;=900 mg/m^2*c</w:t>
            </w:r>
          </w:p>
        </w:tc>
        <w:tc>
          <w:tcPr>
            <w:tcW w:type="dxa" w:w="1152"/>
            <w:vAlign w:val="top"/>
          </w:tcPr>
          <w:p>
            <w:pPr>
              <w:spacing w:before="0" w:after="20" w:line="240" w:lineRule="auto"/>
            </w:pPr>
            <w:r/>
            <w:r>
              <w:rPr>
                <w:rFonts w:ascii="Calibri" w:hAnsi="Calibri"/>
                <w:b w:val="0"/>
                <w:color w:val="1F1F1F"/>
                <w:sz w:val="13"/>
              </w:rPr>
              <w:t>134</w:t>
            </w:r>
          </w:p>
        </w:tc>
        <w:tc>
          <w:tcPr>
            <w:tcW w:type="dxa" w:w="2232"/>
            <w:vAlign w:val="top"/>
          </w:tcPr>
          <w:p>
            <w:pPr>
              <w:spacing w:before="0" w:after="20" w:line="240" w:lineRule="auto"/>
            </w:pPr>
            <w:r/>
            <w:r>
              <w:rPr>
                <w:rFonts w:ascii="Calibri" w:hAnsi="Calibri"/>
                <w:b w:val="0"/>
                <w:color w:val="1F1F1F"/>
                <w:sz w:val="13"/>
              </w:rPr>
              <w:t>0.51 (0.33-0.79)</w:t>
            </w:r>
          </w:p>
        </w:tc>
        <w:tc>
          <w:tcPr>
            <w:tcW w:type="dxa" w:w="2952"/>
            <w:vAlign w:val="top"/>
          </w:tcPr>
          <w:p>
            <w:pPr>
              <w:spacing w:before="0" w:after="20" w:line="240" w:lineRule="auto"/>
            </w:pPr>
            <w:r/>
            <w:r>
              <w:rPr>
                <w:rFonts w:ascii="Calibri" w:hAnsi="Calibri"/>
                <w:b w:val="0"/>
                <w:color w:val="1F1F1F"/>
                <w:sz w:val="13"/>
              </w:rPr>
              <w:t>TOTDOC_GRP='&gt;=900'</w:t>
            </w:r>
          </w:p>
        </w:tc>
      </w:tr>
      <w:tr>
        <w:tc>
          <w:tcPr>
            <w:tcW w:type="dxa" w:w="3024"/>
            <w:vAlign w:val="top"/>
          </w:tcPr>
          <w:p>
            <w:pPr>
              <w:spacing w:before="0" w:after="20" w:line="240" w:lineRule="auto"/>
            </w:pPr>
            <w:r/>
            <w:r>
              <w:rPr>
                <w:rFonts w:ascii="Calibri" w:hAnsi="Calibri"/>
                <w:b w:val="0"/>
                <w:color w:val="1F1F1F"/>
                <w:sz w:val="13"/>
              </w:rPr>
              <w:t>Progression during docetaxel</w:t>
            </w:r>
          </w:p>
        </w:tc>
        <w:tc>
          <w:tcPr>
            <w:tcW w:type="dxa" w:w="1152"/>
            <w:vAlign w:val="top"/>
          </w:tcPr>
          <w:p>
            <w:pPr>
              <w:spacing w:before="0" w:after="20" w:line="240" w:lineRule="auto"/>
            </w:pPr>
            <w:r/>
            <w:r>
              <w:rPr>
                <w:rFonts w:ascii="Calibri" w:hAnsi="Calibri"/>
                <w:b w:val="0"/>
                <w:color w:val="1F1F1F"/>
                <w:sz w:val="13"/>
              </w:rPr>
              <w:t>219</w:t>
            </w:r>
          </w:p>
        </w:tc>
        <w:tc>
          <w:tcPr>
            <w:tcW w:type="dxa" w:w="2232"/>
            <w:vAlign w:val="top"/>
          </w:tcPr>
          <w:p>
            <w:pPr>
              <w:spacing w:before="0" w:after="20" w:line="240" w:lineRule="auto"/>
            </w:pPr>
            <w:r/>
            <w:r>
              <w:rPr>
                <w:rFonts w:ascii="Calibri" w:hAnsi="Calibri"/>
                <w:b w:val="0"/>
                <w:color w:val="1F1F1F"/>
                <w:sz w:val="13"/>
              </w:rPr>
              <w:t>0.65 (0.47-0.90)</w:t>
            </w:r>
          </w:p>
        </w:tc>
        <w:tc>
          <w:tcPr>
            <w:tcW w:type="dxa" w:w="2952"/>
            <w:vAlign w:val="top"/>
          </w:tcPr>
          <w:p>
            <w:pPr>
              <w:spacing w:before="0" w:after="20" w:line="240" w:lineRule="auto"/>
            </w:pPr>
            <w:r/>
            <w:r>
              <w:rPr>
                <w:rFonts w:ascii="Calibri" w:hAnsi="Calibri"/>
                <w:b w:val="0"/>
                <w:color w:val="1F1F1F"/>
                <w:sz w:val="13"/>
              </w:rPr>
              <w:t>DOCPROG='DURING'</w:t>
            </w:r>
          </w:p>
        </w:tc>
      </w:tr>
      <w:tr>
        <w:tc>
          <w:tcPr>
            <w:tcW w:type="dxa" w:w="3024"/>
            <w:vAlign w:val="top"/>
          </w:tcPr>
          <w:p>
            <w:pPr>
              <w:spacing w:before="0" w:after="20" w:line="240" w:lineRule="auto"/>
            </w:pPr>
            <w:r/>
            <w:r>
              <w:rPr>
                <w:rFonts w:ascii="Calibri" w:hAnsi="Calibri"/>
                <w:b w:val="0"/>
                <w:color w:val="1F1F1F"/>
                <w:sz w:val="13"/>
              </w:rPr>
              <w:t>Progression &lt;3 months after last dose</w:t>
            </w:r>
          </w:p>
        </w:tc>
        <w:tc>
          <w:tcPr>
            <w:tcW w:type="dxa" w:w="1152"/>
            <w:vAlign w:val="top"/>
          </w:tcPr>
          <w:p>
            <w:pPr>
              <w:spacing w:before="0" w:after="20" w:line="240" w:lineRule="auto"/>
            </w:pPr>
            <w:r/>
            <w:r>
              <w:rPr>
                <w:rFonts w:ascii="Calibri" w:hAnsi="Calibri"/>
                <w:b w:val="0"/>
                <w:color w:val="1F1F1F"/>
                <w:sz w:val="13"/>
              </w:rPr>
              <w:t>339</w:t>
            </w:r>
          </w:p>
        </w:tc>
        <w:tc>
          <w:tcPr>
            <w:tcW w:type="dxa" w:w="2232"/>
            <w:vAlign w:val="top"/>
          </w:tcPr>
          <w:p>
            <w:pPr>
              <w:spacing w:before="0" w:after="20" w:line="240" w:lineRule="auto"/>
            </w:pPr>
            <w:r/>
            <w:r>
              <w:rPr>
                <w:rFonts w:ascii="Calibri" w:hAnsi="Calibri"/>
                <w:b w:val="0"/>
                <w:color w:val="1F1F1F"/>
                <w:sz w:val="13"/>
              </w:rPr>
              <w:t>0.70 (0.55-0.91)</w:t>
            </w:r>
          </w:p>
        </w:tc>
        <w:tc>
          <w:tcPr>
            <w:tcW w:type="dxa" w:w="2952"/>
            <w:vAlign w:val="top"/>
          </w:tcPr>
          <w:p>
            <w:pPr>
              <w:spacing w:before="0" w:after="20" w:line="240" w:lineRule="auto"/>
            </w:pPr>
            <w:r/>
            <w:r>
              <w:rPr>
                <w:rFonts w:ascii="Calibri" w:hAnsi="Calibri"/>
                <w:b w:val="0"/>
                <w:color w:val="1F1F1F"/>
                <w:sz w:val="13"/>
              </w:rPr>
              <w:t>DOCPROG='&lt;3MO'</w:t>
            </w:r>
          </w:p>
        </w:tc>
      </w:tr>
      <w:tr>
        <w:tc>
          <w:tcPr>
            <w:tcW w:type="dxa" w:w="3024"/>
            <w:vAlign w:val="top"/>
          </w:tcPr>
          <w:p>
            <w:pPr>
              <w:spacing w:before="0" w:after="20" w:line="240" w:lineRule="auto"/>
            </w:pPr>
            <w:r/>
            <w:r>
              <w:rPr>
                <w:rFonts w:ascii="Calibri" w:hAnsi="Calibri"/>
                <w:b w:val="0"/>
                <w:color w:val="1F1F1F"/>
                <w:sz w:val="13"/>
              </w:rPr>
              <w:t>Progression &gt;=3 months after last dose</w:t>
            </w:r>
          </w:p>
        </w:tc>
        <w:tc>
          <w:tcPr>
            <w:tcW w:type="dxa" w:w="1152"/>
            <w:vAlign w:val="top"/>
          </w:tcPr>
          <w:p>
            <w:pPr>
              <w:spacing w:before="0" w:after="20" w:line="240" w:lineRule="auto"/>
            </w:pPr>
            <w:r/>
            <w:r>
              <w:rPr>
                <w:rFonts w:ascii="Calibri" w:hAnsi="Calibri"/>
                <w:b w:val="0"/>
                <w:color w:val="1F1F1F"/>
                <w:sz w:val="13"/>
              </w:rPr>
              <w:t>192</w:t>
            </w:r>
          </w:p>
        </w:tc>
        <w:tc>
          <w:tcPr>
            <w:tcW w:type="dxa" w:w="2232"/>
            <w:vAlign w:val="top"/>
          </w:tcPr>
          <w:p>
            <w:pPr>
              <w:spacing w:before="0" w:after="20" w:line="240" w:lineRule="auto"/>
            </w:pPr>
            <w:r/>
            <w:r>
              <w:rPr>
                <w:rFonts w:ascii="Calibri" w:hAnsi="Calibri"/>
                <w:b w:val="0"/>
                <w:color w:val="1F1F1F"/>
                <w:sz w:val="13"/>
              </w:rPr>
              <w:t>0.75 (0.51-1.11)</w:t>
            </w:r>
          </w:p>
        </w:tc>
        <w:tc>
          <w:tcPr>
            <w:tcW w:type="dxa" w:w="2952"/>
            <w:vAlign w:val="top"/>
          </w:tcPr>
          <w:p>
            <w:pPr>
              <w:spacing w:before="0" w:after="20" w:line="240" w:lineRule="auto"/>
            </w:pPr>
            <w:r/>
            <w:r>
              <w:rPr>
                <w:rFonts w:ascii="Calibri" w:hAnsi="Calibri"/>
                <w:b w:val="0"/>
                <w:color w:val="1F1F1F"/>
                <w:sz w:val="13"/>
              </w:rPr>
              <w:t>DOCPROG='&gt;=3MO'</w:t>
            </w:r>
          </w:p>
        </w:tc>
      </w:tr>
    </w:tbl>
    <w:p/>
    <w:p>
      <w:pPr>
        <w:pStyle w:val="Heading1"/>
      </w:pPr>
      <w:r>
        <w:t>Appendix H. Visit-window and protocol-correction registers</w:t>
      </w:r>
    </w:p>
    <w:p>
      <w:pPr>
        <w:pStyle w:val="Heading2"/>
      </w:pPr>
      <w:r>
        <w:t>H.1 ADLB visit-window rules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936"/>
            <w:vAlign w:val="top"/>
            <w:shd w:fill="1F4E79"/>
          </w:tcPr>
          <w:p>
            <w:pPr>
              <w:spacing w:before="0" w:after="20" w:line="240" w:lineRule="auto"/>
            </w:pPr>
            <w:r/>
            <w:r>
              <w:rPr>
                <w:rFonts w:ascii="Calibri" w:hAnsi="Calibri"/>
                <w:b/>
                <w:color w:val="FFFFFF"/>
                <w:sz w:val="13"/>
              </w:rPr>
              <w:t>AVISITN</w:t>
            </w:r>
          </w:p>
        </w:tc>
        <w:tc>
          <w:tcPr>
            <w:tcW w:type="dxa" w:w="1800"/>
            <w:vAlign w:val="top"/>
            <w:shd w:fill="1F4E79"/>
          </w:tcPr>
          <w:p>
            <w:pPr>
              <w:spacing w:before="0" w:after="20" w:line="240" w:lineRule="auto"/>
            </w:pPr>
            <w:r/>
            <w:r>
              <w:rPr>
                <w:rFonts w:ascii="Calibri" w:hAnsi="Calibri"/>
                <w:b/>
                <w:color w:val="FFFFFF"/>
                <w:sz w:val="13"/>
              </w:rPr>
              <w:t>AVISIT Label</w:t>
            </w:r>
          </w:p>
        </w:tc>
        <w:tc>
          <w:tcPr>
            <w:tcW w:type="dxa" w:w="1080"/>
            <w:vAlign w:val="top"/>
            <w:shd w:fill="1F4E79"/>
          </w:tcPr>
          <w:p>
            <w:pPr>
              <w:spacing w:before="0" w:after="20" w:line="240" w:lineRule="auto"/>
            </w:pPr>
            <w:r/>
            <w:r>
              <w:rPr>
                <w:rFonts w:ascii="Calibri" w:hAnsi="Calibri"/>
                <w:b/>
                <w:color w:val="FFFFFF"/>
                <w:sz w:val="13"/>
              </w:rPr>
              <w:t>ADY Low</w:t>
            </w:r>
          </w:p>
        </w:tc>
        <w:tc>
          <w:tcPr>
            <w:tcW w:type="dxa" w:w="1080"/>
            <w:vAlign w:val="top"/>
            <w:shd w:fill="1F4E79"/>
          </w:tcPr>
          <w:p>
            <w:pPr>
              <w:spacing w:before="0" w:after="20" w:line="240" w:lineRule="auto"/>
            </w:pPr>
            <w:r/>
            <w:r>
              <w:rPr>
                <w:rFonts w:ascii="Calibri" w:hAnsi="Calibri"/>
                <w:b/>
                <w:color w:val="FFFFFF"/>
                <w:sz w:val="13"/>
              </w:rPr>
              <w:t>ADY High</w:t>
            </w:r>
          </w:p>
        </w:tc>
        <w:tc>
          <w:tcPr>
            <w:tcW w:type="dxa" w:w="1080"/>
            <w:vAlign w:val="top"/>
            <w:shd w:fill="1F4E79"/>
          </w:tcPr>
          <w:p>
            <w:pPr>
              <w:spacing w:before="0" w:after="20" w:line="240" w:lineRule="auto"/>
            </w:pPr>
            <w:r/>
            <w:r>
              <w:rPr>
                <w:rFonts w:ascii="Calibri" w:hAnsi="Calibri"/>
                <w:b/>
                <w:color w:val="FFFFFF"/>
                <w:sz w:val="13"/>
              </w:rPr>
              <w:t>Target Day</w:t>
            </w:r>
          </w:p>
        </w:tc>
        <w:tc>
          <w:tcPr>
            <w:tcW w:type="dxa" w:w="3384"/>
            <w:vAlign w:val="top"/>
            <w:shd w:fill="1F4E79"/>
          </w:tcPr>
          <w:p>
            <w:pPr>
              <w:spacing w:before="0" w:after="20" w:line="240" w:lineRule="auto"/>
            </w:pPr>
            <w:r/>
            <w:r>
              <w:rPr>
                <w:rFonts w:ascii="Calibri" w:hAnsi="Calibri"/>
                <w:b/>
                <w:color w:val="FFFFFF"/>
                <w:sz w:val="13"/>
              </w:rPr>
              <w:t>Note</w:t>
            </w:r>
          </w:p>
        </w:tc>
      </w:tr>
      <w:tr>
        <w:tc>
          <w:tcPr>
            <w:tcW w:type="dxa" w:w="936"/>
            <w:vAlign w:val="top"/>
          </w:tcPr>
          <w:p>
            <w:pPr>
              <w:spacing w:before="0" w:after="20" w:line="240" w:lineRule="auto"/>
            </w:pPr>
            <w:r/>
            <w:r>
              <w:rPr>
                <w:rFonts w:ascii="Calibri" w:hAnsi="Calibri"/>
                <w:b w:val="0"/>
                <w:color w:val="1F1F1F"/>
                <w:sz w:val="13"/>
              </w:rPr>
              <w:t>0</w:t>
            </w:r>
          </w:p>
        </w:tc>
        <w:tc>
          <w:tcPr>
            <w:tcW w:type="dxa" w:w="1800"/>
            <w:vAlign w:val="top"/>
          </w:tcPr>
          <w:p>
            <w:pPr>
              <w:spacing w:before="0" w:after="20" w:line="240" w:lineRule="auto"/>
            </w:pPr>
            <w:r/>
            <w:r>
              <w:rPr>
                <w:rFonts w:ascii="Calibri" w:hAnsi="Calibri"/>
                <w:b w:val="0"/>
                <w:color w:val="1F1F1F"/>
                <w:sz w:val="13"/>
              </w:rPr>
              <w:t>Baseline</w:t>
            </w:r>
          </w:p>
        </w:tc>
        <w:tc>
          <w:tcPr>
            <w:tcW w:type="dxa" w:w="1080"/>
            <w:vAlign w:val="top"/>
          </w:tcPr>
          <w:p>
            <w:pPr>
              <w:spacing w:before="0" w:after="20" w:line="240" w:lineRule="auto"/>
            </w:pPr>
            <w:r/>
            <w:r>
              <w:rPr>
                <w:rFonts w:ascii="Calibri" w:hAnsi="Calibri"/>
                <w:b w:val="0"/>
                <w:color w:val="1F1F1F"/>
                <w:sz w:val="13"/>
              </w:rPr>
              <w:t>&lt;=0</w:t>
            </w:r>
          </w:p>
        </w:tc>
        <w:tc>
          <w:tcPr>
            <w:tcW w:type="dxa" w:w="1080"/>
            <w:vAlign w:val="top"/>
          </w:tcPr>
          <w:p>
            <w:pPr>
              <w:spacing w:before="0" w:after="20" w:line="240" w:lineRule="auto"/>
            </w:pPr>
            <w:r/>
            <w:r>
              <w:rPr>
                <w:rFonts w:ascii="Calibri" w:hAnsi="Calibri"/>
                <w:b w:val="0"/>
                <w:color w:val="1F1F1F"/>
                <w:sz w:val="13"/>
              </w:rPr>
              <w:t>&lt;=0</w:t>
            </w:r>
          </w:p>
        </w:tc>
        <w:tc>
          <w:tcPr>
            <w:tcW w:type="dxa" w:w="1080"/>
            <w:vAlign w:val="top"/>
          </w:tcPr>
          <w:p>
            <w:pPr>
              <w:spacing w:before="0" w:after="20" w:line="240" w:lineRule="auto"/>
            </w:pPr>
            <w:r/>
            <w:r>
              <w:rPr>
                <w:rFonts w:ascii="Calibri" w:hAnsi="Calibri"/>
                <w:b w:val="0"/>
                <w:color w:val="1F1F1F"/>
                <w:sz w:val="13"/>
              </w:rPr>
              <w:t>Last pre-dose</w:t>
            </w:r>
          </w:p>
        </w:tc>
        <w:tc>
          <w:tcPr>
            <w:tcW w:type="dxa" w:w="3384"/>
            <w:vAlign w:val="top"/>
          </w:tcPr>
          <w:p>
            <w:pPr>
              <w:spacing w:before="0" w:after="20" w:line="240" w:lineRule="auto"/>
            </w:pPr>
            <w:r/>
            <w:r>
              <w:rPr>
                <w:rFonts w:ascii="Calibri" w:hAnsi="Calibri"/>
                <w:b w:val="0"/>
                <w:color w:val="1F1F1F"/>
                <w:sz w:val="13"/>
              </w:rPr>
              <w:t>ABLFL='Y'; ATOXGR from LBTOXGR</w:t>
            </w:r>
          </w:p>
        </w:tc>
      </w:tr>
      <w:tr>
        <w:tc>
          <w:tcPr>
            <w:tcW w:type="dxa" w:w="936"/>
            <w:vAlign w:val="top"/>
          </w:tcPr>
          <w:p>
            <w:pPr>
              <w:spacing w:before="0" w:after="20" w:line="240" w:lineRule="auto"/>
            </w:pPr>
            <w:r/>
            <w:r>
              <w:rPr>
                <w:rFonts w:ascii="Calibri" w:hAnsi="Calibri"/>
                <w:b w:val="0"/>
                <w:color w:val="1F1F1F"/>
                <w:sz w:val="13"/>
              </w:rPr>
              <w:t>1</w:t>
            </w:r>
          </w:p>
        </w:tc>
        <w:tc>
          <w:tcPr>
            <w:tcW w:type="dxa" w:w="1800"/>
            <w:vAlign w:val="top"/>
          </w:tcPr>
          <w:p>
            <w:pPr>
              <w:spacing w:before="0" w:after="20" w:line="240" w:lineRule="auto"/>
            </w:pPr>
            <w:r/>
            <w:r>
              <w:rPr>
                <w:rFonts w:ascii="Calibri" w:hAnsi="Calibri"/>
                <w:b w:val="0"/>
                <w:color w:val="1F1F1F"/>
                <w:sz w:val="13"/>
              </w:rPr>
              <w:t>Cycle 1 Day 1 Pre-dose</w:t>
            </w:r>
          </w:p>
        </w:tc>
        <w:tc>
          <w:tcPr>
            <w:tcW w:type="dxa" w:w="1080"/>
            <w:vAlign w:val="top"/>
          </w:tcPr>
          <w:p>
            <w:pPr>
              <w:spacing w:before="0" w:after="20" w:line="240" w:lineRule="auto"/>
            </w:pPr>
            <w:r/>
            <w:r>
              <w:rPr>
                <w:rFonts w:ascii="Calibri" w:hAnsi="Calibri"/>
                <w:b w:val="0"/>
                <w:color w:val="1F1F1F"/>
                <w:sz w:val="13"/>
              </w:rPr>
              <w:t>1</w:t>
            </w:r>
          </w:p>
        </w:tc>
        <w:tc>
          <w:tcPr>
            <w:tcW w:type="dxa" w:w="1080"/>
            <w:vAlign w:val="top"/>
          </w:tcPr>
          <w:p>
            <w:pPr>
              <w:spacing w:before="0" w:after="20" w:line="240" w:lineRule="auto"/>
            </w:pPr>
            <w:r/>
            <w:r>
              <w:rPr>
                <w:rFonts w:ascii="Calibri" w:hAnsi="Calibri"/>
                <w:b w:val="0"/>
                <w:color w:val="1F1F1F"/>
                <w:sz w:val="13"/>
              </w:rPr>
              <w:t>3</w:t>
            </w:r>
          </w:p>
        </w:tc>
        <w:tc>
          <w:tcPr>
            <w:tcW w:type="dxa" w:w="1080"/>
            <w:vAlign w:val="top"/>
          </w:tcPr>
          <w:p>
            <w:pPr>
              <w:spacing w:before="0" w:after="20" w:line="240" w:lineRule="auto"/>
            </w:pPr>
            <w:r/>
            <w:r>
              <w:rPr>
                <w:rFonts w:ascii="Calibri" w:hAnsi="Calibri"/>
                <w:b w:val="0"/>
                <w:color w:val="1F1F1F"/>
                <w:sz w:val="13"/>
              </w:rPr>
              <w:t>1</w:t>
            </w:r>
          </w:p>
        </w:tc>
        <w:tc>
          <w:tcPr>
            <w:tcW w:type="dxa" w:w="3384"/>
            <w:vAlign w:val="top"/>
          </w:tcPr>
          <w:p>
            <w:pPr>
              <w:spacing w:before="0" w:after="20" w:line="240" w:lineRule="auto"/>
            </w:pPr>
            <w:r/>
            <w:r>
              <w:rPr>
                <w:rFonts w:ascii="Calibri" w:hAnsi="Calibri"/>
                <w:b w:val="0"/>
                <w:color w:val="1F1F1F"/>
                <w:sz w:val="13"/>
              </w:rPr>
              <w:t>Scheduled CBC; go/no-go gate C1</w:t>
            </w:r>
          </w:p>
        </w:tc>
      </w:tr>
      <w:tr>
        <w:tc>
          <w:tcPr>
            <w:tcW w:type="dxa" w:w="936"/>
            <w:vAlign w:val="top"/>
          </w:tcPr>
          <w:p>
            <w:pPr>
              <w:spacing w:before="0" w:after="20" w:line="240" w:lineRule="auto"/>
            </w:pPr>
            <w:r/>
            <w:r>
              <w:rPr>
                <w:rFonts w:ascii="Calibri" w:hAnsi="Calibri"/>
                <w:b w:val="0"/>
                <w:color w:val="1F1F1F"/>
                <w:sz w:val="13"/>
              </w:rPr>
              <w:t>2</w:t>
            </w:r>
          </w:p>
        </w:tc>
        <w:tc>
          <w:tcPr>
            <w:tcW w:type="dxa" w:w="1800"/>
            <w:vAlign w:val="top"/>
          </w:tcPr>
          <w:p>
            <w:pPr>
              <w:spacing w:before="0" w:after="20" w:line="240" w:lineRule="auto"/>
            </w:pPr>
            <w:r/>
            <w:r>
              <w:rPr>
                <w:rFonts w:ascii="Calibri" w:hAnsi="Calibri"/>
                <w:b w:val="0"/>
                <w:color w:val="1F1F1F"/>
                <w:sz w:val="13"/>
              </w:rPr>
              <w:t>Cycle 1 Day 8</w:t>
            </w:r>
          </w:p>
        </w:tc>
        <w:tc>
          <w:tcPr>
            <w:tcW w:type="dxa" w:w="1080"/>
            <w:vAlign w:val="top"/>
          </w:tcPr>
          <w:p>
            <w:pPr>
              <w:spacing w:before="0" w:after="20" w:line="240" w:lineRule="auto"/>
            </w:pPr>
            <w:r/>
            <w:r>
              <w:rPr>
                <w:rFonts w:ascii="Calibri" w:hAnsi="Calibri"/>
                <w:b w:val="0"/>
                <w:color w:val="1F1F1F"/>
                <w:sz w:val="13"/>
              </w:rPr>
              <w:t>4</w:t>
            </w:r>
          </w:p>
        </w:tc>
        <w:tc>
          <w:tcPr>
            <w:tcW w:type="dxa" w:w="1080"/>
            <w:vAlign w:val="top"/>
          </w:tcPr>
          <w:p>
            <w:pPr>
              <w:spacing w:before="0" w:after="20" w:line="240" w:lineRule="auto"/>
            </w:pPr>
            <w:r/>
            <w:r>
              <w:rPr>
                <w:rFonts w:ascii="Calibri" w:hAnsi="Calibri"/>
                <w:b w:val="0"/>
                <w:color w:val="1F1F1F"/>
                <w:sz w:val="13"/>
              </w:rPr>
              <w:t>13</w:t>
            </w:r>
          </w:p>
        </w:tc>
        <w:tc>
          <w:tcPr>
            <w:tcW w:type="dxa" w:w="1080"/>
            <w:vAlign w:val="top"/>
          </w:tcPr>
          <w:p>
            <w:pPr>
              <w:spacing w:before="0" w:after="20" w:line="240" w:lineRule="auto"/>
            </w:pPr>
            <w:r/>
            <w:r>
              <w:rPr>
                <w:rFonts w:ascii="Calibri" w:hAnsi="Calibri"/>
                <w:b w:val="0"/>
                <w:color w:val="1F1F1F"/>
                <w:sz w:val="13"/>
              </w:rPr>
              <w:t>8</w:t>
            </w:r>
          </w:p>
        </w:tc>
        <w:tc>
          <w:tcPr>
            <w:tcW w:type="dxa" w:w="3384"/>
            <w:vAlign w:val="top"/>
          </w:tcPr>
          <w:p>
            <w:pPr>
              <w:spacing w:before="0" w:after="20" w:line="240" w:lineRule="auto"/>
            </w:pPr>
            <w:r/>
            <w:r>
              <w:rPr>
                <w:rFonts w:ascii="Calibri" w:hAnsi="Calibri"/>
                <w:b w:val="0"/>
                <w:color w:val="1F1F1F"/>
                <w:sz w:val="13"/>
              </w:rPr>
              <w:t>Primary C1 nadir; G-CSF prohibited</w:t>
            </w:r>
          </w:p>
        </w:tc>
      </w:tr>
      <w:tr>
        <w:tc>
          <w:tcPr>
            <w:tcW w:type="dxa" w:w="936"/>
            <w:vAlign w:val="top"/>
          </w:tcPr>
          <w:p>
            <w:pPr>
              <w:spacing w:before="0" w:after="20" w:line="240" w:lineRule="auto"/>
            </w:pPr>
            <w:r/>
            <w:r>
              <w:rPr>
                <w:rFonts w:ascii="Calibri" w:hAnsi="Calibri"/>
                <w:b w:val="0"/>
                <w:color w:val="1F1F1F"/>
                <w:sz w:val="13"/>
              </w:rPr>
              <w:t>3</w:t>
            </w:r>
          </w:p>
        </w:tc>
        <w:tc>
          <w:tcPr>
            <w:tcW w:type="dxa" w:w="1800"/>
            <w:vAlign w:val="top"/>
          </w:tcPr>
          <w:p>
            <w:pPr>
              <w:spacing w:before="0" w:after="20" w:line="240" w:lineRule="auto"/>
            </w:pPr>
            <w:r/>
            <w:r>
              <w:rPr>
                <w:rFonts w:ascii="Calibri" w:hAnsi="Calibri"/>
                <w:b w:val="0"/>
                <w:color w:val="1F1F1F"/>
                <w:sz w:val="13"/>
              </w:rPr>
              <w:t>Cycle 1 Day 15</w:t>
            </w:r>
          </w:p>
        </w:tc>
        <w:tc>
          <w:tcPr>
            <w:tcW w:type="dxa" w:w="1080"/>
            <w:vAlign w:val="top"/>
          </w:tcPr>
          <w:p>
            <w:pPr>
              <w:spacing w:before="0" w:after="20" w:line="240" w:lineRule="auto"/>
            </w:pPr>
            <w:r/>
            <w:r>
              <w:rPr>
                <w:rFonts w:ascii="Calibri" w:hAnsi="Calibri"/>
                <w:b w:val="0"/>
                <w:color w:val="1F1F1F"/>
                <w:sz w:val="13"/>
              </w:rPr>
              <w:t>14</w:t>
            </w:r>
          </w:p>
        </w:tc>
        <w:tc>
          <w:tcPr>
            <w:tcW w:type="dxa" w:w="1080"/>
            <w:vAlign w:val="top"/>
          </w:tcPr>
          <w:p>
            <w:pPr>
              <w:spacing w:before="0" w:after="20" w:line="240" w:lineRule="auto"/>
            </w:pPr>
            <w:r/>
            <w:r>
              <w:rPr>
                <w:rFonts w:ascii="Calibri" w:hAnsi="Calibri"/>
                <w:b w:val="0"/>
                <w:color w:val="1F1F1F"/>
                <w:sz w:val="13"/>
              </w:rPr>
              <w:t>17</w:t>
            </w:r>
          </w:p>
        </w:tc>
        <w:tc>
          <w:tcPr>
            <w:tcW w:type="dxa" w:w="1080"/>
            <w:vAlign w:val="top"/>
          </w:tcPr>
          <w:p>
            <w:pPr>
              <w:spacing w:before="0" w:after="20" w:line="240" w:lineRule="auto"/>
            </w:pPr>
            <w:r/>
            <w:r>
              <w:rPr>
                <w:rFonts w:ascii="Calibri" w:hAnsi="Calibri"/>
                <w:b w:val="0"/>
                <w:color w:val="1F1F1F"/>
                <w:sz w:val="13"/>
              </w:rPr>
              <w:t>15</w:t>
            </w:r>
          </w:p>
        </w:tc>
        <w:tc>
          <w:tcPr>
            <w:tcW w:type="dxa" w:w="3384"/>
            <w:vAlign w:val="top"/>
          </w:tcPr>
          <w:p>
            <w:pPr>
              <w:spacing w:before="0" w:after="20" w:line="240" w:lineRule="auto"/>
            </w:pPr>
            <w:r/>
            <w:r>
              <w:rPr>
                <w:rFonts w:ascii="Calibri" w:hAnsi="Calibri"/>
                <w:b w:val="0"/>
                <w:color w:val="1F1F1F"/>
                <w:sz w:val="13"/>
              </w:rPr>
              <w:t>C1 recovery check</w:t>
            </w:r>
          </w:p>
        </w:tc>
      </w:tr>
      <w:tr>
        <w:tc>
          <w:tcPr>
            <w:tcW w:type="dxa" w:w="936"/>
            <w:vAlign w:val="top"/>
          </w:tcPr>
          <w:p>
            <w:pPr>
              <w:spacing w:before="0" w:after="20" w:line="240" w:lineRule="auto"/>
            </w:pPr>
            <w:r/>
            <w:r>
              <w:rPr>
                <w:rFonts w:ascii="Calibri" w:hAnsi="Calibri"/>
                <w:b w:val="0"/>
                <w:color w:val="1F1F1F"/>
                <w:sz w:val="13"/>
              </w:rPr>
              <w:t>4</w:t>
            </w:r>
          </w:p>
        </w:tc>
        <w:tc>
          <w:tcPr>
            <w:tcW w:type="dxa" w:w="1800"/>
            <w:vAlign w:val="top"/>
          </w:tcPr>
          <w:p>
            <w:pPr>
              <w:spacing w:before="0" w:after="20" w:line="240" w:lineRule="auto"/>
            </w:pPr>
            <w:r/>
            <w:r>
              <w:rPr>
                <w:rFonts w:ascii="Calibri" w:hAnsi="Calibri"/>
                <w:b w:val="0"/>
                <w:color w:val="1F1F1F"/>
                <w:sz w:val="13"/>
              </w:rPr>
              <w:t>Cycle 2 Day 1 Pre-dose</w:t>
            </w:r>
          </w:p>
        </w:tc>
        <w:tc>
          <w:tcPr>
            <w:tcW w:type="dxa" w:w="1080"/>
            <w:vAlign w:val="top"/>
          </w:tcPr>
          <w:p>
            <w:pPr>
              <w:spacing w:before="0" w:after="20" w:line="240" w:lineRule="auto"/>
            </w:pPr>
            <w:r/>
            <w:r>
              <w:rPr>
                <w:rFonts w:ascii="Calibri" w:hAnsi="Calibri"/>
                <w:b w:val="0"/>
                <w:color w:val="1F1F1F"/>
                <w:sz w:val="13"/>
              </w:rPr>
              <w:t>18</w:t>
            </w:r>
          </w:p>
        </w:tc>
        <w:tc>
          <w:tcPr>
            <w:tcW w:type="dxa" w:w="1080"/>
            <w:vAlign w:val="top"/>
          </w:tcPr>
          <w:p>
            <w:pPr>
              <w:spacing w:before="0" w:after="20" w:line="240" w:lineRule="auto"/>
            </w:pPr>
            <w:r/>
            <w:r>
              <w:rPr>
                <w:rFonts w:ascii="Calibri" w:hAnsi="Calibri"/>
                <w:b w:val="0"/>
                <w:color w:val="1F1F1F"/>
                <w:sz w:val="13"/>
              </w:rPr>
              <w:t>24</w:t>
            </w:r>
          </w:p>
        </w:tc>
        <w:tc>
          <w:tcPr>
            <w:tcW w:type="dxa" w:w="1080"/>
            <w:vAlign w:val="top"/>
          </w:tcPr>
          <w:p>
            <w:pPr>
              <w:spacing w:before="0" w:after="20" w:line="240" w:lineRule="auto"/>
            </w:pPr>
            <w:r/>
            <w:r>
              <w:rPr>
                <w:rFonts w:ascii="Calibri" w:hAnsi="Calibri"/>
                <w:b w:val="0"/>
                <w:color w:val="1F1F1F"/>
                <w:sz w:val="13"/>
              </w:rPr>
              <w:t>22</w:t>
            </w:r>
          </w:p>
        </w:tc>
        <w:tc>
          <w:tcPr>
            <w:tcW w:type="dxa" w:w="3384"/>
            <w:vAlign w:val="top"/>
          </w:tcPr>
          <w:p>
            <w:pPr>
              <w:spacing w:before="0" w:after="20" w:line="240" w:lineRule="auto"/>
            </w:pPr>
            <w:r/>
            <w:r>
              <w:rPr>
                <w:rFonts w:ascii="Calibri" w:hAnsi="Calibri"/>
                <w:b w:val="0"/>
                <w:color w:val="1F1F1F"/>
                <w:sz w:val="13"/>
              </w:rPr>
              <w:t>Scheduled CBC; gate for C2</w:t>
            </w:r>
          </w:p>
        </w:tc>
      </w:tr>
      <w:tr>
        <w:tc>
          <w:tcPr>
            <w:tcW w:type="dxa" w:w="936"/>
            <w:vAlign w:val="top"/>
          </w:tcPr>
          <w:p>
            <w:pPr>
              <w:spacing w:before="0" w:after="20" w:line="240" w:lineRule="auto"/>
            </w:pPr>
            <w:r/>
            <w:r>
              <w:rPr>
                <w:rFonts w:ascii="Calibri" w:hAnsi="Calibri"/>
                <w:b w:val="0"/>
                <w:color w:val="1F1F1F"/>
                <w:sz w:val="13"/>
              </w:rPr>
              <w:t>5</w:t>
            </w:r>
          </w:p>
        </w:tc>
        <w:tc>
          <w:tcPr>
            <w:tcW w:type="dxa" w:w="1800"/>
            <w:vAlign w:val="top"/>
          </w:tcPr>
          <w:p>
            <w:pPr>
              <w:spacing w:before="0" w:after="20" w:line="240" w:lineRule="auto"/>
            </w:pPr>
            <w:r/>
            <w:r>
              <w:rPr>
                <w:rFonts w:ascii="Calibri" w:hAnsi="Calibri"/>
                <w:b w:val="0"/>
                <w:color w:val="1F1F1F"/>
                <w:sz w:val="13"/>
              </w:rPr>
              <w:t>Cycle 2 Day 8</w:t>
            </w:r>
          </w:p>
        </w:tc>
        <w:tc>
          <w:tcPr>
            <w:tcW w:type="dxa" w:w="1080"/>
            <w:vAlign w:val="top"/>
          </w:tcPr>
          <w:p>
            <w:pPr>
              <w:spacing w:before="0" w:after="20" w:line="240" w:lineRule="auto"/>
            </w:pPr>
            <w:r/>
            <w:r>
              <w:rPr>
                <w:rFonts w:ascii="Calibri" w:hAnsi="Calibri"/>
                <w:b w:val="0"/>
                <w:color w:val="1F1F1F"/>
                <w:sz w:val="13"/>
              </w:rPr>
              <w:t>25</w:t>
            </w:r>
          </w:p>
        </w:tc>
        <w:tc>
          <w:tcPr>
            <w:tcW w:type="dxa" w:w="1080"/>
            <w:vAlign w:val="top"/>
          </w:tcPr>
          <w:p>
            <w:pPr>
              <w:spacing w:before="0" w:after="20" w:line="240" w:lineRule="auto"/>
            </w:pPr>
            <w:r/>
            <w:r>
              <w:rPr>
                <w:rFonts w:ascii="Calibri" w:hAnsi="Calibri"/>
                <w:b w:val="0"/>
                <w:color w:val="1F1F1F"/>
                <w:sz w:val="13"/>
              </w:rPr>
              <w:t>34</w:t>
            </w:r>
          </w:p>
        </w:tc>
        <w:tc>
          <w:tcPr>
            <w:tcW w:type="dxa" w:w="1080"/>
            <w:vAlign w:val="top"/>
          </w:tcPr>
          <w:p>
            <w:pPr>
              <w:spacing w:before="0" w:after="20" w:line="240" w:lineRule="auto"/>
            </w:pPr>
            <w:r/>
            <w:r>
              <w:rPr>
                <w:rFonts w:ascii="Calibri" w:hAnsi="Calibri"/>
                <w:b w:val="0"/>
                <w:color w:val="1F1F1F"/>
                <w:sz w:val="13"/>
              </w:rPr>
              <w:t>29</w:t>
            </w:r>
          </w:p>
        </w:tc>
        <w:tc>
          <w:tcPr>
            <w:tcW w:type="dxa" w:w="3384"/>
            <w:vAlign w:val="top"/>
          </w:tcPr>
          <w:p>
            <w:pPr>
              <w:spacing w:before="0" w:after="20" w:line="240" w:lineRule="auto"/>
            </w:pPr>
            <w:r/>
            <w:r>
              <w:rPr>
                <w:rFonts w:ascii="Calibri" w:hAnsi="Calibri"/>
                <w:b w:val="0"/>
                <w:color w:val="1F1F1F"/>
                <w:sz w:val="13"/>
              </w:rPr>
              <w:t>C2 nadir</w:t>
            </w:r>
          </w:p>
        </w:tc>
      </w:tr>
      <w:tr>
        <w:tc>
          <w:tcPr>
            <w:tcW w:type="dxa" w:w="936"/>
            <w:vAlign w:val="top"/>
          </w:tcPr>
          <w:p>
            <w:pPr>
              <w:spacing w:before="0" w:after="20" w:line="240" w:lineRule="auto"/>
            </w:pPr>
            <w:r/>
            <w:r>
              <w:rPr>
                <w:rFonts w:ascii="Calibri" w:hAnsi="Calibri"/>
                <w:b w:val="0"/>
                <w:color w:val="1F1F1F"/>
                <w:sz w:val="13"/>
              </w:rPr>
              <w:t>6</w:t>
            </w:r>
          </w:p>
        </w:tc>
        <w:tc>
          <w:tcPr>
            <w:tcW w:type="dxa" w:w="1800"/>
            <w:vAlign w:val="top"/>
          </w:tcPr>
          <w:p>
            <w:pPr>
              <w:spacing w:before="0" w:after="20" w:line="240" w:lineRule="auto"/>
            </w:pPr>
            <w:r/>
            <w:r>
              <w:rPr>
                <w:rFonts w:ascii="Calibri" w:hAnsi="Calibri"/>
                <w:b w:val="0"/>
                <w:color w:val="1F1F1F"/>
                <w:sz w:val="13"/>
              </w:rPr>
              <w:t>Cycle 2 Day 15</w:t>
            </w:r>
          </w:p>
        </w:tc>
        <w:tc>
          <w:tcPr>
            <w:tcW w:type="dxa" w:w="1080"/>
            <w:vAlign w:val="top"/>
          </w:tcPr>
          <w:p>
            <w:pPr>
              <w:spacing w:before="0" w:after="20" w:line="240" w:lineRule="auto"/>
            </w:pPr>
            <w:r/>
            <w:r>
              <w:rPr>
                <w:rFonts w:ascii="Calibri" w:hAnsi="Calibri"/>
                <w:b w:val="0"/>
                <w:color w:val="1F1F1F"/>
                <w:sz w:val="13"/>
              </w:rPr>
              <w:t>35</w:t>
            </w:r>
          </w:p>
        </w:tc>
        <w:tc>
          <w:tcPr>
            <w:tcW w:type="dxa" w:w="1080"/>
            <w:vAlign w:val="top"/>
          </w:tcPr>
          <w:p>
            <w:pPr>
              <w:spacing w:before="0" w:after="20" w:line="240" w:lineRule="auto"/>
            </w:pPr>
            <w:r/>
            <w:r>
              <w:rPr>
                <w:rFonts w:ascii="Calibri" w:hAnsi="Calibri"/>
                <w:b w:val="0"/>
                <w:color w:val="1F1F1F"/>
                <w:sz w:val="13"/>
              </w:rPr>
              <w:t>38</w:t>
            </w:r>
          </w:p>
        </w:tc>
        <w:tc>
          <w:tcPr>
            <w:tcW w:type="dxa" w:w="1080"/>
            <w:vAlign w:val="top"/>
          </w:tcPr>
          <w:p>
            <w:pPr>
              <w:spacing w:before="0" w:after="20" w:line="240" w:lineRule="auto"/>
            </w:pPr>
            <w:r/>
            <w:r>
              <w:rPr>
                <w:rFonts w:ascii="Calibri" w:hAnsi="Calibri"/>
                <w:b w:val="0"/>
                <w:color w:val="1F1F1F"/>
                <w:sz w:val="13"/>
              </w:rPr>
              <w:t>36</w:t>
            </w:r>
          </w:p>
        </w:tc>
        <w:tc>
          <w:tcPr>
            <w:tcW w:type="dxa" w:w="3384"/>
            <w:vAlign w:val="top"/>
          </w:tcPr>
          <w:p>
            <w:pPr>
              <w:spacing w:before="0" w:after="20" w:line="240" w:lineRule="auto"/>
            </w:pPr>
            <w:r/>
            <w:r>
              <w:rPr>
                <w:rFonts w:ascii="Calibri" w:hAnsi="Calibri"/>
                <w:b w:val="0"/>
                <w:color w:val="1F1F1F"/>
                <w:sz w:val="13"/>
              </w:rPr>
              <w:t>C2 recovery check</w:t>
            </w:r>
          </w:p>
        </w:tc>
      </w:tr>
      <w:tr>
        <w:tc>
          <w:tcPr>
            <w:tcW w:type="dxa" w:w="936"/>
            <w:vAlign w:val="top"/>
          </w:tcPr>
          <w:p>
            <w:pPr>
              <w:spacing w:before="0" w:after="20" w:line="240" w:lineRule="auto"/>
            </w:pPr>
            <w:r/>
            <w:r>
              <w:rPr>
                <w:rFonts w:ascii="Calibri" w:hAnsi="Calibri"/>
                <w:b w:val="0"/>
                <w:color w:val="1F1F1F"/>
                <w:sz w:val="13"/>
              </w:rPr>
              <w:t>7</w:t>
            </w:r>
          </w:p>
        </w:tc>
        <w:tc>
          <w:tcPr>
            <w:tcW w:type="dxa" w:w="1800"/>
            <w:vAlign w:val="top"/>
          </w:tcPr>
          <w:p>
            <w:pPr>
              <w:spacing w:before="0" w:after="20" w:line="240" w:lineRule="auto"/>
            </w:pPr>
            <w:r/>
            <w:r>
              <w:rPr>
                <w:rFonts w:ascii="Calibri" w:hAnsi="Calibri"/>
                <w:b w:val="0"/>
                <w:color w:val="1F1F1F"/>
                <w:sz w:val="13"/>
              </w:rPr>
              <w:t>Cycle 3 Day 1 Pre-dose</w:t>
            </w:r>
          </w:p>
        </w:tc>
        <w:tc>
          <w:tcPr>
            <w:tcW w:type="dxa" w:w="1080"/>
            <w:vAlign w:val="top"/>
          </w:tcPr>
          <w:p>
            <w:pPr>
              <w:spacing w:before="0" w:after="20" w:line="240" w:lineRule="auto"/>
            </w:pPr>
            <w:r/>
            <w:r>
              <w:rPr>
                <w:rFonts w:ascii="Calibri" w:hAnsi="Calibri"/>
                <w:b w:val="0"/>
                <w:color w:val="1F1F1F"/>
                <w:sz w:val="13"/>
              </w:rPr>
              <w:t>39</w:t>
            </w:r>
          </w:p>
        </w:tc>
        <w:tc>
          <w:tcPr>
            <w:tcW w:type="dxa" w:w="1080"/>
            <w:vAlign w:val="top"/>
          </w:tcPr>
          <w:p>
            <w:pPr>
              <w:spacing w:before="0" w:after="20" w:line="240" w:lineRule="auto"/>
            </w:pPr>
            <w:r/>
            <w:r>
              <w:rPr>
                <w:rFonts w:ascii="Calibri" w:hAnsi="Calibri"/>
                <w:b w:val="0"/>
                <w:color w:val="1F1F1F"/>
                <w:sz w:val="13"/>
              </w:rPr>
              <w:t>45</w:t>
            </w:r>
          </w:p>
        </w:tc>
        <w:tc>
          <w:tcPr>
            <w:tcW w:type="dxa" w:w="1080"/>
            <w:vAlign w:val="top"/>
          </w:tcPr>
          <w:p>
            <w:pPr>
              <w:spacing w:before="0" w:after="20" w:line="240" w:lineRule="auto"/>
            </w:pPr>
            <w:r/>
            <w:r>
              <w:rPr>
                <w:rFonts w:ascii="Calibri" w:hAnsi="Calibri"/>
                <w:b w:val="0"/>
                <w:color w:val="1F1F1F"/>
                <w:sz w:val="13"/>
              </w:rPr>
              <w:t>43</w:t>
            </w:r>
          </w:p>
        </w:tc>
        <w:tc>
          <w:tcPr>
            <w:tcW w:type="dxa" w:w="3384"/>
            <w:vAlign w:val="top"/>
          </w:tcPr>
          <w:p>
            <w:pPr>
              <w:spacing w:before="0" w:after="20" w:line="240" w:lineRule="auto"/>
            </w:pPr>
            <w:r/>
            <w:r>
              <w:rPr>
                <w:rFonts w:ascii="Calibri" w:hAnsi="Calibri"/>
                <w:b w:val="0"/>
                <w:color w:val="1F1F1F"/>
                <w:sz w:val="13"/>
              </w:rPr>
              <w:t>Gate for C3</w:t>
            </w:r>
          </w:p>
        </w:tc>
      </w:tr>
      <w:tr>
        <w:tc>
          <w:tcPr>
            <w:tcW w:type="dxa" w:w="936"/>
            <w:vAlign w:val="top"/>
          </w:tcPr>
          <w:p>
            <w:pPr>
              <w:spacing w:before="0" w:after="20" w:line="240" w:lineRule="auto"/>
            </w:pPr>
            <w:r/>
            <w:r>
              <w:rPr>
                <w:rFonts w:ascii="Calibri" w:hAnsi="Calibri"/>
                <w:b w:val="0"/>
                <w:color w:val="1F1F1F"/>
                <w:sz w:val="13"/>
              </w:rPr>
              <w:t>8</w:t>
            </w:r>
          </w:p>
        </w:tc>
        <w:tc>
          <w:tcPr>
            <w:tcW w:type="dxa" w:w="1800"/>
            <w:vAlign w:val="top"/>
          </w:tcPr>
          <w:p>
            <w:pPr>
              <w:spacing w:before="0" w:after="20" w:line="240" w:lineRule="auto"/>
            </w:pPr>
            <w:r/>
            <w:r>
              <w:rPr>
                <w:rFonts w:ascii="Calibri" w:hAnsi="Calibri"/>
                <w:b w:val="0"/>
                <w:color w:val="1F1F1F"/>
                <w:sz w:val="13"/>
              </w:rPr>
              <w:t>Cycle 3 Day 8</w:t>
            </w:r>
          </w:p>
        </w:tc>
        <w:tc>
          <w:tcPr>
            <w:tcW w:type="dxa" w:w="1080"/>
            <w:vAlign w:val="top"/>
          </w:tcPr>
          <w:p>
            <w:pPr>
              <w:spacing w:before="0" w:after="20" w:line="240" w:lineRule="auto"/>
            </w:pPr>
            <w:r/>
            <w:r>
              <w:rPr>
                <w:rFonts w:ascii="Calibri" w:hAnsi="Calibri"/>
                <w:b w:val="0"/>
                <w:color w:val="1F1F1F"/>
                <w:sz w:val="13"/>
              </w:rPr>
              <w:t>46</w:t>
            </w:r>
          </w:p>
        </w:tc>
        <w:tc>
          <w:tcPr>
            <w:tcW w:type="dxa" w:w="1080"/>
            <w:vAlign w:val="top"/>
          </w:tcPr>
          <w:p>
            <w:pPr>
              <w:spacing w:before="0" w:after="20" w:line="240" w:lineRule="auto"/>
            </w:pPr>
            <w:r/>
            <w:r>
              <w:rPr>
                <w:rFonts w:ascii="Calibri" w:hAnsi="Calibri"/>
                <w:b w:val="0"/>
                <w:color w:val="1F1F1F"/>
                <w:sz w:val="13"/>
              </w:rPr>
              <w:t>55</w:t>
            </w:r>
          </w:p>
        </w:tc>
        <w:tc>
          <w:tcPr>
            <w:tcW w:type="dxa" w:w="1080"/>
            <w:vAlign w:val="top"/>
          </w:tcPr>
          <w:p>
            <w:pPr>
              <w:spacing w:before="0" w:after="20" w:line="240" w:lineRule="auto"/>
            </w:pPr>
            <w:r/>
            <w:r>
              <w:rPr>
                <w:rFonts w:ascii="Calibri" w:hAnsi="Calibri"/>
                <w:b w:val="0"/>
                <w:color w:val="1F1F1F"/>
                <w:sz w:val="13"/>
              </w:rPr>
              <w:t>50</w:t>
            </w:r>
          </w:p>
        </w:tc>
        <w:tc>
          <w:tcPr>
            <w:tcW w:type="dxa" w:w="3384"/>
            <w:vAlign w:val="top"/>
          </w:tcPr>
          <w:p>
            <w:pPr>
              <w:spacing w:before="0" w:after="20" w:line="240" w:lineRule="auto"/>
            </w:pPr>
            <w:r/>
            <w:r>
              <w:rPr>
                <w:rFonts w:ascii="Calibri" w:hAnsi="Calibri"/>
                <w:b w:val="0"/>
                <w:color w:val="1F1F1F"/>
                <w:sz w:val="13"/>
              </w:rPr>
              <w:t>C3 nadir</w:t>
            </w:r>
          </w:p>
        </w:tc>
      </w:tr>
      <w:tr>
        <w:tc>
          <w:tcPr>
            <w:tcW w:type="dxa" w:w="936"/>
            <w:vAlign w:val="top"/>
          </w:tcPr>
          <w:p>
            <w:pPr>
              <w:spacing w:before="0" w:after="20" w:line="240" w:lineRule="auto"/>
            </w:pPr>
            <w:r/>
            <w:r>
              <w:rPr>
                <w:rFonts w:ascii="Calibri" w:hAnsi="Calibri"/>
                <w:b w:val="0"/>
                <w:color w:val="1F1F1F"/>
                <w:sz w:val="13"/>
              </w:rPr>
              <w:t>99</w:t>
            </w:r>
          </w:p>
        </w:tc>
        <w:tc>
          <w:tcPr>
            <w:tcW w:type="dxa" w:w="1800"/>
            <w:vAlign w:val="top"/>
          </w:tcPr>
          <w:p>
            <w:pPr>
              <w:spacing w:before="0" w:after="20" w:line="240" w:lineRule="auto"/>
            </w:pPr>
            <w:r/>
            <w:r>
              <w:rPr>
                <w:rFonts w:ascii="Calibri" w:hAnsi="Calibri"/>
                <w:b w:val="0"/>
                <w:color w:val="1F1F1F"/>
                <w:sz w:val="13"/>
              </w:rPr>
              <w:t>Unscheduled</w:t>
            </w:r>
          </w:p>
        </w:tc>
        <w:tc>
          <w:tcPr>
            <w:tcW w:type="dxa" w:w="1080"/>
            <w:vAlign w:val="top"/>
          </w:tcPr>
          <w:p>
            <w:pPr>
              <w:spacing w:before="0" w:after="20" w:line="240" w:lineRule="auto"/>
            </w:pPr>
            <w:r/>
            <w:r>
              <w:rPr>
                <w:rFonts w:ascii="Calibri" w:hAnsi="Calibri"/>
                <w:b w:val="0"/>
                <w:color w:val="1F1F1F"/>
                <w:sz w:val="13"/>
              </w:rPr>
              <w:t>All others</w:t>
            </w:r>
          </w:p>
        </w:tc>
        <w:tc>
          <w:tcPr>
            <w:tcW w:type="dxa" w:w="1080"/>
            <w:vAlign w:val="top"/>
          </w:tcPr>
          <w:p>
            <w:pPr>
              <w:spacing w:before="0" w:after="20" w:line="240" w:lineRule="auto"/>
            </w:pPr>
            <w:r/>
            <w:r>
              <w:rPr>
                <w:rFonts w:ascii="Calibri" w:hAnsi="Calibri"/>
                <w:b w:val="0"/>
                <w:color w:val="1F1F1F"/>
                <w:sz w:val="13"/>
              </w:rPr>
              <w:t>-</w:t>
            </w:r>
          </w:p>
        </w:tc>
        <w:tc>
          <w:tcPr>
            <w:tcW w:type="dxa" w:w="1080"/>
            <w:vAlign w:val="top"/>
          </w:tcPr>
          <w:p>
            <w:pPr>
              <w:spacing w:before="0" w:after="20" w:line="240" w:lineRule="auto"/>
            </w:pPr>
            <w:r/>
            <w:r>
              <w:rPr>
                <w:rFonts w:ascii="Calibri" w:hAnsi="Calibri"/>
                <w:b w:val="0"/>
                <w:color w:val="1F1F1F"/>
                <w:sz w:val="13"/>
              </w:rPr>
              <w:t>-</w:t>
            </w:r>
          </w:p>
        </w:tc>
        <w:tc>
          <w:tcPr>
            <w:tcW w:type="dxa" w:w="3384"/>
            <w:vAlign w:val="top"/>
          </w:tcPr>
          <w:p>
            <w:pPr>
              <w:spacing w:before="0" w:after="20" w:line="240" w:lineRule="auto"/>
            </w:pPr>
            <w:r/>
            <w:r>
              <w:rPr>
                <w:rFonts w:ascii="Calibri" w:hAnsi="Calibri"/>
                <w:b w:val="0"/>
                <w:color w:val="1F1F1F"/>
                <w:sz w:val="13"/>
              </w:rPr>
              <w:t>ANL01FL='N'</w:t>
            </w:r>
          </w:p>
        </w:tc>
      </w:tr>
    </w:tbl>
    <w:p/>
    <w:p>
      <w:pPr>
        <w:pStyle w:val="Heading2"/>
      </w:pPr>
      <w:r>
        <w:t>H.2 Protocol versus publication correction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vAlign w:val="top"/>
            <w:shd w:fill="1F4E79"/>
          </w:tcPr>
          <w:p>
            <w:pPr>
              <w:spacing w:before="0" w:after="20" w:line="240" w:lineRule="auto"/>
            </w:pPr>
            <w:r/>
            <w:r>
              <w:rPr>
                <w:rFonts w:ascii="Calibri" w:hAnsi="Calibri"/>
                <w:b/>
                <w:color w:val="FFFFFF"/>
                <w:sz w:val="12"/>
              </w:rPr>
              <w:t>Item</w:t>
            </w:r>
          </w:p>
        </w:tc>
        <w:tc>
          <w:tcPr>
            <w:tcW w:type="dxa" w:w="2232"/>
            <w:vAlign w:val="top"/>
            <w:shd w:fill="1F4E79"/>
          </w:tcPr>
          <w:p>
            <w:pPr>
              <w:spacing w:before="0" w:after="20" w:line="240" w:lineRule="auto"/>
            </w:pPr>
            <w:r/>
            <w:r>
              <w:rPr>
                <w:rFonts w:ascii="Calibri" w:hAnsi="Calibri"/>
                <w:b/>
                <w:color w:val="FFFFFF"/>
                <w:sz w:val="12"/>
              </w:rPr>
              <w:t>Protocol Value</w:t>
            </w:r>
          </w:p>
        </w:tc>
        <w:tc>
          <w:tcPr>
            <w:tcW w:type="dxa" w:w="2808"/>
            <w:vAlign w:val="top"/>
            <w:shd w:fill="1F4E79"/>
          </w:tcPr>
          <w:p>
            <w:pPr>
              <w:spacing w:before="0" w:after="20" w:line="240" w:lineRule="auto"/>
            </w:pPr>
            <w:r/>
            <w:r>
              <w:rPr>
                <w:rFonts w:ascii="Calibri" w:hAnsi="Calibri"/>
                <w:b/>
                <w:color w:val="FFFFFF"/>
                <w:sz w:val="12"/>
              </w:rPr>
              <w:t>Paper Value - USE THIS</w:t>
            </w:r>
          </w:p>
        </w:tc>
        <w:tc>
          <w:tcPr>
            <w:tcW w:type="dxa" w:w="792"/>
            <w:vAlign w:val="top"/>
            <w:shd w:fill="1F4E79"/>
          </w:tcPr>
          <w:p>
            <w:pPr>
              <w:spacing w:before="0" w:after="20" w:line="240" w:lineRule="auto"/>
            </w:pPr>
            <w:r/>
            <w:r>
              <w:rPr>
                <w:rFonts w:ascii="Calibri" w:hAnsi="Calibri"/>
                <w:b/>
                <w:color w:val="FFFFFF"/>
                <w:sz w:val="12"/>
              </w:rPr>
              <w:t xml:space="preserve">Section </w:t>
            </w:r>
          </w:p>
        </w:tc>
        <w:tc>
          <w:tcPr>
            <w:tcW w:type="dxa" w:w="1512"/>
            <w:vAlign w:val="top"/>
            <w:shd w:fill="1F4E79"/>
          </w:tcPr>
          <w:p>
            <w:pPr>
              <w:spacing w:before="0" w:after="20" w:line="240" w:lineRule="auto"/>
            </w:pPr>
            <w:r/>
            <w:r>
              <w:rPr>
                <w:rFonts w:ascii="Calibri" w:hAnsi="Calibri"/>
                <w:b/>
                <w:color w:val="FFFFFF"/>
                <w:sz w:val="12"/>
              </w:rPr>
              <w:t>v3 Error #</w:t>
            </w:r>
          </w:p>
        </w:tc>
      </w:tr>
      <w:tr>
        <w:tc>
          <w:tcPr>
            <w:tcW w:type="dxa" w:w="2016"/>
            <w:vAlign w:val="top"/>
          </w:tcPr>
          <w:p>
            <w:pPr>
              <w:spacing w:before="0" w:after="20" w:line="240" w:lineRule="auto"/>
            </w:pPr>
            <w:r/>
            <w:r>
              <w:rPr>
                <w:rFonts w:ascii="Calibri" w:hAnsi="Calibri"/>
                <w:b w:val="0"/>
                <w:color w:val="1F1F1F"/>
                <w:sz w:val="12"/>
              </w:rPr>
              <w:t>Data cut-off</w:t>
            </w:r>
          </w:p>
        </w:tc>
        <w:tc>
          <w:tcPr>
            <w:tcW w:type="dxa" w:w="2232"/>
            <w:vAlign w:val="top"/>
          </w:tcPr>
          <w:p>
            <w:pPr>
              <w:spacing w:before="0" w:after="20" w:line="240" w:lineRule="auto"/>
            </w:pPr>
            <w:r/>
            <w:r>
              <w:rPr>
                <w:rFonts w:ascii="Calibri" w:hAnsi="Calibri"/>
                <w:b w:val="0"/>
                <w:color w:val="1F1F1F"/>
                <w:sz w:val="12"/>
              </w:rPr>
              <w:t>Protocol data lock reference ~Mar 2010</w:t>
            </w:r>
          </w:p>
        </w:tc>
        <w:tc>
          <w:tcPr>
            <w:tcW w:type="dxa" w:w="2808"/>
            <w:vAlign w:val="top"/>
          </w:tcPr>
          <w:p>
            <w:pPr>
              <w:spacing w:before="0" w:after="20" w:line="240" w:lineRule="auto"/>
            </w:pPr>
            <w:r/>
            <w:r>
              <w:rPr>
                <w:rFonts w:ascii="Calibri" w:hAnsi="Calibri"/>
                <w:b w:val="0"/>
                <w:color w:val="1F1F1F"/>
                <w:sz w:val="12"/>
              </w:rPr>
              <w:t>25-Sep-2009 (paper p.1148)</w:t>
            </w:r>
          </w:p>
        </w:tc>
        <w:tc>
          <w:tcPr>
            <w:tcW w:type="dxa" w:w="792"/>
            <w:vAlign w:val="top"/>
          </w:tcPr>
          <w:p>
            <w:pPr>
              <w:spacing w:before="0" w:after="20" w:line="240" w:lineRule="auto"/>
            </w:pPr>
            <w:r/>
            <w:r>
              <w:rPr>
                <w:rFonts w:ascii="Calibri" w:hAnsi="Calibri"/>
                <w:b w:val="0"/>
                <w:color w:val="1F1F1F"/>
                <w:sz w:val="12"/>
              </w:rPr>
              <w:t>Section 1.3</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Final OS alpha</w:t>
            </w:r>
          </w:p>
        </w:tc>
        <w:tc>
          <w:tcPr>
            <w:tcW w:type="dxa" w:w="2232"/>
            <w:vAlign w:val="top"/>
          </w:tcPr>
          <w:p>
            <w:pPr>
              <w:spacing w:before="0" w:after="20" w:line="240" w:lineRule="auto"/>
            </w:pPr>
            <w:r/>
            <w:r>
              <w:rPr>
                <w:rFonts w:ascii="Calibri" w:hAnsi="Calibri"/>
                <w:b w:val="0"/>
                <w:color w:val="1F1F1F"/>
                <w:sz w:val="12"/>
              </w:rPr>
              <w:t>0.0476 (O'Brien-Fleming)</w:t>
            </w:r>
          </w:p>
        </w:tc>
        <w:tc>
          <w:tcPr>
            <w:tcW w:type="dxa" w:w="2808"/>
            <w:vAlign w:val="top"/>
          </w:tcPr>
          <w:p>
            <w:pPr>
              <w:spacing w:before="0" w:after="20" w:line="240" w:lineRule="auto"/>
            </w:pPr>
            <w:r/>
            <w:r>
              <w:rPr>
                <w:rFonts w:ascii="Calibri" w:hAnsi="Calibri"/>
                <w:b w:val="0"/>
                <w:color w:val="1F1F1F"/>
                <w:sz w:val="12"/>
              </w:rPr>
              <w:t>0.0452 (paper p.1151)</w:t>
            </w:r>
          </w:p>
        </w:tc>
        <w:tc>
          <w:tcPr>
            <w:tcW w:type="dxa" w:w="792"/>
            <w:vAlign w:val="top"/>
          </w:tcPr>
          <w:p>
            <w:pPr>
              <w:spacing w:before="0" w:after="20" w:line="240" w:lineRule="auto"/>
            </w:pPr>
            <w:r/>
            <w:r>
              <w:rPr>
                <w:rFonts w:ascii="Calibri" w:hAnsi="Calibri"/>
                <w:b w:val="0"/>
                <w:color w:val="1F1F1F"/>
                <w:sz w:val="12"/>
              </w:rPr>
              <w:t>Section 4.5</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OS IA trigger</w:t>
            </w:r>
          </w:p>
        </w:tc>
        <w:tc>
          <w:tcPr>
            <w:tcW w:type="dxa" w:w="2232"/>
            <w:vAlign w:val="top"/>
          </w:tcPr>
          <w:p>
            <w:pPr>
              <w:spacing w:before="0" w:after="20" w:line="240" w:lineRule="auto"/>
            </w:pPr>
            <w:r/>
            <w:r>
              <w:rPr>
                <w:rFonts w:ascii="Calibri" w:hAnsi="Calibri"/>
                <w:b w:val="0"/>
                <w:color w:val="1F1F1F"/>
                <w:sz w:val="12"/>
              </w:rPr>
              <w:t>307 OS deaths</w:t>
            </w:r>
          </w:p>
        </w:tc>
        <w:tc>
          <w:tcPr>
            <w:tcW w:type="dxa" w:w="2808"/>
            <w:vAlign w:val="top"/>
          </w:tcPr>
          <w:p>
            <w:pPr>
              <w:spacing w:before="0" w:after="20" w:line="240" w:lineRule="auto"/>
            </w:pPr>
            <w:r/>
            <w:r>
              <w:rPr>
                <w:rFonts w:ascii="Calibri" w:hAnsi="Calibri"/>
                <w:b w:val="0"/>
                <w:color w:val="1F1F1F"/>
                <w:sz w:val="12"/>
              </w:rPr>
              <w:t>365 actual; alpha=0.016 (paper p.1151)</w:t>
            </w:r>
          </w:p>
        </w:tc>
        <w:tc>
          <w:tcPr>
            <w:tcW w:type="dxa" w:w="792"/>
            <w:vAlign w:val="top"/>
          </w:tcPr>
          <w:p>
            <w:pPr>
              <w:spacing w:before="0" w:after="20" w:line="240" w:lineRule="auto"/>
            </w:pPr>
            <w:r/>
            <w:r>
              <w:rPr>
                <w:rFonts w:ascii="Calibri" w:hAnsi="Calibri"/>
                <w:b w:val="0"/>
                <w:color w:val="1F1F1F"/>
                <w:sz w:val="12"/>
              </w:rPr>
              <w:t>Section 4.5</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Safety N - CbzP arm</w:t>
            </w:r>
          </w:p>
        </w:tc>
        <w:tc>
          <w:tcPr>
            <w:tcW w:type="dxa" w:w="2232"/>
            <w:vAlign w:val="top"/>
          </w:tcPr>
          <w:p>
            <w:pPr>
              <w:spacing w:before="0" w:after="20" w:line="240" w:lineRule="auto"/>
            </w:pPr>
            <w:r/>
            <w:r>
              <w:rPr>
                <w:rFonts w:ascii="Calibri" w:hAnsi="Calibri"/>
                <w:b w:val="0"/>
                <w:color w:val="1F1F1F"/>
                <w:sz w:val="12"/>
              </w:rPr>
              <w:t>378 (all randomised)</w:t>
            </w:r>
          </w:p>
        </w:tc>
        <w:tc>
          <w:tcPr>
            <w:tcW w:type="dxa" w:w="2808"/>
            <w:vAlign w:val="top"/>
          </w:tcPr>
          <w:p>
            <w:pPr>
              <w:spacing w:before="0" w:after="20" w:line="240" w:lineRule="auto"/>
            </w:pPr>
            <w:r/>
            <w:r>
              <w:rPr>
                <w:rFonts w:ascii="Calibri" w:hAnsi="Calibri"/>
                <w:b w:val="0"/>
                <w:color w:val="1F1F1F"/>
                <w:sz w:val="12"/>
              </w:rPr>
              <w:t>371 (378-7); paper Figure 1</w:t>
            </w:r>
          </w:p>
        </w:tc>
        <w:tc>
          <w:tcPr>
            <w:tcW w:type="dxa" w:w="792"/>
            <w:vAlign w:val="top"/>
          </w:tcPr>
          <w:p>
            <w:pPr>
              <w:spacing w:before="0" w:after="20" w:line="240" w:lineRule="auto"/>
            </w:pPr>
            <w:r/>
            <w:r>
              <w:rPr>
                <w:rFonts w:ascii="Calibri" w:hAnsi="Calibri"/>
                <w:b w:val="0"/>
                <w:color w:val="1F1F1F"/>
                <w:sz w:val="12"/>
              </w:rPr>
              <w:t>Section 3.2</w:t>
            </w:r>
          </w:p>
        </w:tc>
        <w:tc>
          <w:tcPr>
            <w:tcW w:type="dxa" w:w="1512"/>
            <w:vAlign w:val="top"/>
          </w:tcPr>
          <w:p>
            <w:pPr>
              <w:spacing w:before="0" w:after="20" w:line="240" w:lineRule="auto"/>
            </w:pPr>
            <w:r/>
            <w:r>
              <w:rPr>
                <w:rFonts w:ascii="Calibri" w:hAnsi="Calibri"/>
                <w:b w:val="0"/>
                <w:color w:val="1F1F1F"/>
                <w:sz w:val="12"/>
              </w:rPr>
              <w:t>Error 1</w:t>
            </w:r>
          </w:p>
        </w:tc>
      </w:tr>
      <w:tr>
        <w:tc>
          <w:tcPr>
            <w:tcW w:type="dxa" w:w="2016"/>
            <w:vAlign w:val="top"/>
          </w:tcPr>
          <w:p>
            <w:pPr>
              <w:spacing w:before="0" w:after="20" w:line="240" w:lineRule="auto"/>
            </w:pPr>
            <w:r/>
            <w:r>
              <w:rPr>
                <w:rFonts w:ascii="Calibri" w:hAnsi="Calibri"/>
                <w:b w:val="0"/>
                <w:color w:val="1F1F1F"/>
                <w:sz w:val="12"/>
              </w:rPr>
              <w:t>Safety N - MP arm</w:t>
            </w:r>
          </w:p>
        </w:tc>
        <w:tc>
          <w:tcPr>
            <w:tcW w:type="dxa" w:w="2232"/>
            <w:vAlign w:val="top"/>
          </w:tcPr>
          <w:p>
            <w:pPr>
              <w:spacing w:before="0" w:after="20" w:line="240" w:lineRule="auto"/>
            </w:pPr>
            <w:r/>
            <w:r>
              <w:rPr>
                <w:rFonts w:ascii="Calibri" w:hAnsi="Calibri"/>
                <w:b w:val="0"/>
                <w:color w:val="1F1F1F"/>
                <w:sz w:val="12"/>
              </w:rPr>
              <w:t>377 (all randomised)</w:t>
            </w:r>
          </w:p>
        </w:tc>
        <w:tc>
          <w:tcPr>
            <w:tcW w:type="dxa" w:w="2808"/>
            <w:vAlign w:val="top"/>
          </w:tcPr>
          <w:p>
            <w:pPr>
              <w:spacing w:before="0" w:after="20" w:line="240" w:lineRule="auto"/>
            </w:pPr>
            <w:r/>
            <w:r>
              <w:rPr>
                <w:rFonts w:ascii="Calibri" w:hAnsi="Calibri"/>
                <w:b w:val="0"/>
                <w:color w:val="1F1F1F"/>
                <w:sz w:val="12"/>
              </w:rPr>
              <w:t>371 (377-6); paper Figure 1</w:t>
            </w:r>
          </w:p>
        </w:tc>
        <w:tc>
          <w:tcPr>
            <w:tcW w:type="dxa" w:w="792"/>
            <w:vAlign w:val="top"/>
          </w:tcPr>
          <w:p>
            <w:pPr>
              <w:spacing w:before="0" w:after="20" w:line="240" w:lineRule="auto"/>
            </w:pPr>
            <w:r/>
            <w:r>
              <w:rPr>
                <w:rFonts w:ascii="Calibri" w:hAnsi="Calibri"/>
                <w:b w:val="0"/>
                <w:color w:val="1F1F1F"/>
                <w:sz w:val="12"/>
              </w:rPr>
              <w:t>Section 3.2</w:t>
            </w:r>
          </w:p>
        </w:tc>
        <w:tc>
          <w:tcPr>
            <w:tcW w:type="dxa" w:w="1512"/>
            <w:vAlign w:val="top"/>
          </w:tcPr>
          <w:p>
            <w:pPr>
              <w:spacing w:before="0" w:after="20" w:line="240" w:lineRule="auto"/>
            </w:pPr>
            <w:r/>
            <w:r>
              <w:rPr>
                <w:rFonts w:ascii="Calibri" w:hAnsi="Calibri"/>
                <w:b w:val="0"/>
                <w:color w:val="1F1F1F"/>
                <w:sz w:val="12"/>
              </w:rPr>
              <w:t>Error 1</w:t>
            </w:r>
          </w:p>
        </w:tc>
      </w:tr>
      <w:tr>
        <w:tc>
          <w:tcPr>
            <w:tcW w:type="dxa" w:w="2016"/>
            <w:vAlign w:val="top"/>
          </w:tcPr>
          <w:p>
            <w:pPr>
              <w:spacing w:before="0" w:after="20" w:line="240" w:lineRule="auto"/>
            </w:pPr>
            <w:r/>
            <w:r>
              <w:rPr>
                <w:rFonts w:ascii="Calibri" w:hAnsi="Calibri"/>
                <w:b w:val="0"/>
                <w:color w:val="1F1F1F"/>
                <w:sz w:val="12"/>
              </w:rPr>
              <w:t>PSA progression - responders</w:t>
            </w:r>
          </w:p>
        </w:tc>
        <w:tc>
          <w:tcPr>
            <w:tcW w:type="dxa" w:w="2232"/>
            <w:vAlign w:val="top"/>
          </w:tcPr>
          <w:p>
            <w:pPr>
              <w:spacing w:before="0" w:after="20" w:line="240" w:lineRule="auto"/>
            </w:pPr>
            <w:r/>
            <w:r>
              <w:rPr>
                <w:rFonts w:ascii="Calibri" w:hAnsi="Calibri"/>
                <w:b w:val="0"/>
                <w:color w:val="1F1F1F"/>
                <w:sz w:val="12"/>
              </w:rPr>
              <w:t>&gt;=50% over nadir AND &gt;=5ug/L</w:t>
            </w:r>
          </w:p>
        </w:tc>
        <w:tc>
          <w:tcPr>
            <w:tcW w:type="dxa" w:w="2808"/>
            <w:vAlign w:val="top"/>
          </w:tcPr>
          <w:p>
            <w:pPr>
              <w:spacing w:before="0" w:after="20" w:line="240" w:lineRule="auto"/>
            </w:pPr>
            <w:r/>
            <w:r>
              <w:rPr>
                <w:rFonts w:ascii="Calibri" w:hAnsi="Calibri"/>
                <w:b w:val="0"/>
                <w:color w:val="1F1F1F"/>
                <w:sz w:val="12"/>
              </w:rPr>
              <w:t>&gt;=50% over nadir ONLY (paper p.1150)</w:t>
            </w:r>
          </w:p>
        </w:tc>
        <w:tc>
          <w:tcPr>
            <w:tcW w:type="dxa" w:w="792"/>
            <w:vAlign w:val="top"/>
          </w:tcPr>
          <w:p>
            <w:pPr>
              <w:spacing w:before="0" w:after="20" w:line="240" w:lineRule="auto"/>
            </w:pPr>
            <w:r/>
            <w:r>
              <w:rPr>
                <w:rFonts w:ascii="Calibri" w:hAnsi="Calibri"/>
                <w:b w:val="0"/>
                <w:color w:val="1F1F1F"/>
                <w:sz w:val="12"/>
              </w:rPr>
              <w:t>Section 5.2.2</w:t>
            </w:r>
          </w:p>
        </w:tc>
        <w:tc>
          <w:tcPr>
            <w:tcW w:type="dxa" w:w="1512"/>
            <w:vAlign w:val="top"/>
          </w:tcPr>
          <w:p>
            <w:pPr>
              <w:spacing w:before="0" w:after="20" w:line="240" w:lineRule="auto"/>
            </w:pPr>
            <w:r/>
            <w:r>
              <w:rPr>
                <w:rFonts w:ascii="Calibri" w:hAnsi="Calibri"/>
                <w:b w:val="0"/>
                <w:color w:val="1F1F1F"/>
                <w:sz w:val="12"/>
              </w:rPr>
              <w:t>Error 2</w:t>
            </w:r>
          </w:p>
        </w:tc>
      </w:tr>
      <w:tr>
        <w:tc>
          <w:tcPr>
            <w:tcW w:type="dxa" w:w="2016"/>
            <w:vAlign w:val="top"/>
          </w:tcPr>
          <w:p>
            <w:pPr>
              <w:spacing w:before="0" w:after="20" w:line="240" w:lineRule="auto"/>
            </w:pPr>
            <w:r/>
            <w:r>
              <w:rPr>
                <w:rFonts w:ascii="Calibri" w:hAnsi="Calibri"/>
                <w:b w:val="0"/>
                <w:color w:val="1F1F1F"/>
                <w:sz w:val="12"/>
              </w:rPr>
              <w:t>Pain progression Criterion 1</w:t>
            </w:r>
          </w:p>
        </w:tc>
        <w:tc>
          <w:tcPr>
            <w:tcW w:type="dxa" w:w="2232"/>
            <w:vAlign w:val="top"/>
          </w:tcPr>
          <w:p>
            <w:pPr>
              <w:spacing w:before="0" w:after="20" w:line="240" w:lineRule="auto"/>
            </w:pPr>
            <w:r/>
            <w:r>
              <w:rPr>
                <w:rFonts w:ascii="Calibri" w:hAnsi="Calibri"/>
                <w:b w:val="0"/>
                <w:color w:val="1F1F1F"/>
                <w:sz w:val="12"/>
              </w:rPr>
              <w:t>FROM NADIR</w:t>
            </w:r>
          </w:p>
        </w:tc>
        <w:tc>
          <w:tcPr>
            <w:tcW w:type="dxa" w:w="2808"/>
            <w:vAlign w:val="top"/>
          </w:tcPr>
          <w:p>
            <w:pPr>
              <w:spacing w:before="0" w:after="20" w:line="240" w:lineRule="auto"/>
            </w:pPr>
            <w:r/>
            <w:r>
              <w:rPr>
                <w:rFonts w:ascii="Calibri" w:hAnsi="Calibri"/>
                <w:b w:val="0"/>
                <w:color w:val="1F1F1F"/>
                <w:sz w:val="12"/>
              </w:rPr>
              <w:t>From REFERENCE VALUE = baseline (paper p.1150)</w:t>
            </w:r>
          </w:p>
        </w:tc>
        <w:tc>
          <w:tcPr>
            <w:tcW w:type="dxa" w:w="792"/>
            <w:vAlign w:val="top"/>
          </w:tcPr>
          <w:p>
            <w:pPr>
              <w:spacing w:before="0" w:after="20" w:line="240" w:lineRule="auto"/>
            </w:pPr>
            <w:r/>
            <w:r>
              <w:rPr>
                <w:rFonts w:ascii="Calibri" w:hAnsi="Calibri"/>
                <w:b w:val="0"/>
                <w:color w:val="1F1F1F"/>
                <w:sz w:val="12"/>
              </w:rPr>
              <w:t>Section 6.5</w:t>
            </w:r>
          </w:p>
        </w:tc>
        <w:tc>
          <w:tcPr>
            <w:tcW w:type="dxa" w:w="1512"/>
            <w:vAlign w:val="top"/>
          </w:tcPr>
          <w:p>
            <w:pPr>
              <w:spacing w:before="0" w:after="20" w:line="240" w:lineRule="auto"/>
            </w:pPr>
            <w:r/>
            <w:r>
              <w:rPr>
                <w:rFonts w:ascii="Calibri" w:hAnsi="Calibri"/>
                <w:b w:val="0"/>
                <w:color w:val="1F1F1F"/>
                <w:sz w:val="12"/>
              </w:rPr>
              <w:t>Error 3</w:t>
            </w:r>
          </w:p>
        </w:tc>
      </w:tr>
      <w:tr>
        <w:tc>
          <w:tcPr>
            <w:tcW w:type="dxa" w:w="2016"/>
            <w:vAlign w:val="top"/>
          </w:tcPr>
          <w:p>
            <w:pPr>
              <w:spacing w:before="0" w:after="20" w:line="240" w:lineRule="auto"/>
            </w:pPr>
            <w:r/>
            <w:r>
              <w:rPr>
                <w:rFonts w:ascii="Calibri" w:hAnsi="Calibri"/>
                <w:b w:val="0"/>
                <w:color w:val="1F1F1F"/>
                <w:sz w:val="12"/>
              </w:rPr>
              <w:t>G-CSF trigger (post-C1)</w:t>
            </w:r>
          </w:p>
        </w:tc>
        <w:tc>
          <w:tcPr>
            <w:tcW w:type="dxa" w:w="2232"/>
            <w:vAlign w:val="top"/>
          </w:tcPr>
          <w:p>
            <w:pPr>
              <w:spacing w:before="0" w:after="20" w:line="240" w:lineRule="auto"/>
            </w:pPr>
            <w:r/>
            <w:r>
              <w:rPr>
                <w:rFonts w:ascii="Calibri" w:hAnsi="Calibri"/>
                <w:b w:val="0"/>
                <w:color w:val="1F1F1F"/>
                <w:sz w:val="12"/>
              </w:rPr>
              <w:t>After febrile neutropenia (mandatory)</w:t>
            </w:r>
          </w:p>
        </w:tc>
        <w:tc>
          <w:tcPr>
            <w:tcW w:type="dxa" w:w="2808"/>
            <w:vAlign w:val="top"/>
          </w:tcPr>
          <w:p>
            <w:pPr>
              <w:spacing w:before="0" w:after="20" w:line="240" w:lineRule="auto"/>
            </w:pPr>
            <w:r/>
            <w:r>
              <w:rPr>
                <w:rFonts w:ascii="Calibri" w:hAnsi="Calibri"/>
                <w:b w:val="0"/>
                <w:color w:val="1F1F1F"/>
                <w:sz w:val="12"/>
              </w:rPr>
              <w:t>After neutropenia &gt;=7d OR fever/infection (discretionary) (paper p.1150)</w:t>
            </w:r>
          </w:p>
        </w:tc>
        <w:tc>
          <w:tcPr>
            <w:tcW w:type="dxa" w:w="792"/>
            <w:vAlign w:val="top"/>
          </w:tcPr>
          <w:p>
            <w:pPr>
              <w:spacing w:before="0" w:after="20" w:line="240" w:lineRule="auto"/>
            </w:pPr>
            <w:r/>
            <w:r>
              <w:rPr>
                <w:rFonts w:ascii="Calibri" w:hAnsi="Calibri"/>
                <w:b w:val="0"/>
                <w:color w:val="1F1F1F"/>
                <w:sz w:val="12"/>
              </w:rPr>
              <w:t>Section 7.6</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PSA progression confirmation</w:t>
            </w:r>
          </w:p>
        </w:tc>
        <w:tc>
          <w:tcPr>
            <w:tcW w:type="dxa" w:w="2232"/>
            <w:vAlign w:val="top"/>
          </w:tcPr>
          <w:p>
            <w:pPr>
              <w:spacing w:before="0" w:after="20" w:line="240" w:lineRule="auto"/>
            </w:pPr>
            <w:r/>
            <w:r>
              <w:rPr>
                <w:rFonts w:ascii="Calibri" w:hAnsi="Calibri"/>
                <w:b w:val="0"/>
                <w:color w:val="1F1F1F"/>
                <w:sz w:val="12"/>
              </w:rPr>
              <w:t>&gt;=1 week (protocol Section 9.1.2.1)</w:t>
            </w:r>
          </w:p>
        </w:tc>
        <w:tc>
          <w:tcPr>
            <w:tcW w:type="dxa" w:w="2808"/>
            <w:vAlign w:val="top"/>
          </w:tcPr>
          <w:p>
            <w:pPr>
              <w:spacing w:before="0" w:after="20" w:line="240" w:lineRule="auto"/>
            </w:pPr>
            <w:r/>
            <w:r>
              <w:rPr>
                <w:rFonts w:ascii="Calibri" w:hAnsi="Calibri"/>
                <w:b w:val="0"/>
                <w:color w:val="1F1F1F"/>
                <w:sz w:val="12"/>
              </w:rPr>
              <w:t>Not stated in paper; protocol rule applied conservatively</w:t>
            </w:r>
          </w:p>
        </w:tc>
        <w:tc>
          <w:tcPr>
            <w:tcW w:type="dxa" w:w="792"/>
            <w:vAlign w:val="top"/>
          </w:tcPr>
          <w:p>
            <w:pPr>
              <w:spacing w:before="0" w:after="20" w:line="240" w:lineRule="auto"/>
            </w:pPr>
            <w:r/>
            <w:r>
              <w:rPr>
                <w:rFonts w:ascii="Calibri" w:hAnsi="Calibri"/>
                <w:b w:val="0"/>
                <w:color w:val="1F1F1F"/>
                <w:sz w:val="12"/>
              </w:rPr>
              <w:t>Section 5.2.2</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AS pain response criterion</w:t>
            </w:r>
          </w:p>
        </w:tc>
        <w:tc>
          <w:tcPr>
            <w:tcW w:type="dxa" w:w="2232"/>
            <w:vAlign w:val="top"/>
          </w:tcPr>
          <w:p>
            <w:pPr>
              <w:spacing w:before="0" w:after="20" w:line="240" w:lineRule="auto"/>
            </w:pPr>
            <w:r/>
            <w:r>
              <w:rPr>
                <w:rFonts w:ascii="Calibri" w:hAnsi="Calibri"/>
                <w:b w:val="0"/>
                <w:color w:val="1F1F1F"/>
                <w:sz w:val="12"/>
              </w:rPr>
              <w:t>&gt;=50% (protocol)</w:t>
            </w:r>
          </w:p>
        </w:tc>
        <w:tc>
          <w:tcPr>
            <w:tcW w:type="dxa" w:w="2808"/>
            <w:vAlign w:val="top"/>
          </w:tcPr>
          <w:p>
            <w:pPr>
              <w:spacing w:before="0" w:after="20" w:line="240" w:lineRule="auto"/>
            </w:pPr>
            <w:r/>
            <w:r>
              <w:rPr>
                <w:rFonts w:ascii="Calibri" w:hAnsi="Calibri"/>
                <w:b w:val="0"/>
                <w:color w:val="1F1F1F"/>
                <w:sz w:val="12"/>
              </w:rPr>
              <w:t>'more than 50%' (paper body) vs '50% or more' (Table 3 fn); use &gt;=50%</w:t>
            </w:r>
          </w:p>
        </w:tc>
        <w:tc>
          <w:tcPr>
            <w:tcW w:type="dxa" w:w="792"/>
            <w:vAlign w:val="top"/>
          </w:tcPr>
          <w:p>
            <w:pPr>
              <w:spacing w:before="0" w:after="20" w:line="240" w:lineRule="auto"/>
            </w:pPr>
            <w:r/>
            <w:r>
              <w:rPr>
                <w:rFonts w:ascii="Calibri" w:hAnsi="Calibri"/>
                <w:b w:val="0"/>
                <w:color w:val="1F1F1F"/>
                <w:sz w:val="12"/>
              </w:rPr>
              <w:t>Section 6.4</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Total cycles</w:t>
            </w:r>
          </w:p>
        </w:tc>
        <w:tc>
          <w:tcPr>
            <w:tcW w:type="dxa" w:w="2232"/>
            <w:vAlign w:val="top"/>
          </w:tcPr>
          <w:p>
            <w:pPr>
              <w:spacing w:before="0" w:after="20" w:line="240" w:lineRule="auto"/>
            </w:pPr>
            <w:r/>
            <w:r>
              <w:rPr>
                <w:rFonts w:ascii="Calibri" w:hAnsi="Calibri"/>
                <w:b w:val="0"/>
                <w:color w:val="1F1F1F"/>
                <w:sz w:val="12"/>
              </w:rPr>
              <w:t>Not pre-specified</w:t>
            </w:r>
          </w:p>
        </w:tc>
        <w:tc>
          <w:tcPr>
            <w:tcW w:type="dxa" w:w="2808"/>
            <w:vAlign w:val="top"/>
          </w:tcPr>
          <w:p>
            <w:pPr>
              <w:spacing w:before="0" w:after="20" w:line="240" w:lineRule="auto"/>
            </w:pPr>
            <w:r/>
            <w:r>
              <w:rPr>
                <w:rFonts w:ascii="Calibri" w:hAnsi="Calibri"/>
                <w:b w:val="0"/>
                <w:color w:val="1F1F1F"/>
                <w:sz w:val="12"/>
              </w:rPr>
              <w:t>1,736 MP; 2,251 CbzP (Table 2)</w:t>
            </w:r>
          </w:p>
        </w:tc>
        <w:tc>
          <w:tcPr>
            <w:tcW w:type="dxa" w:w="792"/>
            <w:vAlign w:val="top"/>
          </w:tcPr>
          <w:p>
            <w:pPr>
              <w:spacing w:before="0" w:after="20" w:line="240" w:lineRule="auto"/>
            </w:pPr>
            <w:r/>
            <w:r>
              <w:rPr>
                <w:rFonts w:ascii="Calibri" w:hAnsi="Calibri"/>
                <w:b w:val="0"/>
                <w:color w:val="1F1F1F"/>
                <w:sz w:val="12"/>
              </w:rPr>
              <w:t>Section 7.8</w:t>
            </w:r>
          </w:p>
        </w:tc>
        <w:tc>
          <w:tcPr>
            <w:tcW w:type="dxa" w:w="1512"/>
            <w:vAlign w:val="top"/>
          </w:tcPr>
          <w:p>
            <w:pPr>
              <w:spacing w:before="0" w:after="20" w:line="240" w:lineRule="auto"/>
            </w:pPr>
            <w:r/>
            <w:r>
              <w:rPr>
                <w:rFonts w:ascii="Calibri" w:hAnsi="Calibri"/>
                <w:b w:val="0"/>
                <w:color w:val="1F1F1F"/>
                <w:sz w:val="12"/>
              </w:rPr>
              <w:t>-</w:t>
            </w:r>
          </w:p>
        </w:tc>
      </w:tr>
      <w:tr>
        <w:tc>
          <w:tcPr>
            <w:tcW w:type="dxa" w:w="2016"/>
            <w:vAlign w:val="top"/>
          </w:tcPr>
          <w:p>
            <w:pPr>
              <w:spacing w:before="0" w:after="20" w:line="240" w:lineRule="auto"/>
            </w:pPr>
            <w:r/>
            <w:r>
              <w:rPr>
                <w:rFonts w:ascii="Calibri" w:hAnsi="Calibri"/>
                <w:b w:val="0"/>
                <w:color w:val="1F1F1F"/>
                <w:sz w:val="12"/>
              </w:rPr>
              <w:t>SAS version</w:t>
            </w:r>
          </w:p>
        </w:tc>
        <w:tc>
          <w:tcPr>
            <w:tcW w:type="dxa" w:w="2232"/>
            <w:vAlign w:val="top"/>
          </w:tcPr>
          <w:p>
            <w:pPr>
              <w:spacing w:before="0" w:after="20" w:line="240" w:lineRule="auto"/>
            </w:pPr>
            <w:r/>
            <w:r>
              <w:rPr>
                <w:rFonts w:ascii="Calibri" w:hAnsi="Calibri"/>
                <w:b w:val="0"/>
                <w:color w:val="1F1F1F"/>
                <w:sz w:val="12"/>
              </w:rPr>
              <w:t>Not stated</w:t>
            </w:r>
          </w:p>
        </w:tc>
        <w:tc>
          <w:tcPr>
            <w:tcW w:type="dxa" w:w="2808"/>
            <w:vAlign w:val="top"/>
          </w:tcPr>
          <w:p>
            <w:pPr>
              <w:spacing w:before="0" w:after="20" w:line="240" w:lineRule="auto"/>
            </w:pPr>
            <w:r/>
            <w:r>
              <w:rPr>
                <w:rFonts w:ascii="Calibri" w:hAnsi="Calibri"/>
                <w:b w:val="0"/>
                <w:color w:val="1F1F1F"/>
                <w:sz w:val="12"/>
              </w:rPr>
              <w:t>SAS 9.1.3 (paper Methods)</w:t>
            </w:r>
          </w:p>
        </w:tc>
        <w:tc>
          <w:tcPr>
            <w:tcW w:type="dxa" w:w="792"/>
            <w:vAlign w:val="top"/>
          </w:tcPr>
          <w:p>
            <w:pPr>
              <w:spacing w:before="0" w:after="20" w:line="240" w:lineRule="auto"/>
            </w:pPr>
            <w:r/>
            <w:r>
              <w:rPr>
                <w:rFonts w:ascii="Calibri" w:hAnsi="Calibri"/>
                <w:b w:val="0"/>
                <w:color w:val="1F1F1F"/>
                <w:sz w:val="12"/>
              </w:rPr>
              <w:t>Section 13</w:t>
            </w:r>
          </w:p>
        </w:tc>
        <w:tc>
          <w:tcPr>
            <w:tcW w:type="dxa" w:w="1512"/>
            <w:vAlign w:val="top"/>
          </w:tcPr>
          <w:p>
            <w:pPr>
              <w:spacing w:before="0" w:after="20" w:line="240" w:lineRule="auto"/>
            </w:pPr>
            <w:r/>
            <w:r>
              <w:rPr>
                <w:rFonts w:ascii="Calibri" w:hAnsi="Calibri"/>
                <w:b w:val="0"/>
                <w:color w:val="1F1F1F"/>
                <w:sz w:val="12"/>
              </w:rPr>
              <w:t>-</w:t>
            </w:r>
          </w:p>
        </w:tc>
      </w:tr>
    </w:tbl>
    <w:p/>
    <w:p>
      <w:pPr>
        <w:pStyle w:val="Heading1"/>
      </w:pPr>
      <w:r>
        <w:t>Appendix I. Full ADaM variable specification summary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936"/>
            <w:vAlign w:val="top"/>
            <w:shd w:fill="1F4E79"/>
          </w:tcPr>
          <w:p>
            <w:pPr>
              <w:spacing w:before="0" w:after="20" w:line="240" w:lineRule="auto"/>
            </w:pPr>
            <w:r/>
            <w:r>
              <w:rPr>
                <w:rFonts w:ascii="Calibri" w:hAnsi="Calibri"/>
                <w:b/>
                <w:color w:val="FFFFFF"/>
                <w:sz w:val="11"/>
              </w:rPr>
              <w:t>Dataset</w:t>
            </w:r>
          </w:p>
        </w:tc>
        <w:tc>
          <w:tcPr>
            <w:tcW w:type="dxa" w:w="1296"/>
            <w:vAlign w:val="top"/>
            <w:shd w:fill="1F4E79"/>
          </w:tcPr>
          <w:p>
            <w:pPr>
              <w:spacing w:before="0" w:after="20" w:line="240" w:lineRule="auto"/>
            </w:pPr>
            <w:r/>
            <w:r>
              <w:rPr>
                <w:rFonts w:ascii="Calibri" w:hAnsi="Calibri"/>
                <w:b/>
                <w:color w:val="FFFFFF"/>
                <w:sz w:val="11"/>
              </w:rPr>
              <w:t>Variable</w:t>
            </w:r>
          </w:p>
        </w:tc>
        <w:tc>
          <w:tcPr>
            <w:tcW w:type="dxa" w:w="3312"/>
            <w:vAlign w:val="top"/>
            <w:shd w:fill="1F4E79"/>
          </w:tcPr>
          <w:p>
            <w:pPr>
              <w:spacing w:before="0" w:after="20" w:line="240" w:lineRule="auto"/>
            </w:pPr>
            <w:r/>
            <w:r>
              <w:rPr>
                <w:rFonts w:ascii="Calibri" w:hAnsi="Calibri"/>
                <w:b/>
                <w:color w:val="FFFFFF"/>
                <w:sz w:val="11"/>
              </w:rPr>
              <w:t>Label</w:t>
            </w:r>
          </w:p>
        </w:tc>
        <w:tc>
          <w:tcPr>
            <w:tcW w:type="dxa" w:w="792"/>
            <w:vAlign w:val="top"/>
            <w:shd w:fill="1F4E79"/>
          </w:tcPr>
          <w:p>
            <w:pPr>
              <w:spacing w:before="0" w:after="20" w:line="240" w:lineRule="auto"/>
            </w:pPr>
            <w:r/>
            <w:r>
              <w:rPr>
                <w:rFonts w:ascii="Calibri" w:hAnsi="Calibri"/>
                <w:b/>
                <w:color w:val="FFFFFF"/>
                <w:sz w:val="11"/>
              </w:rPr>
              <w:t>Type</w:t>
            </w:r>
          </w:p>
        </w:tc>
        <w:tc>
          <w:tcPr>
            <w:tcW w:type="dxa" w:w="648"/>
            <w:vAlign w:val="top"/>
            <w:shd w:fill="1F4E79"/>
          </w:tcPr>
          <w:p>
            <w:pPr>
              <w:spacing w:before="0" w:after="20" w:line="240" w:lineRule="auto"/>
            </w:pPr>
            <w:r/>
            <w:r>
              <w:rPr>
                <w:rFonts w:ascii="Calibri" w:hAnsi="Calibri"/>
                <w:b/>
                <w:color w:val="FFFFFF"/>
                <w:sz w:val="11"/>
              </w:rPr>
              <w:t>Req</w:t>
            </w:r>
          </w:p>
        </w:tc>
        <w:tc>
          <w:tcPr>
            <w:tcW w:type="dxa" w:w="1152"/>
            <w:vAlign w:val="top"/>
            <w:shd w:fill="1F4E79"/>
          </w:tcPr>
          <w:p>
            <w:pPr>
              <w:spacing w:before="0" w:after="20" w:line="240" w:lineRule="auto"/>
            </w:pPr>
            <w:r/>
            <w:r>
              <w:rPr>
                <w:rFonts w:ascii="Calibri" w:hAnsi="Calibri"/>
                <w:b/>
                <w:color w:val="FFFFFF"/>
                <w:sz w:val="11"/>
              </w:rPr>
              <w:t>Codelist</w:t>
            </w:r>
          </w:p>
        </w:tc>
        <w:tc>
          <w:tcPr>
            <w:tcW w:type="dxa" w:w="1224"/>
            <w:vAlign w:val="top"/>
            <w:shd w:fill="1F4E79"/>
          </w:tcPr>
          <w:p>
            <w:pPr>
              <w:spacing w:before="0" w:after="20" w:line="240" w:lineRule="auto"/>
            </w:pPr>
            <w:r/>
            <w:r>
              <w:rPr>
                <w:rFonts w:ascii="Calibri" w:hAnsi="Calibri"/>
                <w:b/>
                <w:color w:val="FFFFFF"/>
                <w:sz w:val="11"/>
              </w:rPr>
              <w:t>Origin</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SUBJID</w:t>
            </w:r>
          </w:p>
        </w:tc>
        <w:tc>
          <w:tcPr>
            <w:tcW w:type="dxa" w:w="3312"/>
            <w:vAlign w:val="top"/>
          </w:tcPr>
          <w:p>
            <w:pPr>
              <w:spacing w:before="0" w:after="20" w:line="240" w:lineRule="auto"/>
            </w:pPr>
            <w:r/>
            <w:r>
              <w:rPr>
                <w:rFonts w:ascii="Calibri" w:hAnsi="Calibri"/>
                <w:b w:val="0"/>
                <w:color w:val="1F1F1F"/>
                <w:sz w:val="11"/>
              </w:rPr>
              <w:t>Subject Identifier for the Study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SITEID</w:t>
            </w:r>
          </w:p>
        </w:tc>
        <w:tc>
          <w:tcPr>
            <w:tcW w:type="dxa" w:w="3312"/>
            <w:vAlign w:val="top"/>
          </w:tcPr>
          <w:p>
            <w:pPr>
              <w:spacing w:before="0" w:after="20" w:line="240" w:lineRule="auto"/>
            </w:pPr>
            <w:r/>
            <w:r>
              <w:rPr>
                <w:rFonts w:ascii="Calibri" w:hAnsi="Calibri"/>
                <w:b w:val="0"/>
                <w:color w:val="1F1F1F"/>
                <w:sz w:val="11"/>
              </w:rPr>
              <w:t>Study Site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AGE</w:t>
            </w:r>
          </w:p>
        </w:tc>
        <w:tc>
          <w:tcPr>
            <w:tcW w:type="dxa" w:w="3312"/>
            <w:vAlign w:val="top"/>
          </w:tcPr>
          <w:p>
            <w:pPr>
              <w:spacing w:before="0" w:after="20" w:line="240" w:lineRule="auto"/>
            </w:pPr>
            <w:r/>
            <w:r>
              <w:rPr>
                <w:rFonts w:ascii="Calibri" w:hAnsi="Calibri"/>
                <w:b w:val="0"/>
                <w:color w:val="1F1F1F"/>
                <w:sz w:val="11"/>
              </w:rPr>
              <w:t>Age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AGEGR1</w:t>
            </w:r>
          </w:p>
        </w:tc>
        <w:tc>
          <w:tcPr>
            <w:tcW w:type="dxa" w:w="3312"/>
            <w:vAlign w:val="top"/>
          </w:tcPr>
          <w:p>
            <w:pPr>
              <w:spacing w:before="0" w:after="20" w:line="240" w:lineRule="auto"/>
            </w:pPr>
            <w:r/>
            <w:r>
              <w:rPr>
                <w:rFonts w:ascii="Calibri" w:hAnsi="Calibri"/>
                <w:b w:val="0"/>
                <w:color w:val="1F1F1F"/>
                <w:sz w:val="11"/>
              </w:rPr>
              <w:t>Pooled Age Group 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CL.AGEGR</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AGEGR1N</w:t>
            </w:r>
          </w:p>
        </w:tc>
        <w:tc>
          <w:tcPr>
            <w:tcW w:type="dxa" w:w="3312"/>
            <w:vAlign w:val="top"/>
          </w:tcPr>
          <w:p>
            <w:pPr>
              <w:spacing w:before="0" w:after="20" w:line="240" w:lineRule="auto"/>
            </w:pPr>
            <w:r/>
            <w:r>
              <w:rPr>
                <w:rFonts w:ascii="Calibri" w:hAnsi="Calibri"/>
                <w:b w:val="0"/>
                <w:color w:val="1F1F1F"/>
                <w:sz w:val="11"/>
              </w:rPr>
              <w:t>Pooled Age Group 1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RACE</w:t>
            </w:r>
          </w:p>
        </w:tc>
        <w:tc>
          <w:tcPr>
            <w:tcW w:type="dxa" w:w="3312"/>
            <w:vAlign w:val="top"/>
          </w:tcPr>
          <w:p>
            <w:pPr>
              <w:spacing w:before="0" w:after="20" w:line="240" w:lineRule="auto"/>
            </w:pPr>
            <w:r/>
            <w:r>
              <w:rPr>
                <w:rFonts w:ascii="Calibri" w:hAnsi="Calibri"/>
                <w:b w:val="0"/>
                <w:color w:val="1F1F1F"/>
                <w:sz w:val="11"/>
              </w:rPr>
              <w:t>Race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ETHNIC</w:t>
            </w:r>
          </w:p>
        </w:tc>
        <w:tc>
          <w:tcPr>
            <w:tcW w:type="dxa" w:w="3312"/>
            <w:vAlign w:val="top"/>
          </w:tcPr>
          <w:p>
            <w:pPr>
              <w:spacing w:before="0" w:after="20" w:line="240" w:lineRule="auto"/>
            </w:pPr>
            <w:r/>
            <w:r>
              <w:rPr>
                <w:rFonts w:ascii="Calibri" w:hAnsi="Calibri"/>
                <w:b w:val="0"/>
                <w:color w:val="1F1F1F"/>
                <w:sz w:val="11"/>
              </w:rPr>
              <w:t>Ethnicity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SEX</w:t>
            </w:r>
          </w:p>
        </w:tc>
        <w:tc>
          <w:tcPr>
            <w:tcW w:type="dxa" w:w="3312"/>
            <w:vAlign w:val="top"/>
          </w:tcPr>
          <w:p>
            <w:pPr>
              <w:spacing w:before="0" w:after="20" w:line="240" w:lineRule="auto"/>
            </w:pPr>
            <w:r/>
            <w:r>
              <w:rPr>
                <w:rFonts w:ascii="Calibri" w:hAnsi="Calibri"/>
                <w:b w:val="0"/>
                <w:color w:val="1F1F1F"/>
                <w:sz w:val="11"/>
              </w:rPr>
              <w:t>Sex</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CL.SEX</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TRT01P</w:t>
            </w:r>
          </w:p>
        </w:tc>
        <w:tc>
          <w:tcPr>
            <w:tcW w:type="dxa" w:w="3312"/>
            <w:vAlign w:val="top"/>
          </w:tcPr>
          <w:p>
            <w:pPr>
              <w:spacing w:before="0" w:after="20" w:line="240" w:lineRule="auto"/>
            </w:pPr>
            <w:r/>
            <w:r>
              <w:rPr>
                <w:rFonts w:ascii="Calibri" w:hAnsi="Calibri"/>
                <w:b w:val="0"/>
                <w:color w:val="1F1F1F"/>
                <w:sz w:val="11"/>
              </w:rPr>
              <w:t>Planned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TRT01PN</w:t>
            </w:r>
          </w:p>
        </w:tc>
        <w:tc>
          <w:tcPr>
            <w:tcW w:type="dxa" w:w="3312"/>
            <w:vAlign w:val="top"/>
          </w:tcPr>
          <w:p>
            <w:pPr>
              <w:spacing w:before="0" w:after="20" w:line="240" w:lineRule="auto"/>
            </w:pPr>
            <w:r/>
            <w:r>
              <w:rPr>
                <w:rFonts w:ascii="Calibri" w:hAnsi="Calibri"/>
                <w:b w:val="0"/>
                <w:color w:val="1F1F1F"/>
                <w:sz w:val="11"/>
              </w:rPr>
              <w:t>Planned Treatment for Period 01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CL.TRT01PN</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TRT01A</w:t>
            </w:r>
          </w:p>
        </w:tc>
        <w:tc>
          <w:tcPr>
            <w:tcW w:type="dxa" w:w="3312"/>
            <w:vAlign w:val="top"/>
          </w:tcPr>
          <w:p>
            <w:pPr>
              <w:spacing w:before="0" w:after="20" w:line="240" w:lineRule="auto"/>
            </w:pPr>
            <w:r/>
            <w:r>
              <w:rPr>
                <w:rFonts w:ascii="Calibri" w:hAnsi="Calibri"/>
                <w:b w:val="0"/>
                <w:color w:val="1F1F1F"/>
                <w:sz w:val="11"/>
              </w:rPr>
              <w:t>Actual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TRT01AN</w:t>
            </w:r>
          </w:p>
        </w:tc>
        <w:tc>
          <w:tcPr>
            <w:tcW w:type="dxa" w:w="3312"/>
            <w:vAlign w:val="top"/>
          </w:tcPr>
          <w:p>
            <w:pPr>
              <w:spacing w:before="0" w:after="20" w:line="240" w:lineRule="auto"/>
            </w:pPr>
            <w:r/>
            <w:r>
              <w:rPr>
                <w:rFonts w:ascii="Calibri" w:hAnsi="Calibri"/>
                <w:b w:val="0"/>
                <w:color w:val="1F1F1F"/>
                <w:sz w:val="11"/>
              </w:rPr>
              <w:t>Actual Treatment for Period 01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CL.TRT01PN</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RANDDT</w:t>
            </w:r>
          </w:p>
        </w:tc>
        <w:tc>
          <w:tcPr>
            <w:tcW w:type="dxa" w:w="3312"/>
            <w:vAlign w:val="top"/>
          </w:tcPr>
          <w:p>
            <w:pPr>
              <w:spacing w:before="0" w:after="20" w:line="240" w:lineRule="auto"/>
            </w:pPr>
            <w:r/>
            <w:r>
              <w:rPr>
                <w:rFonts w:ascii="Calibri" w:hAnsi="Calibri"/>
                <w:b w:val="0"/>
                <w:color w:val="1F1F1F"/>
                <w:sz w:val="11"/>
              </w:rPr>
              <w:t>Randomization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TRTSDT</w:t>
            </w:r>
          </w:p>
        </w:tc>
        <w:tc>
          <w:tcPr>
            <w:tcW w:type="dxa" w:w="3312"/>
            <w:vAlign w:val="top"/>
          </w:tcPr>
          <w:p>
            <w:pPr>
              <w:spacing w:before="0" w:after="20" w:line="240" w:lineRule="auto"/>
            </w:pPr>
            <w:r/>
            <w:r>
              <w:rPr>
                <w:rFonts w:ascii="Calibri" w:hAnsi="Calibri"/>
                <w:b w:val="0"/>
                <w:color w:val="1F1F1F"/>
                <w:sz w:val="11"/>
              </w:rPr>
              <w:t>Date of First Exposure to Treatment</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TRTEDT</w:t>
            </w:r>
          </w:p>
        </w:tc>
        <w:tc>
          <w:tcPr>
            <w:tcW w:type="dxa" w:w="3312"/>
            <w:vAlign w:val="top"/>
          </w:tcPr>
          <w:p>
            <w:pPr>
              <w:spacing w:before="0" w:after="20" w:line="240" w:lineRule="auto"/>
            </w:pPr>
            <w:r/>
            <w:r>
              <w:rPr>
                <w:rFonts w:ascii="Calibri" w:hAnsi="Calibri"/>
                <w:b w:val="0"/>
                <w:color w:val="1F1F1F"/>
                <w:sz w:val="11"/>
              </w:rPr>
              <w:t>Date of Last Exposure to Treatment</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TRTDURD</w:t>
            </w:r>
          </w:p>
        </w:tc>
        <w:tc>
          <w:tcPr>
            <w:tcW w:type="dxa" w:w="3312"/>
            <w:vAlign w:val="top"/>
          </w:tcPr>
          <w:p>
            <w:pPr>
              <w:spacing w:before="0" w:after="20" w:line="240" w:lineRule="auto"/>
            </w:pPr>
            <w:r/>
            <w:r>
              <w:rPr>
                <w:rFonts w:ascii="Calibri" w:hAnsi="Calibri"/>
                <w:b w:val="0"/>
                <w:color w:val="1F1F1F"/>
                <w:sz w:val="11"/>
              </w:rPr>
              <w:t>Total Treatment Duration (Days)</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ITTFL</w:t>
            </w:r>
          </w:p>
        </w:tc>
        <w:tc>
          <w:tcPr>
            <w:tcW w:type="dxa" w:w="3312"/>
            <w:vAlign w:val="top"/>
          </w:tcPr>
          <w:p>
            <w:pPr>
              <w:spacing w:before="0" w:after="20" w:line="240" w:lineRule="auto"/>
            </w:pPr>
            <w:r/>
            <w:r>
              <w:rPr>
                <w:rFonts w:ascii="Calibri" w:hAnsi="Calibri"/>
                <w:b w:val="0"/>
                <w:color w:val="1F1F1F"/>
                <w:sz w:val="11"/>
              </w:rPr>
              <w:t>Intent-to-Treat Population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SAFFL</w:t>
            </w:r>
          </w:p>
        </w:tc>
        <w:tc>
          <w:tcPr>
            <w:tcW w:type="dxa" w:w="3312"/>
            <w:vAlign w:val="top"/>
          </w:tcPr>
          <w:p>
            <w:pPr>
              <w:spacing w:before="0" w:after="20" w:line="240" w:lineRule="auto"/>
            </w:pPr>
            <w:r/>
            <w:r>
              <w:rPr>
                <w:rFonts w:ascii="Calibri" w:hAnsi="Calibri"/>
                <w:b w:val="0"/>
                <w:color w:val="1F1F1F"/>
                <w:sz w:val="11"/>
              </w:rPr>
              <w:t>Safety Population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PPROTFL</w:t>
            </w:r>
          </w:p>
        </w:tc>
        <w:tc>
          <w:tcPr>
            <w:tcW w:type="dxa" w:w="3312"/>
            <w:vAlign w:val="top"/>
          </w:tcPr>
          <w:p>
            <w:pPr>
              <w:spacing w:before="0" w:after="20" w:line="240" w:lineRule="auto"/>
            </w:pPr>
            <w:r/>
            <w:r>
              <w:rPr>
                <w:rFonts w:ascii="Calibri" w:hAnsi="Calibri"/>
                <w:b w:val="0"/>
                <w:color w:val="1F1F1F"/>
                <w:sz w:val="11"/>
              </w:rPr>
              <w:t>Per-Protocol Population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DTHFL</w:t>
            </w:r>
          </w:p>
        </w:tc>
        <w:tc>
          <w:tcPr>
            <w:tcW w:type="dxa" w:w="3312"/>
            <w:vAlign w:val="top"/>
          </w:tcPr>
          <w:p>
            <w:pPr>
              <w:spacing w:before="0" w:after="20" w:line="240" w:lineRule="auto"/>
            </w:pPr>
            <w:r/>
            <w:r>
              <w:rPr>
                <w:rFonts w:ascii="Calibri" w:hAnsi="Calibri"/>
                <w:b w:val="0"/>
                <w:color w:val="1F1F1F"/>
                <w:sz w:val="11"/>
              </w:rPr>
              <w:t>Subject Death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DTHDT</w:t>
            </w:r>
          </w:p>
        </w:tc>
        <w:tc>
          <w:tcPr>
            <w:tcW w:type="dxa" w:w="3312"/>
            <w:vAlign w:val="top"/>
          </w:tcPr>
          <w:p>
            <w:pPr>
              <w:spacing w:before="0" w:after="20" w:line="240" w:lineRule="auto"/>
            </w:pPr>
            <w:r/>
            <w:r>
              <w:rPr>
                <w:rFonts w:ascii="Calibri" w:hAnsi="Calibri"/>
                <w:b w:val="0"/>
                <w:color w:val="1F1F1F"/>
                <w:sz w:val="11"/>
              </w:rPr>
              <w:t>Date of Death</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DTHCAUS</w:t>
            </w:r>
          </w:p>
        </w:tc>
        <w:tc>
          <w:tcPr>
            <w:tcW w:type="dxa" w:w="3312"/>
            <w:vAlign w:val="top"/>
          </w:tcPr>
          <w:p>
            <w:pPr>
              <w:spacing w:before="0" w:after="20" w:line="240" w:lineRule="auto"/>
            </w:pPr>
            <w:r/>
            <w:r>
              <w:rPr>
                <w:rFonts w:ascii="Calibri" w:hAnsi="Calibri"/>
                <w:b w:val="0"/>
                <w:color w:val="1F1F1F"/>
                <w:sz w:val="11"/>
              </w:rPr>
              <w:t>Primary Cause of Death</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LSTALVDT</w:t>
            </w:r>
          </w:p>
        </w:tc>
        <w:tc>
          <w:tcPr>
            <w:tcW w:type="dxa" w:w="3312"/>
            <w:vAlign w:val="top"/>
          </w:tcPr>
          <w:p>
            <w:pPr>
              <w:spacing w:before="0" w:after="20" w:line="240" w:lineRule="auto"/>
            </w:pPr>
            <w:r/>
            <w:r>
              <w:rPr>
                <w:rFonts w:ascii="Calibri" w:hAnsi="Calibri"/>
                <w:b w:val="0"/>
                <w:color w:val="1F1F1F"/>
                <w:sz w:val="11"/>
              </w:rPr>
              <w:t>Date Last Known Alive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ECOGBL</w:t>
            </w:r>
          </w:p>
        </w:tc>
        <w:tc>
          <w:tcPr>
            <w:tcW w:type="dxa" w:w="3312"/>
            <w:vAlign w:val="top"/>
          </w:tcPr>
          <w:p>
            <w:pPr>
              <w:spacing w:before="0" w:after="20" w:line="240" w:lineRule="auto"/>
            </w:pPr>
            <w:r/>
            <w:r>
              <w:rPr>
                <w:rFonts w:ascii="Calibri" w:hAnsi="Calibri"/>
                <w:b w:val="0"/>
                <w:color w:val="1F1F1F"/>
                <w:sz w:val="11"/>
              </w:rPr>
              <w:t>Baseline ECOG Performance Status</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MEASDISF</w:t>
            </w:r>
          </w:p>
        </w:tc>
        <w:tc>
          <w:tcPr>
            <w:tcW w:type="dxa" w:w="3312"/>
            <w:vAlign w:val="top"/>
          </w:tcPr>
          <w:p>
            <w:pPr>
              <w:spacing w:before="0" w:after="20" w:line="240" w:lineRule="auto"/>
            </w:pPr>
            <w:r/>
            <w:r>
              <w:rPr>
                <w:rFonts w:ascii="Calibri" w:hAnsi="Calibri"/>
                <w:b w:val="0"/>
                <w:color w:val="1F1F1F"/>
                <w:sz w:val="11"/>
              </w:rPr>
              <w:t>Baseline Measurable Disease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VISCFL</w:t>
            </w:r>
          </w:p>
        </w:tc>
        <w:tc>
          <w:tcPr>
            <w:tcW w:type="dxa" w:w="3312"/>
            <w:vAlign w:val="top"/>
          </w:tcPr>
          <w:p>
            <w:pPr>
              <w:spacing w:before="0" w:after="20" w:line="240" w:lineRule="auto"/>
            </w:pPr>
            <w:r/>
            <w:r>
              <w:rPr>
                <w:rFonts w:ascii="Calibri" w:hAnsi="Calibri"/>
                <w:b w:val="0"/>
                <w:color w:val="1F1F1F"/>
                <w:sz w:val="11"/>
              </w:rPr>
              <w:t>Baseline Visceral Metastasis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PAINBL</w:t>
            </w:r>
          </w:p>
        </w:tc>
        <w:tc>
          <w:tcPr>
            <w:tcW w:type="dxa" w:w="3312"/>
            <w:vAlign w:val="top"/>
          </w:tcPr>
          <w:p>
            <w:pPr>
              <w:spacing w:before="0" w:after="20" w:line="240" w:lineRule="auto"/>
            </w:pPr>
            <w:r/>
            <w:r>
              <w:rPr>
                <w:rFonts w:ascii="Calibri" w:hAnsi="Calibri"/>
                <w:b w:val="0"/>
                <w:color w:val="1F1F1F"/>
                <w:sz w:val="11"/>
              </w:rPr>
              <w:t>Baseline Pain Assessment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PSABL</w:t>
            </w:r>
          </w:p>
        </w:tc>
        <w:tc>
          <w:tcPr>
            <w:tcW w:type="dxa" w:w="3312"/>
            <w:vAlign w:val="top"/>
          </w:tcPr>
          <w:p>
            <w:pPr>
              <w:spacing w:before="0" w:after="20" w:line="240" w:lineRule="auto"/>
            </w:pPr>
            <w:r/>
            <w:r>
              <w:rPr>
                <w:rFonts w:ascii="Calibri" w:hAnsi="Calibri"/>
                <w:b w:val="0"/>
                <w:color w:val="1F1F1F"/>
                <w:sz w:val="11"/>
              </w:rPr>
              <w:t>Baseline PSA (ug/L)</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ALPBL</w:t>
            </w:r>
          </w:p>
        </w:tc>
        <w:tc>
          <w:tcPr>
            <w:tcW w:type="dxa" w:w="3312"/>
            <w:vAlign w:val="top"/>
          </w:tcPr>
          <w:p>
            <w:pPr>
              <w:spacing w:before="0" w:after="20" w:line="240" w:lineRule="auto"/>
            </w:pPr>
            <w:r/>
            <w:r>
              <w:rPr>
                <w:rFonts w:ascii="Calibri" w:hAnsi="Calibri"/>
                <w:b w:val="0"/>
                <w:color w:val="1F1F1F"/>
                <w:sz w:val="11"/>
              </w:rPr>
              <w:t>Baseline Alkaline Phosphatase (U/L)</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ALBBL</w:t>
            </w:r>
          </w:p>
        </w:tc>
        <w:tc>
          <w:tcPr>
            <w:tcW w:type="dxa" w:w="3312"/>
            <w:vAlign w:val="top"/>
          </w:tcPr>
          <w:p>
            <w:pPr>
              <w:spacing w:before="0" w:after="20" w:line="240" w:lineRule="auto"/>
            </w:pPr>
            <w:r/>
            <w:r>
              <w:rPr>
                <w:rFonts w:ascii="Calibri" w:hAnsi="Calibri"/>
                <w:b w:val="0"/>
                <w:color w:val="1F1F1F"/>
                <w:sz w:val="11"/>
              </w:rPr>
              <w:t>Baseline Albumin (g/L)</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LDHBL</w:t>
            </w:r>
          </w:p>
        </w:tc>
        <w:tc>
          <w:tcPr>
            <w:tcW w:type="dxa" w:w="3312"/>
            <w:vAlign w:val="top"/>
          </w:tcPr>
          <w:p>
            <w:pPr>
              <w:spacing w:before="0" w:after="20" w:line="240" w:lineRule="auto"/>
            </w:pPr>
            <w:r/>
            <w:r>
              <w:rPr>
                <w:rFonts w:ascii="Calibri" w:hAnsi="Calibri"/>
                <w:b w:val="0"/>
                <w:color w:val="1F1F1F"/>
                <w:sz w:val="11"/>
              </w:rPr>
              <w:t>Baseline Lactate Dehydrogenase (U/L)</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HGBBL</w:t>
            </w:r>
          </w:p>
        </w:tc>
        <w:tc>
          <w:tcPr>
            <w:tcW w:type="dxa" w:w="3312"/>
            <w:vAlign w:val="top"/>
          </w:tcPr>
          <w:p>
            <w:pPr>
              <w:spacing w:before="0" w:after="20" w:line="240" w:lineRule="auto"/>
            </w:pPr>
            <w:r/>
            <w:r>
              <w:rPr>
                <w:rFonts w:ascii="Calibri" w:hAnsi="Calibri"/>
                <w:b w:val="0"/>
                <w:color w:val="1F1F1F"/>
                <w:sz w:val="11"/>
              </w:rPr>
              <w:t>Baseline Hemoglobin (g/dL)</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DOCPROG</w:t>
            </w:r>
          </w:p>
        </w:tc>
        <w:tc>
          <w:tcPr>
            <w:tcW w:type="dxa" w:w="3312"/>
            <w:vAlign w:val="top"/>
          </w:tcPr>
          <w:p>
            <w:pPr>
              <w:spacing w:before="0" w:after="20" w:line="240" w:lineRule="auto"/>
            </w:pPr>
            <w:r/>
            <w:r>
              <w:rPr>
                <w:rFonts w:ascii="Calibri" w:hAnsi="Calibri"/>
                <w:b w:val="0"/>
                <w:color w:val="1F1F1F"/>
                <w:sz w:val="11"/>
              </w:rPr>
              <w:t>Docetaxel Prior Progression Class</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DOCRESP</w:t>
            </w:r>
          </w:p>
        </w:tc>
        <w:tc>
          <w:tcPr>
            <w:tcW w:type="dxa" w:w="3312"/>
            <w:vAlign w:val="top"/>
          </w:tcPr>
          <w:p>
            <w:pPr>
              <w:spacing w:before="0" w:after="20" w:line="240" w:lineRule="auto"/>
            </w:pPr>
            <w:r/>
            <w:r>
              <w:rPr>
                <w:rFonts w:ascii="Calibri" w:hAnsi="Calibri"/>
                <w:b w:val="0"/>
                <w:color w:val="1F1F1F"/>
                <w:sz w:val="11"/>
              </w:rPr>
              <w:t>Docetaxel Prior Response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ECOGBLIF</w:t>
            </w:r>
          </w:p>
        </w:tc>
        <w:tc>
          <w:tcPr>
            <w:tcW w:type="dxa" w:w="3312"/>
            <w:vAlign w:val="top"/>
          </w:tcPr>
          <w:p>
            <w:pPr>
              <w:spacing w:before="0" w:after="20" w:line="240" w:lineRule="auto"/>
            </w:pPr>
            <w:r/>
            <w:r>
              <w:rPr>
                <w:rFonts w:ascii="Calibri" w:hAnsi="Calibri"/>
                <w:b w:val="0"/>
                <w:color w:val="1F1F1F"/>
                <w:sz w:val="11"/>
              </w:rPr>
              <w:t>Baseline ECOG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PSABLIF</w:t>
            </w:r>
          </w:p>
        </w:tc>
        <w:tc>
          <w:tcPr>
            <w:tcW w:type="dxa" w:w="3312"/>
            <w:vAlign w:val="top"/>
          </w:tcPr>
          <w:p>
            <w:pPr>
              <w:spacing w:before="0" w:after="20" w:line="240" w:lineRule="auto"/>
            </w:pPr>
            <w:r/>
            <w:r>
              <w:rPr>
                <w:rFonts w:ascii="Calibri" w:hAnsi="Calibri"/>
                <w:b w:val="0"/>
                <w:color w:val="1F1F1F"/>
                <w:sz w:val="11"/>
              </w:rPr>
              <w:t>Baseline PSA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ALPBLIF</w:t>
            </w:r>
          </w:p>
        </w:tc>
        <w:tc>
          <w:tcPr>
            <w:tcW w:type="dxa" w:w="3312"/>
            <w:vAlign w:val="top"/>
          </w:tcPr>
          <w:p>
            <w:pPr>
              <w:spacing w:before="0" w:after="20" w:line="240" w:lineRule="auto"/>
            </w:pPr>
            <w:r/>
            <w:r>
              <w:rPr>
                <w:rFonts w:ascii="Calibri" w:hAnsi="Calibri"/>
                <w:b w:val="0"/>
                <w:color w:val="1F1F1F"/>
                <w:sz w:val="11"/>
              </w:rPr>
              <w:t>Baseline ALP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HGBBLIF</w:t>
            </w:r>
          </w:p>
        </w:tc>
        <w:tc>
          <w:tcPr>
            <w:tcW w:type="dxa" w:w="3312"/>
            <w:vAlign w:val="top"/>
          </w:tcPr>
          <w:p>
            <w:pPr>
              <w:spacing w:before="0" w:after="20" w:line="240" w:lineRule="auto"/>
            </w:pPr>
            <w:r/>
            <w:r>
              <w:rPr>
                <w:rFonts w:ascii="Calibri" w:hAnsi="Calibri"/>
                <w:b w:val="0"/>
                <w:color w:val="1F1F1F"/>
                <w:sz w:val="11"/>
              </w:rPr>
              <w:t>Baseline Hemoglobin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ALBBLIF</w:t>
            </w:r>
          </w:p>
        </w:tc>
        <w:tc>
          <w:tcPr>
            <w:tcW w:type="dxa" w:w="3312"/>
            <w:vAlign w:val="top"/>
          </w:tcPr>
          <w:p>
            <w:pPr>
              <w:spacing w:before="0" w:after="20" w:line="240" w:lineRule="auto"/>
            </w:pPr>
            <w:r/>
            <w:r>
              <w:rPr>
                <w:rFonts w:ascii="Calibri" w:hAnsi="Calibri"/>
                <w:b w:val="0"/>
                <w:color w:val="1F1F1F"/>
                <w:sz w:val="11"/>
              </w:rPr>
              <w:t>Baseline Albumin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ADSL</w:t>
            </w:r>
          </w:p>
        </w:tc>
        <w:tc>
          <w:tcPr>
            <w:tcW w:type="dxa" w:w="1296"/>
            <w:vAlign w:val="top"/>
          </w:tcPr>
          <w:p>
            <w:pPr>
              <w:spacing w:before="0" w:after="20" w:line="240" w:lineRule="auto"/>
            </w:pPr>
            <w:r/>
            <w:r>
              <w:rPr>
                <w:rFonts w:ascii="Calibri" w:hAnsi="Calibri"/>
                <w:b w:val="0"/>
                <w:color w:val="1F1F1F"/>
                <w:sz w:val="11"/>
              </w:rPr>
              <w:t>LDHBLIF</w:t>
            </w:r>
          </w:p>
        </w:tc>
        <w:tc>
          <w:tcPr>
            <w:tcW w:type="dxa" w:w="3312"/>
            <w:vAlign w:val="top"/>
          </w:tcPr>
          <w:p>
            <w:pPr>
              <w:spacing w:before="0" w:after="20" w:line="240" w:lineRule="auto"/>
            </w:pPr>
            <w:r/>
            <w:r>
              <w:rPr>
                <w:rFonts w:ascii="Calibri" w:hAnsi="Calibri"/>
                <w:b w:val="0"/>
                <w:color w:val="1F1F1F"/>
                <w:sz w:val="11"/>
              </w:rPr>
              <w:t>Baseline LDH Imputed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SUBJID</w:t>
            </w:r>
          </w:p>
        </w:tc>
        <w:tc>
          <w:tcPr>
            <w:tcW w:type="dxa" w:w="3312"/>
            <w:vAlign w:val="top"/>
          </w:tcPr>
          <w:p>
            <w:pPr>
              <w:spacing w:before="0" w:after="20" w:line="240" w:lineRule="auto"/>
            </w:pPr>
            <w:r/>
            <w:r>
              <w:rPr>
                <w:rFonts w:ascii="Calibri" w:hAnsi="Calibri"/>
                <w:b w:val="0"/>
                <w:color w:val="1F1F1F"/>
                <w:sz w:val="11"/>
              </w:rPr>
              <w:t>Subject Identifier for the Study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TRT01P</w:t>
            </w:r>
          </w:p>
        </w:tc>
        <w:tc>
          <w:tcPr>
            <w:tcW w:type="dxa" w:w="3312"/>
            <w:vAlign w:val="top"/>
          </w:tcPr>
          <w:p>
            <w:pPr>
              <w:spacing w:before="0" w:after="20" w:line="240" w:lineRule="auto"/>
            </w:pPr>
            <w:r/>
            <w:r>
              <w:rPr>
                <w:rFonts w:ascii="Calibri" w:hAnsi="Calibri"/>
                <w:b w:val="0"/>
                <w:color w:val="1F1F1F"/>
                <w:sz w:val="11"/>
              </w:rPr>
              <w:t>Planned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TRT01PN</w:t>
            </w:r>
          </w:p>
        </w:tc>
        <w:tc>
          <w:tcPr>
            <w:tcW w:type="dxa" w:w="3312"/>
            <w:vAlign w:val="top"/>
          </w:tcPr>
          <w:p>
            <w:pPr>
              <w:spacing w:before="0" w:after="20" w:line="240" w:lineRule="auto"/>
            </w:pPr>
            <w:r/>
            <w:r>
              <w:rPr>
                <w:rFonts w:ascii="Calibri" w:hAnsi="Calibri"/>
                <w:b w:val="0"/>
                <w:color w:val="1F1F1F"/>
                <w:sz w:val="11"/>
              </w:rPr>
              <w:t>Planned Treatment for Period 01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CL.TRT01PN</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TRTSDT</w:t>
            </w:r>
          </w:p>
        </w:tc>
        <w:tc>
          <w:tcPr>
            <w:tcW w:type="dxa" w:w="3312"/>
            <w:vAlign w:val="top"/>
          </w:tcPr>
          <w:p>
            <w:pPr>
              <w:spacing w:before="0" w:after="20" w:line="240" w:lineRule="auto"/>
            </w:pPr>
            <w:r/>
            <w:r>
              <w:rPr>
                <w:rFonts w:ascii="Calibri" w:hAnsi="Calibri"/>
                <w:b w:val="0"/>
                <w:color w:val="1F1F1F"/>
                <w:sz w:val="11"/>
              </w:rPr>
              <w:t>Date of First Exposure to Treatment</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PARAMCD</w:t>
            </w:r>
          </w:p>
        </w:tc>
        <w:tc>
          <w:tcPr>
            <w:tcW w:type="dxa" w:w="3312"/>
            <w:vAlign w:val="top"/>
          </w:tcPr>
          <w:p>
            <w:pPr>
              <w:spacing w:before="0" w:after="20" w:line="240" w:lineRule="auto"/>
            </w:pPr>
            <w:r/>
            <w:r>
              <w:rPr>
                <w:rFonts w:ascii="Calibri" w:hAnsi="Calibri"/>
                <w:b w:val="0"/>
                <w:color w:val="1F1F1F"/>
                <w:sz w:val="11"/>
              </w:rPr>
              <w:t>Parameter Code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CL.PARAMCD</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PARAM</w:t>
            </w:r>
          </w:p>
        </w:tc>
        <w:tc>
          <w:tcPr>
            <w:tcW w:type="dxa" w:w="3312"/>
            <w:vAlign w:val="top"/>
          </w:tcPr>
          <w:p>
            <w:pPr>
              <w:spacing w:before="0" w:after="20" w:line="240" w:lineRule="auto"/>
            </w:pPr>
            <w:r/>
            <w:r>
              <w:rPr>
                <w:rFonts w:ascii="Calibri" w:hAnsi="Calibri"/>
                <w:b w:val="0"/>
                <w:color w:val="1F1F1F"/>
                <w:sz w:val="11"/>
              </w:rPr>
              <w:t>Parameter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PARCAT1</w:t>
            </w:r>
          </w:p>
        </w:tc>
        <w:tc>
          <w:tcPr>
            <w:tcW w:type="dxa" w:w="3312"/>
            <w:vAlign w:val="top"/>
          </w:tcPr>
          <w:p>
            <w:pPr>
              <w:spacing w:before="0" w:after="20" w:line="240" w:lineRule="auto"/>
            </w:pPr>
            <w:r/>
            <w:r>
              <w:rPr>
                <w:rFonts w:ascii="Calibri" w:hAnsi="Calibri"/>
                <w:b w:val="0"/>
                <w:color w:val="1F1F1F"/>
                <w:sz w:val="11"/>
              </w:rPr>
              <w:t>Parameter Category 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AVAL</w:t>
            </w:r>
          </w:p>
        </w:tc>
        <w:tc>
          <w:tcPr>
            <w:tcW w:type="dxa" w:w="3312"/>
            <w:vAlign w:val="top"/>
          </w:tcPr>
          <w:p>
            <w:pPr>
              <w:spacing w:before="0" w:after="20" w:line="240" w:lineRule="auto"/>
            </w:pPr>
            <w:r/>
            <w:r>
              <w:rPr>
                <w:rFonts w:ascii="Calibri" w:hAnsi="Calibri"/>
                <w:b w:val="0"/>
                <w:color w:val="1F1F1F"/>
                <w:sz w:val="11"/>
              </w:rPr>
              <w:t>Analysis Value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AVALC</w:t>
            </w:r>
          </w:p>
        </w:tc>
        <w:tc>
          <w:tcPr>
            <w:tcW w:type="dxa" w:w="3312"/>
            <w:vAlign w:val="top"/>
          </w:tcPr>
          <w:p>
            <w:pPr>
              <w:spacing w:before="0" w:after="20" w:line="240" w:lineRule="auto"/>
            </w:pPr>
            <w:r/>
            <w:r>
              <w:rPr>
                <w:rFonts w:ascii="Calibri" w:hAnsi="Calibri"/>
                <w:b w:val="0"/>
                <w:color w:val="1F1F1F"/>
                <w:sz w:val="11"/>
              </w:rPr>
              <w:t>Analysis Value (C)</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AVISIT</w:t>
            </w:r>
          </w:p>
        </w:tc>
        <w:tc>
          <w:tcPr>
            <w:tcW w:type="dxa" w:w="3312"/>
            <w:vAlign w:val="top"/>
          </w:tcPr>
          <w:p>
            <w:pPr>
              <w:spacing w:before="0" w:after="20" w:line="240" w:lineRule="auto"/>
            </w:pPr>
            <w:r/>
            <w:r>
              <w:rPr>
                <w:rFonts w:ascii="Calibri" w:hAnsi="Calibri"/>
                <w:b w:val="0"/>
                <w:color w:val="1F1F1F"/>
                <w:sz w:val="11"/>
              </w:rPr>
              <w:t>Analysis Visit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CMDECOD</w:t>
            </w:r>
          </w:p>
        </w:tc>
        <w:tc>
          <w:tcPr>
            <w:tcW w:type="dxa" w:w="3312"/>
            <w:vAlign w:val="top"/>
          </w:tcPr>
          <w:p>
            <w:pPr>
              <w:spacing w:before="0" w:after="20" w:line="240" w:lineRule="auto"/>
            </w:pPr>
            <w:r/>
            <w:r>
              <w:rPr>
                <w:rFonts w:ascii="Calibri" w:hAnsi="Calibri"/>
                <w:b w:val="0"/>
                <w:color w:val="1F1F1F"/>
                <w:sz w:val="11"/>
              </w:rPr>
              <w:t>Standardized Medication Name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CMCAT</w:t>
            </w:r>
          </w:p>
        </w:tc>
        <w:tc>
          <w:tcPr>
            <w:tcW w:type="dxa" w:w="3312"/>
            <w:vAlign w:val="top"/>
          </w:tcPr>
          <w:p>
            <w:pPr>
              <w:spacing w:before="0" w:after="20" w:line="240" w:lineRule="auto"/>
            </w:pPr>
            <w:r/>
            <w:r>
              <w:rPr>
                <w:rFonts w:ascii="Calibri" w:hAnsi="Calibri"/>
                <w:b w:val="0"/>
                <w:color w:val="1F1F1F"/>
                <w:sz w:val="11"/>
              </w:rPr>
              <w:t>Category for Medication</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CMINDC</w:t>
            </w:r>
          </w:p>
        </w:tc>
        <w:tc>
          <w:tcPr>
            <w:tcW w:type="dxa" w:w="3312"/>
            <w:vAlign w:val="top"/>
          </w:tcPr>
          <w:p>
            <w:pPr>
              <w:spacing w:before="0" w:after="20" w:line="240" w:lineRule="auto"/>
            </w:pPr>
            <w:r/>
            <w:r>
              <w:rPr>
                <w:rFonts w:ascii="Calibri" w:hAnsi="Calibri"/>
                <w:b w:val="0"/>
                <w:color w:val="1F1F1F"/>
                <w:sz w:val="11"/>
              </w:rPr>
              <w:t>Indication</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ASTDT</w:t>
            </w:r>
          </w:p>
        </w:tc>
        <w:tc>
          <w:tcPr>
            <w:tcW w:type="dxa" w:w="3312"/>
            <w:vAlign w:val="top"/>
          </w:tcPr>
          <w:p>
            <w:pPr>
              <w:spacing w:before="0" w:after="20" w:line="240" w:lineRule="auto"/>
            </w:pPr>
            <w:r/>
            <w:r>
              <w:rPr>
                <w:rFonts w:ascii="Calibri" w:hAnsi="Calibri"/>
                <w:b w:val="0"/>
                <w:color w:val="1F1F1F"/>
                <w:sz w:val="11"/>
              </w:rPr>
              <w:t>Analysis Start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AENDT</w:t>
            </w:r>
          </w:p>
        </w:tc>
        <w:tc>
          <w:tcPr>
            <w:tcW w:type="dxa" w:w="3312"/>
            <w:vAlign w:val="top"/>
          </w:tcPr>
          <w:p>
            <w:pPr>
              <w:spacing w:before="0" w:after="20" w:line="240" w:lineRule="auto"/>
            </w:pPr>
            <w:r/>
            <w:r>
              <w:rPr>
                <w:rFonts w:ascii="Calibri" w:hAnsi="Calibri"/>
                <w:b w:val="0"/>
                <w:color w:val="1F1F1F"/>
                <w:sz w:val="11"/>
              </w:rPr>
              <w:t>Analysis End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CMTRT</w:t>
            </w:r>
          </w:p>
        </w:tc>
        <w:tc>
          <w:tcPr>
            <w:tcW w:type="dxa" w:w="3312"/>
            <w:vAlign w:val="top"/>
          </w:tcPr>
          <w:p>
            <w:pPr>
              <w:spacing w:before="0" w:after="20" w:line="240" w:lineRule="auto"/>
            </w:pPr>
            <w:r/>
            <w:r>
              <w:rPr>
                <w:rFonts w:ascii="Calibri" w:hAnsi="Calibri"/>
                <w:b w:val="0"/>
                <w:color w:val="1F1F1F"/>
                <w:sz w:val="11"/>
              </w:rPr>
              <w:t>Reported Name of Drug, Med, or Therapy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ASTDY</w:t>
            </w:r>
          </w:p>
        </w:tc>
        <w:tc>
          <w:tcPr>
            <w:tcW w:type="dxa" w:w="3312"/>
            <w:vAlign w:val="top"/>
          </w:tcPr>
          <w:p>
            <w:pPr>
              <w:spacing w:before="0" w:after="20" w:line="240" w:lineRule="auto"/>
            </w:pPr>
            <w:r/>
            <w:r>
              <w:rPr>
                <w:rFonts w:ascii="Calibri" w:hAnsi="Calibri"/>
                <w:b w:val="0"/>
                <w:color w:val="1F1F1F"/>
                <w:sz w:val="11"/>
              </w:rPr>
              <w:t>Analysis Start Day</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GCSFFL</w:t>
            </w:r>
          </w:p>
        </w:tc>
        <w:tc>
          <w:tcPr>
            <w:tcW w:type="dxa" w:w="3312"/>
            <w:vAlign w:val="top"/>
          </w:tcPr>
          <w:p>
            <w:pPr>
              <w:spacing w:before="0" w:after="20" w:line="240" w:lineRule="auto"/>
            </w:pPr>
            <w:r/>
            <w:r>
              <w:rPr>
                <w:rFonts w:ascii="Calibri" w:hAnsi="Calibri"/>
                <w:b w:val="0"/>
                <w:color w:val="1F1F1F"/>
                <w:sz w:val="11"/>
              </w:rPr>
              <w:t>G-CSF Concomitant Med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GCSFPRFL</w:t>
            </w:r>
          </w:p>
        </w:tc>
        <w:tc>
          <w:tcPr>
            <w:tcW w:type="dxa" w:w="3312"/>
            <w:vAlign w:val="top"/>
          </w:tcPr>
          <w:p>
            <w:pPr>
              <w:spacing w:before="0" w:after="20" w:line="240" w:lineRule="auto"/>
            </w:pPr>
            <w:r/>
            <w:r>
              <w:rPr>
                <w:rFonts w:ascii="Calibri" w:hAnsi="Calibri"/>
                <w:b w:val="0"/>
                <w:color w:val="1F1F1F"/>
                <w:sz w:val="11"/>
              </w:rPr>
              <w:t>G-CSF Prophylactic Med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NACTFL</w:t>
            </w:r>
          </w:p>
        </w:tc>
        <w:tc>
          <w:tcPr>
            <w:tcW w:type="dxa" w:w="3312"/>
            <w:vAlign w:val="top"/>
          </w:tcPr>
          <w:p>
            <w:pPr>
              <w:spacing w:before="0" w:after="20" w:line="240" w:lineRule="auto"/>
            </w:pPr>
            <w:r/>
            <w:r>
              <w:rPr>
                <w:rFonts w:ascii="Calibri" w:hAnsi="Calibri"/>
                <w:b w:val="0"/>
                <w:color w:val="1F1F1F"/>
                <w:sz w:val="11"/>
              </w:rPr>
              <w:t>New Anti-Cancer Therapy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NACTDT</w:t>
            </w:r>
          </w:p>
        </w:tc>
        <w:tc>
          <w:tcPr>
            <w:tcW w:type="dxa" w:w="3312"/>
            <w:vAlign w:val="top"/>
          </w:tcPr>
          <w:p>
            <w:pPr>
              <w:spacing w:before="0" w:after="20" w:line="240" w:lineRule="auto"/>
            </w:pPr>
            <w:r/>
            <w:r>
              <w:rPr>
                <w:rFonts w:ascii="Calibri" w:hAnsi="Calibri"/>
                <w:b w:val="0"/>
                <w:color w:val="1F1F1F"/>
                <w:sz w:val="11"/>
              </w:rPr>
              <w:t>First Date of New Anti-Cancer Therapy</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PREDNFL</w:t>
            </w:r>
          </w:p>
        </w:tc>
        <w:tc>
          <w:tcPr>
            <w:tcW w:type="dxa" w:w="3312"/>
            <w:vAlign w:val="top"/>
          </w:tcPr>
          <w:p>
            <w:pPr>
              <w:spacing w:before="0" w:after="20" w:line="240" w:lineRule="auto"/>
            </w:pPr>
            <w:r/>
            <w:r>
              <w:rPr>
                <w:rFonts w:ascii="Calibri" w:hAnsi="Calibri"/>
                <w:b w:val="0"/>
                <w:color w:val="1F1F1F"/>
                <w:sz w:val="11"/>
              </w:rPr>
              <w:t>Prednisone Co-Medication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ADCM</w:t>
            </w:r>
          </w:p>
        </w:tc>
        <w:tc>
          <w:tcPr>
            <w:tcW w:type="dxa" w:w="1296"/>
            <w:vAlign w:val="top"/>
          </w:tcPr>
          <w:p>
            <w:pPr>
              <w:spacing w:before="0" w:after="20" w:line="240" w:lineRule="auto"/>
            </w:pPr>
            <w:r/>
            <w:r>
              <w:rPr>
                <w:rFonts w:ascii="Calibri" w:hAnsi="Calibri"/>
                <w:b w:val="0"/>
                <w:color w:val="1F1F1F"/>
                <w:sz w:val="11"/>
              </w:rPr>
              <w:t>TRTEMFL</w:t>
            </w:r>
          </w:p>
        </w:tc>
        <w:tc>
          <w:tcPr>
            <w:tcW w:type="dxa" w:w="3312"/>
            <w:vAlign w:val="top"/>
          </w:tcPr>
          <w:p>
            <w:pPr>
              <w:spacing w:before="0" w:after="20" w:line="240" w:lineRule="auto"/>
            </w:pPr>
            <w:r/>
            <w:r>
              <w:rPr>
                <w:rFonts w:ascii="Calibri" w:hAnsi="Calibri"/>
                <w:b w:val="0"/>
                <w:color w:val="1F1F1F"/>
                <w:sz w:val="11"/>
              </w:rPr>
              <w:t>Treatment Emergent Med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AEDECOD</w:t>
            </w:r>
          </w:p>
        </w:tc>
        <w:tc>
          <w:tcPr>
            <w:tcW w:type="dxa" w:w="3312"/>
            <w:vAlign w:val="top"/>
          </w:tcPr>
          <w:p>
            <w:pPr>
              <w:spacing w:before="0" w:after="20" w:line="240" w:lineRule="auto"/>
            </w:pPr>
            <w:r/>
            <w:r>
              <w:rPr>
                <w:rFonts w:ascii="Calibri" w:hAnsi="Calibri"/>
                <w:b w:val="0"/>
                <w:color w:val="1F1F1F"/>
                <w:sz w:val="11"/>
              </w:rPr>
              <w:t>Dictionary-Derived Term</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AEBODSYS</w:t>
            </w:r>
          </w:p>
        </w:tc>
        <w:tc>
          <w:tcPr>
            <w:tcW w:type="dxa" w:w="3312"/>
            <w:vAlign w:val="top"/>
          </w:tcPr>
          <w:p>
            <w:pPr>
              <w:spacing w:before="0" w:after="20" w:line="240" w:lineRule="auto"/>
            </w:pPr>
            <w:r/>
            <w:r>
              <w:rPr>
                <w:rFonts w:ascii="Calibri" w:hAnsi="Calibri"/>
                <w:b w:val="0"/>
                <w:color w:val="1F1F1F"/>
                <w:sz w:val="11"/>
              </w:rPr>
              <w:t>Body System or Organ Class</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AEHLT</w:t>
            </w:r>
          </w:p>
        </w:tc>
        <w:tc>
          <w:tcPr>
            <w:tcW w:type="dxa" w:w="3312"/>
            <w:vAlign w:val="top"/>
          </w:tcPr>
          <w:p>
            <w:pPr>
              <w:spacing w:before="0" w:after="20" w:line="240" w:lineRule="auto"/>
            </w:pPr>
            <w:r/>
            <w:r>
              <w:rPr>
                <w:rFonts w:ascii="Calibri" w:hAnsi="Calibri"/>
                <w:b w:val="0"/>
                <w:color w:val="1F1F1F"/>
                <w:sz w:val="11"/>
              </w:rPr>
              <w:t>High Level Term</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AESEV</w:t>
            </w:r>
          </w:p>
        </w:tc>
        <w:tc>
          <w:tcPr>
            <w:tcW w:type="dxa" w:w="3312"/>
            <w:vAlign w:val="top"/>
          </w:tcPr>
          <w:p>
            <w:pPr>
              <w:spacing w:before="0" w:after="20" w:line="240" w:lineRule="auto"/>
            </w:pPr>
            <w:r/>
            <w:r>
              <w:rPr>
                <w:rFonts w:ascii="Calibri" w:hAnsi="Calibri"/>
                <w:b w:val="0"/>
                <w:color w:val="1F1F1F"/>
                <w:sz w:val="11"/>
              </w:rPr>
              <w:t>Severity/Intensity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ATOXGR</w:t>
            </w:r>
          </w:p>
        </w:tc>
        <w:tc>
          <w:tcPr>
            <w:tcW w:type="dxa" w:w="3312"/>
            <w:vAlign w:val="top"/>
          </w:tcPr>
          <w:p>
            <w:pPr>
              <w:spacing w:before="0" w:after="20" w:line="240" w:lineRule="auto"/>
            </w:pPr>
            <w:r/>
            <w:r>
              <w:rPr>
                <w:rFonts w:ascii="Calibri" w:hAnsi="Calibri"/>
                <w:b w:val="0"/>
                <w:color w:val="1F1F1F"/>
                <w:sz w:val="11"/>
              </w:rPr>
              <w:t>Analysis Toxicity Grade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AESER</w:t>
            </w:r>
          </w:p>
        </w:tc>
        <w:tc>
          <w:tcPr>
            <w:tcW w:type="dxa" w:w="3312"/>
            <w:vAlign w:val="top"/>
          </w:tcPr>
          <w:p>
            <w:pPr>
              <w:spacing w:before="0" w:after="20" w:line="240" w:lineRule="auto"/>
            </w:pPr>
            <w:r/>
            <w:r>
              <w:rPr>
                <w:rFonts w:ascii="Calibri" w:hAnsi="Calibri"/>
                <w:b w:val="0"/>
                <w:color w:val="1F1F1F"/>
                <w:sz w:val="11"/>
              </w:rPr>
              <w:t>Serious Event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AEREL</w:t>
            </w:r>
          </w:p>
        </w:tc>
        <w:tc>
          <w:tcPr>
            <w:tcW w:type="dxa" w:w="3312"/>
            <w:vAlign w:val="top"/>
          </w:tcPr>
          <w:p>
            <w:pPr>
              <w:spacing w:before="0" w:after="20" w:line="240" w:lineRule="auto"/>
            </w:pPr>
            <w:r/>
            <w:r>
              <w:rPr>
                <w:rFonts w:ascii="Calibri" w:hAnsi="Calibri"/>
                <w:b w:val="0"/>
                <w:color w:val="1F1F1F"/>
                <w:sz w:val="11"/>
              </w:rPr>
              <w:t>Causality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ASTDT</w:t>
            </w:r>
          </w:p>
        </w:tc>
        <w:tc>
          <w:tcPr>
            <w:tcW w:type="dxa" w:w="3312"/>
            <w:vAlign w:val="top"/>
          </w:tcPr>
          <w:p>
            <w:pPr>
              <w:spacing w:before="0" w:after="20" w:line="240" w:lineRule="auto"/>
            </w:pPr>
            <w:r/>
            <w:r>
              <w:rPr>
                <w:rFonts w:ascii="Calibri" w:hAnsi="Calibri"/>
                <w:b w:val="0"/>
                <w:color w:val="1F1F1F"/>
                <w:sz w:val="11"/>
              </w:rPr>
              <w:t>Analysis Start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AENDT</w:t>
            </w:r>
          </w:p>
        </w:tc>
        <w:tc>
          <w:tcPr>
            <w:tcW w:type="dxa" w:w="3312"/>
            <w:vAlign w:val="top"/>
          </w:tcPr>
          <w:p>
            <w:pPr>
              <w:spacing w:before="0" w:after="20" w:line="240" w:lineRule="auto"/>
            </w:pPr>
            <w:r/>
            <w:r>
              <w:rPr>
                <w:rFonts w:ascii="Calibri" w:hAnsi="Calibri"/>
                <w:b w:val="0"/>
                <w:color w:val="1F1F1F"/>
                <w:sz w:val="11"/>
              </w:rPr>
              <w:t>Analysis End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ASTDY</w:t>
            </w:r>
          </w:p>
        </w:tc>
        <w:tc>
          <w:tcPr>
            <w:tcW w:type="dxa" w:w="3312"/>
            <w:vAlign w:val="top"/>
          </w:tcPr>
          <w:p>
            <w:pPr>
              <w:spacing w:before="0" w:after="20" w:line="240" w:lineRule="auto"/>
            </w:pPr>
            <w:r/>
            <w:r>
              <w:rPr>
                <w:rFonts w:ascii="Calibri" w:hAnsi="Calibri"/>
                <w:b w:val="0"/>
                <w:color w:val="1F1F1F"/>
                <w:sz w:val="11"/>
              </w:rPr>
              <w:t>Analysis Start Day</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AENDY</w:t>
            </w:r>
          </w:p>
        </w:tc>
        <w:tc>
          <w:tcPr>
            <w:tcW w:type="dxa" w:w="3312"/>
            <w:vAlign w:val="top"/>
          </w:tcPr>
          <w:p>
            <w:pPr>
              <w:spacing w:before="0" w:after="20" w:line="240" w:lineRule="auto"/>
            </w:pPr>
            <w:r/>
            <w:r>
              <w:rPr>
                <w:rFonts w:ascii="Calibri" w:hAnsi="Calibri"/>
                <w:b w:val="0"/>
                <w:color w:val="1F1F1F"/>
                <w:sz w:val="11"/>
              </w:rPr>
              <w:t>Analysis End Day</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AEACN</w:t>
            </w:r>
          </w:p>
        </w:tc>
        <w:tc>
          <w:tcPr>
            <w:tcW w:type="dxa" w:w="3312"/>
            <w:vAlign w:val="top"/>
          </w:tcPr>
          <w:p>
            <w:pPr>
              <w:spacing w:before="0" w:after="20" w:line="240" w:lineRule="auto"/>
            </w:pPr>
            <w:r/>
            <w:r>
              <w:rPr>
                <w:rFonts w:ascii="Calibri" w:hAnsi="Calibri"/>
                <w:b w:val="0"/>
                <w:color w:val="1F1F1F"/>
                <w:sz w:val="11"/>
              </w:rPr>
              <w:t>Action Taken with Study Treatment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AEOUT</w:t>
            </w:r>
          </w:p>
        </w:tc>
        <w:tc>
          <w:tcPr>
            <w:tcW w:type="dxa" w:w="3312"/>
            <w:vAlign w:val="top"/>
          </w:tcPr>
          <w:p>
            <w:pPr>
              <w:spacing w:before="0" w:after="20" w:line="240" w:lineRule="auto"/>
            </w:pPr>
            <w:r/>
            <w:r>
              <w:rPr>
                <w:rFonts w:ascii="Calibri" w:hAnsi="Calibri"/>
                <w:b w:val="0"/>
                <w:color w:val="1F1F1F"/>
                <w:sz w:val="11"/>
              </w:rPr>
              <w:t>Outcome of Adverse Event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CQ02NAM</w:t>
            </w:r>
          </w:p>
        </w:tc>
        <w:tc>
          <w:tcPr>
            <w:tcW w:type="dxa" w:w="3312"/>
            <w:vAlign w:val="top"/>
          </w:tcPr>
          <w:p>
            <w:pPr>
              <w:spacing w:before="0" w:after="20" w:line="240" w:lineRule="auto"/>
            </w:pPr>
            <w:r/>
            <w:r>
              <w:rPr>
                <w:rFonts w:ascii="Calibri" w:hAnsi="Calibri"/>
                <w:b w:val="0"/>
                <w:color w:val="1F1F1F"/>
                <w:sz w:val="11"/>
              </w:rPr>
              <w:t>Customized Query 02 Name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CQ02CD</w:t>
            </w:r>
          </w:p>
        </w:tc>
        <w:tc>
          <w:tcPr>
            <w:tcW w:type="dxa" w:w="3312"/>
            <w:vAlign w:val="top"/>
          </w:tcPr>
          <w:p>
            <w:pPr>
              <w:spacing w:before="0" w:after="20" w:line="240" w:lineRule="auto"/>
            </w:pPr>
            <w:r/>
            <w:r>
              <w:rPr>
                <w:rFonts w:ascii="Calibri" w:hAnsi="Calibri"/>
                <w:b w:val="0"/>
                <w:color w:val="1F1F1F"/>
                <w:sz w:val="11"/>
              </w:rPr>
              <w:t>Customized Query 02 Code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CQ02SC</w:t>
            </w:r>
          </w:p>
        </w:tc>
        <w:tc>
          <w:tcPr>
            <w:tcW w:type="dxa" w:w="3312"/>
            <w:vAlign w:val="top"/>
          </w:tcPr>
          <w:p>
            <w:pPr>
              <w:spacing w:before="0" w:after="20" w:line="240" w:lineRule="auto"/>
            </w:pPr>
            <w:r/>
            <w:r>
              <w:rPr>
                <w:rFonts w:ascii="Calibri" w:hAnsi="Calibri"/>
                <w:b w:val="0"/>
                <w:color w:val="1F1F1F"/>
                <w:sz w:val="11"/>
              </w:rPr>
              <w:t>Customized Query 02 Source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CIAESEQ</w:t>
            </w:r>
          </w:p>
        </w:tc>
        <w:tc>
          <w:tcPr>
            <w:tcW w:type="dxa" w:w="3312"/>
            <w:vAlign w:val="top"/>
          </w:tcPr>
          <w:p>
            <w:pPr>
              <w:spacing w:before="0" w:after="20" w:line="240" w:lineRule="auto"/>
            </w:pPr>
            <w:r/>
            <w:r>
              <w:rPr>
                <w:rFonts w:ascii="Calibri" w:hAnsi="Calibri"/>
                <w:b w:val="0"/>
                <w:color w:val="1F1F1F"/>
                <w:sz w:val="11"/>
              </w:rPr>
              <w:t>Custom Episode Sequence Number</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CIAESDT</w:t>
            </w:r>
          </w:p>
        </w:tc>
        <w:tc>
          <w:tcPr>
            <w:tcW w:type="dxa" w:w="3312"/>
            <w:vAlign w:val="top"/>
          </w:tcPr>
          <w:p>
            <w:pPr>
              <w:spacing w:before="0" w:after="20" w:line="240" w:lineRule="auto"/>
            </w:pPr>
            <w:r/>
            <w:r>
              <w:rPr>
                <w:rFonts w:ascii="Calibri" w:hAnsi="Calibri"/>
                <w:b w:val="0"/>
                <w:color w:val="1F1F1F"/>
                <w:sz w:val="11"/>
              </w:rPr>
              <w:t>Custom Episode Start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CIAEEDT</w:t>
            </w:r>
          </w:p>
        </w:tc>
        <w:tc>
          <w:tcPr>
            <w:tcW w:type="dxa" w:w="3312"/>
            <w:vAlign w:val="top"/>
          </w:tcPr>
          <w:p>
            <w:pPr>
              <w:spacing w:before="0" w:after="20" w:line="240" w:lineRule="auto"/>
            </w:pPr>
            <w:r/>
            <w:r>
              <w:rPr>
                <w:rFonts w:ascii="Calibri" w:hAnsi="Calibri"/>
                <w:b w:val="0"/>
                <w:color w:val="1F1F1F"/>
                <w:sz w:val="11"/>
              </w:rPr>
              <w:t>Custom Episode End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CIAEDUR</w:t>
            </w:r>
          </w:p>
        </w:tc>
        <w:tc>
          <w:tcPr>
            <w:tcW w:type="dxa" w:w="3312"/>
            <w:vAlign w:val="top"/>
          </w:tcPr>
          <w:p>
            <w:pPr>
              <w:spacing w:before="0" w:after="20" w:line="240" w:lineRule="auto"/>
            </w:pPr>
            <w:r/>
            <w:r>
              <w:rPr>
                <w:rFonts w:ascii="Calibri" w:hAnsi="Calibri"/>
                <w:b w:val="0"/>
                <w:color w:val="1F1F1F"/>
                <w:sz w:val="11"/>
              </w:rPr>
              <w:t>Custom Episode Duration (Months)</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AEOCCFL</w:t>
            </w:r>
          </w:p>
        </w:tc>
        <w:tc>
          <w:tcPr>
            <w:tcW w:type="dxa" w:w="3312"/>
            <w:vAlign w:val="top"/>
          </w:tcPr>
          <w:p>
            <w:pPr>
              <w:spacing w:before="0" w:after="20" w:line="240" w:lineRule="auto"/>
            </w:pPr>
            <w:r/>
            <w:r>
              <w:rPr>
                <w:rFonts w:ascii="Calibri" w:hAnsi="Calibri"/>
                <w:b w:val="0"/>
                <w:color w:val="1F1F1F"/>
                <w:sz w:val="11"/>
              </w:rPr>
              <w:t>Adverse Event Occurrence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TRTEMFL</w:t>
            </w:r>
          </w:p>
        </w:tc>
        <w:tc>
          <w:tcPr>
            <w:tcW w:type="dxa" w:w="3312"/>
            <w:vAlign w:val="top"/>
          </w:tcPr>
          <w:p>
            <w:pPr>
              <w:spacing w:before="0" w:after="20" w:line="240" w:lineRule="auto"/>
            </w:pPr>
            <w:r/>
            <w:r>
              <w:rPr>
                <w:rFonts w:ascii="Calibri" w:hAnsi="Calibri"/>
                <w:b w:val="0"/>
                <w:color w:val="1F1F1F"/>
                <w:sz w:val="11"/>
              </w:rPr>
              <w:t>Treatment Emergent AE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ADURN</w:t>
            </w:r>
          </w:p>
        </w:tc>
        <w:tc>
          <w:tcPr>
            <w:tcW w:type="dxa" w:w="3312"/>
            <w:vAlign w:val="top"/>
          </w:tcPr>
          <w:p>
            <w:pPr>
              <w:spacing w:before="0" w:after="20" w:line="240" w:lineRule="auto"/>
            </w:pPr>
            <w:r/>
            <w:r>
              <w:rPr>
                <w:rFonts w:ascii="Calibri" w:hAnsi="Calibri"/>
                <w:b w:val="0"/>
                <w:color w:val="1F1F1F"/>
                <w:sz w:val="11"/>
              </w:rPr>
              <w:t>AE Duration (Numeric)</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ADURU</w:t>
            </w:r>
          </w:p>
        </w:tc>
        <w:tc>
          <w:tcPr>
            <w:tcW w:type="dxa" w:w="3312"/>
            <w:vAlign w:val="top"/>
          </w:tcPr>
          <w:p>
            <w:pPr>
              <w:spacing w:before="0" w:after="20" w:line="240" w:lineRule="auto"/>
            </w:pPr>
            <w:r/>
            <w:r>
              <w:rPr>
                <w:rFonts w:ascii="Calibri" w:hAnsi="Calibri"/>
                <w:b w:val="0"/>
                <w:color w:val="1F1F1F"/>
                <w:sz w:val="11"/>
              </w:rPr>
              <w:t>AE Duration Units</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AESEQ</w:t>
            </w:r>
          </w:p>
        </w:tc>
        <w:tc>
          <w:tcPr>
            <w:tcW w:type="dxa" w:w="3312"/>
            <w:vAlign w:val="top"/>
          </w:tcPr>
          <w:p>
            <w:pPr>
              <w:spacing w:before="0" w:after="20" w:line="240" w:lineRule="auto"/>
            </w:pPr>
            <w:r/>
            <w:r>
              <w:rPr>
                <w:rFonts w:ascii="Calibri" w:hAnsi="Calibri"/>
                <w:b w:val="0"/>
                <w:color w:val="1F1F1F"/>
                <w:sz w:val="11"/>
              </w:rPr>
              <w:t>Adverse Event Sequence Number</w:t>
            </w:r>
          </w:p>
        </w:tc>
        <w:tc>
          <w:tcPr>
            <w:tcW w:type="dxa" w:w="792"/>
            <w:vAlign w:val="top"/>
          </w:tcPr>
          <w:p>
            <w:pPr>
              <w:spacing w:before="0" w:after="20" w:line="240" w:lineRule="auto"/>
            </w:pPr>
            <w:r/>
            <w:r>
              <w:rPr>
                <w:rFonts w:ascii="Calibri" w:hAnsi="Calibri"/>
                <w:b w:val="0"/>
                <w:color w:val="1F1F1F"/>
                <w:sz w:val="11"/>
              </w:rPr>
              <w:t>integer</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TRTA</w:t>
            </w:r>
          </w:p>
        </w:tc>
        <w:tc>
          <w:tcPr>
            <w:tcW w:type="dxa" w:w="3312"/>
            <w:vAlign w:val="top"/>
          </w:tcPr>
          <w:p>
            <w:pPr>
              <w:spacing w:before="0" w:after="20" w:line="240" w:lineRule="auto"/>
            </w:pPr>
            <w:r/>
            <w:r>
              <w:rPr>
                <w:rFonts w:ascii="Calibri" w:hAnsi="Calibri"/>
                <w:b w:val="0"/>
                <w:color w:val="1F1F1F"/>
                <w:sz w:val="11"/>
              </w:rPr>
              <w:t>Actual Treatment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ADAE</w:t>
            </w:r>
          </w:p>
        </w:tc>
        <w:tc>
          <w:tcPr>
            <w:tcW w:type="dxa" w:w="1296"/>
            <w:vAlign w:val="top"/>
          </w:tcPr>
          <w:p>
            <w:pPr>
              <w:spacing w:before="0" w:after="20" w:line="240" w:lineRule="auto"/>
            </w:pPr>
            <w:r/>
            <w:r>
              <w:rPr>
                <w:rFonts w:ascii="Calibri" w:hAnsi="Calibri"/>
                <w:b w:val="0"/>
                <w:color w:val="1F1F1F"/>
                <w:sz w:val="11"/>
              </w:rPr>
              <w:t>TRTAN</w:t>
            </w:r>
          </w:p>
        </w:tc>
        <w:tc>
          <w:tcPr>
            <w:tcW w:type="dxa" w:w="3312"/>
            <w:vAlign w:val="top"/>
          </w:tcPr>
          <w:p>
            <w:pPr>
              <w:spacing w:before="0" w:after="20" w:line="240" w:lineRule="auto"/>
            </w:pPr>
            <w:r/>
            <w:r>
              <w:rPr>
                <w:rFonts w:ascii="Calibri" w:hAnsi="Calibri"/>
                <w:b w:val="0"/>
                <w:color w:val="1F1F1F"/>
                <w:sz w:val="11"/>
              </w:rPr>
              <w:t>Actual Treatment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CL.TRT01PN</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SUBJID</w:t>
            </w:r>
          </w:p>
        </w:tc>
        <w:tc>
          <w:tcPr>
            <w:tcW w:type="dxa" w:w="3312"/>
            <w:vAlign w:val="top"/>
          </w:tcPr>
          <w:p>
            <w:pPr>
              <w:spacing w:before="0" w:after="20" w:line="240" w:lineRule="auto"/>
            </w:pPr>
            <w:r/>
            <w:r>
              <w:rPr>
                <w:rFonts w:ascii="Calibri" w:hAnsi="Calibri"/>
                <w:b w:val="0"/>
                <w:color w:val="1F1F1F"/>
                <w:sz w:val="11"/>
              </w:rPr>
              <w:t>Subject Identifier for the Study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TRT01P</w:t>
            </w:r>
          </w:p>
        </w:tc>
        <w:tc>
          <w:tcPr>
            <w:tcW w:type="dxa" w:w="3312"/>
            <w:vAlign w:val="top"/>
          </w:tcPr>
          <w:p>
            <w:pPr>
              <w:spacing w:before="0" w:after="20" w:line="240" w:lineRule="auto"/>
            </w:pPr>
            <w:r/>
            <w:r>
              <w:rPr>
                <w:rFonts w:ascii="Calibri" w:hAnsi="Calibri"/>
                <w:b w:val="0"/>
                <w:color w:val="1F1F1F"/>
                <w:sz w:val="11"/>
              </w:rPr>
              <w:t>Planned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TRTSDT</w:t>
            </w:r>
          </w:p>
        </w:tc>
        <w:tc>
          <w:tcPr>
            <w:tcW w:type="dxa" w:w="3312"/>
            <w:vAlign w:val="top"/>
          </w:tcPr>
          <w:p>
            <w:pPr>
              <w:spacing w:before="0" w:after="20" w:line="240" w:lineRule="auto"/>
            </w:pPr>
            <w:r/>
            <w:r>
              <w:rPr>
                <w:rFonts w:ascii="Calibri" w:hAnsi="Calibri"/>
                <w:b w:val="0"/>
                <w:color w:val="1F1F1F"/>
                <w:sz w:val="11"/>
              </w:rPr>
              <w:t>Date of First Exposure to Treatment</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PARAMCD</w:t>
            </w:r>
          </w:p>
        </w:tc>
        <w:tc>
          <w:tcPr>
            <w:tcW w:type="dxa" w:w="3312"/>
            <w:vAlign w:val="top"/>
          </w:tcPr>
          <w:p>
            <w:pPr>
              <w:spacing w:before="0" w:after="20" w:line="240" w:lineRule="auto"/>
            </w:pPr>
            <w:r/>
            <w:r>
              <w:rPr>
                <w:rFonts w:ascii="Calibri" w:hAnsi="Calibri"/>
                <w:b w:val="0"/>
                <w:color w:val="1F1F1F"/>
                <w:sz w:val="11"/>
              </w:rPr>
              <w:t>Parameter Code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CL.PARAMCD</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PARAM</w:t>
            </w:r>
          </w:p>
        </w:tc>
        <w:tc>
          <w:tcPr>
            <w:tcW w:type="dxa" w:w="3312"/>
            <w:vAlign w:val="top"/>
          </w:tcPr>
          <w:p>
            <w:pPr>
              <w:spacing w:before="0" w:after="20" w:line="240" w:lineRule="auto"/>
            </w:pPr>
            <w:r/>
            <w:r>
              <w:rPr>
                <w:rFonts w:ascii="Calibri" w:hAnsi="Calibri"/>
                <w:b w:val="0"/>
                <w:color w:val="1F1F1F"/>
                <w:sz w:val="11"/>
              </w:rPr>
              <w:t>Parameter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PARAMN</w:t>
            </w:r>
          </w:p>
        </w:tc>
        <w:tc>
          <w:tcPr>
            <w:tcW w:type="dxa" w:w="3312"/>
            <w:vAlign w:val="top"/>
          </w:tcPr>
          <w:p>
            <w:pPr>
              <w:spacing w:before="0" w:after="20" w:line="240" w:lineRule="auto"/>
            </w:pPr>
            <w:r/>
            <w:r>
              <w:rPr>
                <w:rFonts w:ascii="Calibri" w:hAnsi="Calibri"/>
                <w:b w:val="0"/>
                <w:color w:val="1F1F1F"/>
                <w:sz w:val="11"/>
              </w:rPr>
              <w:t>Parameter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PARCAT1</w:t>
            </w:r>
          </w:p>
        </w:tc>
        <w:tc>
          <w:tcPr>
            <w:tcW w:type="dxa" w:w="3312"/>
            <w:vAlign w:val="top"/>
          </w:tcPr>
          <w:p>
            <w:pPr>
              <w:spacing w:before="0" w:after="20" w:line="240" w:lineRule="auto"/>
            </w:pPr>
            <w:r/>
            <w:r>
              <w:rPr>
                <w:rFonts w:ascii="Calibri" w:hAnsi="Calibri"/>
                <w:b w:val="0"/>
                <w:color w:val="1F1F1F"/>
                <w:sz w:val="11"/>
              </w:rPr>
              <w:t>Parameter Category 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AVAL</w:t>
            </w:r>
          </w:p>
        </w:tc>
        <w:tc>
          <w:tcPr>
            <w:tcW w:type="dxa" w:w="3312"/>
            <w:vAlign w:val="top"/>
          </w:tcPr>
          <w:p>
            <w:pPr>
              <w:spacing w:before="0" w:after="20" w:line="240" w:lineRule="auto"/>
            </w:pPr>
            <w:r/>
            <w:r>
              <w:rPr>
                <w:rFonts w:ascii="Calibri" w:hAnsi="Calibri"/>
                <w:b w:val="0"/>
                <w:color w:val="1F1F1F"/>
                <w:sz w:val="11"/>
              </w:rPr>
              <w:t>Analysis Value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AVALC</w:t>
            </w:r>
          </w:p>
        </w:tc>
        <w:tc>
          <w:tcPr>
            <w:tcW w:type="dxa" w:w="3312"/>
            <w:vAlign w:val="top"/>
          </w:tcPr>
          <w:p>
            <w:pPr>
              <w:spacing w:before="0" w:after="20" w:line="240" w:lineRule="auto"/>
            </w:pPr>
            <w:r/>
            <w:r>
              <w:rPr>
                <w:rFonts w:ascii="Calibri" w:hAnsi="Calibri"/>
                <w:b w:val="0"/>
                <w:color w:val="1F1F1F"/>
                <w:sz w:val="11"/>
              </w:rPr>
              <w:t>Analysis Value (C)</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LBNRLO</w:t>
            </w:r>
          </w:p>
        </w:tc>
        <w:tc>
          <w:tcPr>
            <w:tcW w:type="dxa" w:w="3312"/>
            <w:vAlign w:val="top"/>
          </w:tcPr>
          <w:p>
            <w:pPr>
              <w:spacing w:before="0" w:after="20" w:line="240" w:lineRule="auto"/>
            </w:pPr>
            <w:r/>
            <w:r>
              <w:rPr>
                <w:rFonts w:ascii="Calibri" w:hAnsi="Calibri"/>
                <w:b w:val="0"/>
                <w:color w:val="1F1F1F"/>
                <w:sz w:val="11"/>
              </w:rPr>
              <w:t>Reference Range Lower Limit in Orig Unit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LBNRHI</w:t>
            </w:r>
          </w:p>
        </w:tc>
        <w:tc>
          <w:tcPr>
            <w:tcW w:type="dxa" w:w="3312"/>
            <w:vAlign w:val="top"/>
          </w:tcPr>
          <w:p>
            <w:pPr>
              <w:spacing w:before="0" w:after="20" w:line="240" w:lineRule="auto"/>
            </w:pPr>
            <w:r/>
            <w:r>
              <w:rPr>
                <w:rFonts w:ascii="Calibri" w:hAnsi="Calibri"/>
                <w:b w:val="0"/>
                <w:color w:val="1F1F1F"/>
                <w:sz w:val="11"/>
              </w:rPr>
              <w:t>Reference Range Upper Limit in Orig Unit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LBNRIND</w:t>
            </w:r>
          </w:p>
        </w:tc>
        <w:tc>
          <w:tcPr>
            <w:tcW w:type="dxa" w:w="3312"/>
            <w:vAlign w:val="top"/>
          </w:tcPr>
          <w:p>
            <w:pPr>
              <w:spacing w:before="0" w:after="20" w:line="240" w:lineRule="auto"/>
            </w:pPr>
            <w:r/>
            <w:r>
              <w:rPr>
                <w:rFonts w:ascii="Calibri" w:hAnsi="Calibri"/>
                <w:b w:val="0"/>
                <w:color w:val="1F1F1F"/>
                <w:sz w:val="11"/>
              </w:rPr>
              <w:t>Reference Range Indicator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AVISIT</w:t>
            </w:r>
          </w:p>
        </w:tc>
        <w:tc>
          <w:tcPr>
            <w:tcW w:type="dxa" w:w="3312"/>
            <w:vAlign w:val="top"/>
          </w:tcPr>
          <w:p>
            <w:pPr>
              <w:spacing w:before="0" w:after="20" w:line="240" w:lineRule="auto"/>
            </w:pPr>
            <w:r/>
            <w:r>
              <w:rPr>
                <w:rFonts w:ascii="Calibri" w:hAnsi="Calibri"/>
                <w:b w:val="0"/>
                <w:color w:val="1F1F1F"/>
                <w:sz w:val="11"/>
              </w:rPr>
              <w:t>Analysis Visit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AVISITN</w:t>
            </w:r>
          </w:p>
        </w:tc>
        <w:tc>
          <w:tcPr>
            <w:tcW w:type="dxa" w:w="3312"/>
            <w:vAlign w:val="top"/>
          </w:tcPr>
          <w:p>
            <w:pPr>
              <w:spacing w:before="0" w:after="20" w:line="240" w:lineRule="auto"/>
            </w:pPr>
            <w:r/>
            <w:r>
              <w:rPr>
                <w:rFonts w:ascii="Calibri" w:hAnsi="Calibri"/>
                <w:b w:val="0"/>
                <w:color w:val="1F1F1F"/>
                <w:sz w:val="11"/>
              </w:rPr>
              <w:t>Analysis Visit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AWDIST</w:t>
            </w:r>
          </w:p>
        </w:tc>
        <w:tc>
          <w:tcPr>
            <w:tcW w:type="dxa" w:w="3312"/>
            <w:vAlign w:val="top"/>
          </w:tcPr>
          <w:p>
            <w:pPr>
              <w:spacing w:before="0" w:after="20" w:line="240" w:lineRule="auto"/>
            </w:pPr>
            <w:r/>
            <w:r>
              <w:rPr>
                <w:rFonts w:ascii="Calibri" w:hAnsi="Calibri"/>
                <w:b w:val="0"/>
                <w:color w:val="1F1F1F"/>
                <w:sz w:val="11"/>
              </w:rPr>
              <w:t>Analysis Window Distance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ATOXGR</w:t>
            </w:r>
          </w:p>
        </w:tc>
        <w:tc>
          <w:tcPr>
            <w:tcW w:type="dxa" w:w="3312"/>
            <w:vAlign w:val="top"/>
          </w:tcPr>
          <w:p>
            <w:pPr>
              <w:spacing w:before="0" w:after="20" w:line="240" w:lineRule="auto"/>
            </w:pPr>
            <w:r/>
            <w:r>
              <w:rPr>
                <w:rFonts w:ascii="Calibri" w:hAnsi="Calibri"/>
                <w:b w:val="0"/>
                <w:color w:val="1F1F1F"/>
                <w:sz w:val="11"/>
              </w:rPr>
              <w:t>Analysis Toxicity Grade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BASE</w:t>
            </w:r>
          </w:p>
        </w:tc>
        <w:tc>
          <w:tcPr>
            <w:tcW w:type="dxa" w:w="3312"/>
            <w:vAlign w:val="top"/>
          </w:tcPr>
          <w:p>
            <w:pPr>
              <w:spacing w:before="0" w:after="20" w:line="240" w:lineRule="auto"/>
            </w:pPr>
            <w:r/>
            <w:r>
              <w:rPr>
                <w:rFonts w:ascii="Calibri" w:hAnsi="Calibri"/>
                <w:b w:val="0"/>
                <w:color w:val="1F1F1F"/>
                <w:sz w:val="11"/>
              </w:rPr>
              <w:t>Baseline Value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BASEC</w:t>
            </w:r>
          </w:p>
        </w:tc>
        <w:tc>
          <w:tcPr>
            <w:tcW w:type="dxa" w:w="3312"/>
            <w:vAlign w:val="top"/>
          </w:tcPr>
          <w:p>
            <w:pPr>
              <w:spacing w:before="0" w:after="20" w:line="240" w:lineRule="auto"/>
            </w:pPr>
            <w:r/>
            <w:r>
              <w:rPr>
                <w:rFonts w:ascii="Calibri" w:hAnsi="Calibri"/>
                <w:b w:val="0"/>
                <w:color w:val="1F1F1F"/>
                <w:sz w:val="11"/>
              </w:rPr>
              <w:t>Result or Finding in Original Units</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BTOXGR</w:t>
            </w:r>
          </w:p>
        </w:tc>
        <w:tc>
          <w:tcPr>
            <w:tcW w:type="dxa" w:w="3312"/>
            <w:vAlign w:val="top"/>
          </w:tcPr>
          <w:p>
            <w:pPr>
              <w:spacing w:before="0" w:after="20" w:line="240" w:lineRule="auto"/>
            </w:pPr>
            <w:r/>
            <w:r>
              <w:rPr>
                <w:rFonts w:ascii="Calibri" w:hAnsi="Calibri"/>
                <w:b w:val="0"/>
                <w:color w:val="1F1F1F"/>
                <w:sz w:val="11"/>
              </w:rPr>
              <w:t>Baseline Toxicity Grade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CHG</w:t>
            </w:r>
          </w:p>
        </w:tc>
        <w:tc>
          <w:tcPr>
            <w:tcW w:type="dxa" w:w="3312"/>
            <w:vAlign w:val="top"/>
          </w:tcPr>
          <w:p>
            <w:pPr>
              <w:spacing w:before="0" w:after="20" w:line="240" w:lineRule="auto"/>
            </w:pPr>
            <w:r/>
            <w:r>
              <w:rPr>
                <w:rFonts w:ascii="Calibri" w:hAnsi="Calibri"/>
                <w:b w:val="0"/>
                <w:color w:val="1F1F1F"/>
                <w:sz w:val="11"/>
              </w:rPr>
              <w:t>Change from Baseline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PCHG</w:t>
            </w:r>
          </w:p>
        </w:tc>
        <w:tc>
          <w:tcPr>
            <w:tcW w:type="dxa" w:w="3312"/>
            <w:vAlign w:val="top"/>
          </w:tcPr>
          <w:p>
            <w:pPr>
              <w:spacing w:before="0" w:after="20" w:line="240" w:lineRule="auto"/>
            </w:pPr>
            <w:r/>
            <w:r>
              <w:rPr>
                <w:rFonts w:ascii="Calibri" w:hAnsi="Calibri"/>
                <w:b w:val="0"/>
                <w:color w:val="1F1F1F"/>
                <w:sz w:val="11"/>
              </w:rPr>
              <w:t>Percent Change from Baseline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ANL01FL</w:t>
            </w:r>
          </w:p>
        </w:tc>
        <w:tc>
          <w:tcPr>
            <w:tcW w:type="dxa" w:w="3312"/>
            <w:vAlign w:val="top"/>
          </w:tcPr>
          <w:p>
            <w:pPr>
              <w:spacing w:before="0" w:after="20" w:line="240" w:lineRule="auto"/>
            </w:pPr>
            <w:r/>
            <w:r>
              <w:rPr>
                <w:rFonts w:ascii="Calibri" w:hAnsi="Calibri"/>
                <w:b w:val="0"/>
                <w:color w:val="1F1F1F"/>
                <w:sz w:val="11"/>
              </w:rPr>
              <w:t>Analysis Record Flag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BASEFL</w:t>
            </w:r>
          </w:p>
        </w:tc>
        <w:tc>
          <w:tcPr>
            <w:tcW w:type="dxa" w:w="3312"/>
            <w:vAlign w:val="top"/>
          </w:tcPr>
          <w:p>
            <w:pPr>
              <w:spacing w:before="0" w:after="20" w:line="240" w:lineRule="auto"/>
            </w:pPr>
            <w:r/>
            <w:r>
              <w:rPr>
                <w:rFonts w:ascii="Calibri" w:hAnsi="Calibri"/>
                <w:b w:val="0"/>
                <w:color w:val="1F1F1F"/>
                <w:sz w:val="11"/>
              </w:rPr>
              <w:t>Baseline Record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LBDY</w:t>
            </w:r>
          </w:p>
        </w:tc>
        <w:tc>
          <w:tcPr>
            <w:tcW w:type="dxa" w:w="3312"/>
            <w:vAlign w:val="top"/>
          </w:tcPr>
          <w:p>
            <w:pPr>
              <w:spacing w:before="0" w:after="20" w:line="240" w:lineRule="auto"/>
            </w:pPr>
            <w:r/>
            <w:r>
              <w:rPr>
                <w:rFonts w:ascii="Calibri" w:hAnsi="Calibri"/>
                <w:b w:val="0"/>
                <w:color w:val="1F1F1F"/>
                <w:sz w:val="11"/>
              </w:rPr>
              <w:t>Analysis Day</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ADLB</w:t>
            </w:r>
          </w:p>
        </w:tc>
        <w:tc>
          <w:tcPr>
            <w:tcW w:type="dxa" w:w="1296"/>
            <w:vAlign w:val="top"/>
          </w:tcPr>
          <w:p>
            <w:pPr>
              <w:spacing w:before="0" w:after="20" w:line="240" w:lineRule="auto"/>
            </w:pPr>
            <w:r/>
            <w:r>
              <w:rPr>
                <w:rFonts w:ascii="Calibri" w:hAnsi="Calibri"/>
                <w:b w:val="0"/>
                <w:color w:val="1F1F1F"/>
                <w:sz w:val="11"/>
              </w:rPr>
              <w:t>ADT</w:t>
            </w:r>
          </w:p>
        </w:tc>
        <w:tc>
          <w:tcPr>
            <w:tcW w:type="dxa" w:w="3312"/>
            <w:vAlign w:val="top"/>
          </w:tcPr>
          <w:p>
            <w:pPr>
              <w:spacing w:before="0" w:after="20" w:line="240" w:lineRule="auto"/>
            </w:pPr>
            <w:r/>
            <w:r>
              <w:rPr>
                <w:rFonts w:ascii="Calibri" w:hAnsi="Calibri"/>
                <w:b w:val="0"/>
                <w:color w:val="1F1F1F"/>
                <w:sz w:val="11"/>
              </w:rPr>
              <w:t>Analysis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SUBJID</w:t>
            </w:r>
          </w:p>
        </w:tc>
        <w:tc>
          <w:tcPr>
            <w:tcW w:type="dxa" w:w="3312"/>
            <w:vAlign w:val="top"/>
          </w:tcPr>
          <w:p>
            <w:pPr>
              <w:spacing w:before="0" w:after="20" w:line="240" w:lineRule="auto"/>
            </w:pPr>
            <w:r/>
            <w:r>
              <w:rPr>
                <w:rFonts w:ascii="Calibri" w:hAnsi="Calibri"/>
                <w:b w:val="0"/>
                <w:color w:val="1F1F1F"/>
                <w:sz w:val="11"/>
              </w:rPr>
              <w:t>Subject Identifier for the Study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TRT01P</w:t>
            </w:r>
          </w:p>
        </w:tc>
        <w:tc>
          <w:tcPr>
            <w:tcW w:type="dxa" w:w="3312"/>
            <w:vAlign w:val="top"/>
          </w:tcPr>
          <w:p>
            <w:pPr>
              <w:spacing w:before="0" w:after="20" w:line="240" w:lineRule="auto"/>
            </w:pPr>
            <w:r/>
            <w:r>
              <w:rPr>
                <w:rFonts w:ascii="Calibri" w:hAnsi="Calibri"/>
                <w:b w:val="0"/>
                <w:color w:val="1F1F1F"/>
                <w:sz w:val="11"/>
              </w:rPr>
              <w:t>Planned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TRTSDT</w:t>
            </w:r>
          </w:p>
        </w:tc>
        <w:tc>
          <w:tcPr>
            <w:tcW w:type="dxa" w:w="3312"/>
            <w:vAlign w:val="top"/>
          </w:tcPr>
          <w:p>
            <w:pPr>
              <w:spacing w:before="0" w:after="20" w:line="240" w:lineRule="auto"/>
            </w:pPr>
            <w:r/>
            <w:r>
              <w:rPr>
                <w:rFonts w:ascii="Calibri" w:hAnsi="Calibri"/>
                <w:b w:val="0"/>
                <w:color w:val="1F1F1F"/>
                <w:sz w:val="11"/>
              </w:rPr>
              <w:t>Date of First Exposure to Treatment</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PARAMCD</w:t>
            </w:r>
          </w:p>
        </w:tc>
        <w:tc>
          <w:tcPr>
            <w:tcW w:type="dxa" w:w="3312"/>
            <w:vAlign w:val="top"/>
          </w:tcPr>
          <w:p>
            <w:pPr>
              <w:spacing w:before="0" w:after="20" w:line="240" w:lineRule="auto"/>
            </w:pPr>
            <w:r/>
            <w:r>
              <w:rPr>
                <w:rFonts w:ascii="Calibri" w:hAnsi="Calibri"/>
                <w:b w:val="0"/>
                <w:color w:val="1F1F1F"/>
                <w:sz w:val="11"/>
              </w:rPr>
              <w:t>Parameter Code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CL.PARAMCD</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PARAM</w:t>
            </w:r>
          </w:p>
        </w:tc>
        <w:tc>
          <w:tcPr>
            <w:tcW w:type="dxa" w:w="3312"/>
            <w:vAlign w:val="top"/>
          </w:tcPr>
          <w:p>
            <w:pPr>
              <w:spacing w:before="0" w:after="20" w:line="240" w:lineRule="auto"/>
            </w:pPr>
            <w:r/>
            <w:r>
              <w:rPr>
                <w:rFonts w:ascii="Calibri" w:hAnsi="Calibri"/>
                <w:b w:val="0"/>
                <w:color w:val="1F1F1F"/>
                <w:sz w:val="11"/>
              </w:rPr>
              <w:t>Parameter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AVALC</w:t>
            </w:r>
          </w:p>
        </w:tc>
        <w:tc>
          <w:tcPr>
            <w:tcW w:type="dxa" w:w="3312"/>
            <w:vAlign w:val="top"/>
          </w:tcPr>
          <w:p>
            <w:pPr>
              <w:spacing w:before="0" w:after="20" w:line="240" w:lineRule="auto"/>
            </w:pPr>
            <w:r/>
            <w:r>
              <w:rPr>
                <w:rFonts w:ascii="Calibri" w:hAnsi="Calibri"/>
                <w:b w:val="0"/>
                <w:color w:val="1F1F1F"/>
                <w:sz w:val="11"/>
              </w:rPr>
              <w:t>Analysis Value (C)</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ADT</w:t>
            </w:r>
          </w:p>
        </w:tc>
        <w:tc>
          <w:tcPr>
            <w:tcW w:type="dxa" w:w="3312"/>
            <w:vAlign w:val="top"/>
          </w:tcPr>
          <w:p>
            <w:pPr>
              <w:spacing w:before="0" w:after="20" w:line="240" w:lineRule="auto"/>
            </w:pPr>
            <w:r/>
            <w:r>
              <w:rPr>
                <w:rFonts w:ascii="Calibri" w:hAnsi="Calibri"/>
                <w:b w:val="0"/>
                <w:color w:val="1F1F1F"/>
                <w:sz w:val="11"/>
              </w:rPr>
              <w:t>Analysis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ADY</w:t>
            </w:r>
          </w:p>
        </w:tc>
        <w:tc>
          <w:tcPr>
            <w:tcW w:type="dxa" w:w="3312"/>
            <w:vAlign w:val="top"/>
          </w:tcPr>
          <w:p>
            <w:pPr>
              <w:spacing w:before="0" w:after="20" w:line="240" w:lineRule="auto"/>
            </w:pPr>
            <w:r/>
            <w:r>
              <w:rPr>
                <w:rFonts w:ascii="Calibri" w:hAnsi="Calibri"/>
                <w:b w:val="0"/>
                <w:color w:val="1F1F1F"/>
                <w:sz w:val="11"/>
              </w:rPr>
              <w:t>Analysis Day</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AVISIT</w:t>
            </w:r>
          </w:p>
        </w:tc>
        <w:tc>
          <w:tcPr>
            <w:tcW w:type="dxa" w:w="3312"/>
            <w:vAlign w:val="top"/>
          </w:tcPr>
          <w:p>
            <w:pPr>
              <w:spacing w:before="0" w:after="20" w:line="240" w:lineRule="auto"/>
            </w:pPr>
            <w:r/>
            <w:r>
              <w:rPr>
                <w:rFonts w:ascii="Calibri" w:hAnsi="Calibri"/>
                <w:b w:val="0"/>
                <w:color w:val="1F1F1F"/>
                <w:sz w:val="11"/>
              </w:rPr>
              <w:t>Analysis Visit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ANL01FL</w:t>
            </w:r>
          </w:p>
        </w:tc>
        <w:tc>
          <w:tcPr>
            <w:tcW w:type="dxa" w:w="3312"/>
            <w:vAlign w:val="top"/>
          </w:tcPr>
          <w:p>
            <w:pPr>
              <w:spacing w:before="0" w:after="20" w:line="240" w:lineRule="auto"/>
            </w:pPr>
            <w:r/>
            <w:r>
              <w:rPr>
                <w:rFonts w:ascii="Calibri" w:hAnsi="Calibri"/>
                <w:b w:val="0"/>
                <w:color w:val="1F1F1F"/>
                <w:sz w:val="11"/>
              </w:rPr>
              <w:t>Analysis Record Flag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ADRS</w:t>
            </w:r>
          </w:p>
        </w:tc>
        <w:tc>
          <w:tcPr>
            <w:tcW w:type="dxa" w:w="1296"/>
            <w:vAlign w:val="top"/>
          </w:tcPr>
          <w:p>
            <w:pPr>
              <w:spacing w:before="0" w:after="20" w:line="240" w:lineRule="auto"/>
            </w:pPr>
            <w:r/>
            <w:r>
              <w:rPr>
                <w:rFonts w:ascii="Calibri" w:hAnsi="Calibri"/>
                <w:b w:val="0"/>
                <w:color w:val="1F1F1F"/>
                <w:sz w:val="11"/>
              </w:rPr>
              <w:t>AVAL</w:t>
            </w:r>
          </w:p>
        </w:tc>
        <w:tc>
          <w:tcPr>
            <w:tcW w:type="dxa" w:w="3312"/>
            <w:vAlign w:val="top"/>
          </w:tcPr>
          <w:p>
            <w:pPr>
              <w:spacing w:before="0" w:after="20" w:line="240" w:lineRule="auto"/>
            </w:pPr>
            <w:r/>
            <w:r>
              <w:rPr>
                <w:rFonts w:ascii="Calibri" w:hAnsi="Calibri"/>
                <w:b w:val="0"/>
                <w:color w:val="1F1F1F"/>
                <w:sz w:val="11"/>
              </w:rPr>
              <w:t>Analysis Value</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STUDYID</w:t>
            </w:r>
          </w:p>
        </w:tc>
        <w:tc>
          <w:tcPr>
            <w:tcW w:type="dxa" w:w="3312"/>
            <w:vAlign w:val="top"/>
          </w:tcPr>
          <w:p>
            <w:pPr>
              <w:spacing w:before="0" w:after="20" w:line="240" w:lineRule="auto"/>
            </w:pPr>
            <w:r/>
            <w:r>
              <w:rPr>
                <w:rFonts w:ascii="Calibri" w:hAnsi="Calibri"/>
                <w:b w:val="0"/>
                <w:color w:val="1F1F1F"/>
                <w:sz w:val="11"/>
              </w:rPr>
              <w:t>Study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Protocol</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USUBJID</w:t>
            </w:r>
          </w:p>
        </w:tc>
        <w:tc>
          <w:tcPr>
            <w:tcW w:type="dxa" w:w="3312"/>
            <w:vAlign w:val="top"/>
          </w:tcPr>
          <w:p>
            <w:pPr>
              <w:spacing w:before="0" w:after="20" w:line="240" w:lineRule="auto"/>
            </w:pPr>
            <w:r/>
            <w:r>
              <w:rPr>
                <w:rFonts w:ascii="Calibri" w:hAnsi="Calibri"/>
                <w:b w:val="0"/>
                <w:color w:val="1F1F1F"/>
                <w:sz w:val="11"/>
              </w:rPr>
              <w:t>Unique Subject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SUBJID</w:t>
            </w:r>
          </w:p>
        </w:tc>
        <w:tc>
          <w:tcPr>
            <w:tcW w:type="dxa" w:w="3312"/>
            <w:vAlign w:val="top"/>
          </w:tcPr>
          <w:p>
            <w:pPr>
              <w:spacing w:before="0" w:after="20" w:line="240" w:lineRule="auto"/>
            </w:pPr>
            <w:r/>
            <w:r>
              <w:rPr>
                <w:rFonts w:ascii="Calibri" w:hAnsi="Calibri"/>
                <w:b w:val="0"/>
                <w:color w:val="1F1F1F"/>
                <w:sz w:val="11"/>
              </w:rPr>
              <w:t>Subject Identifier for the Study</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SITEID</w:t>
            </w:r>
          </w:p>
        </w:tc>
        <w:tc>
          <w:tcPr>
            <w:tcW w:type="dxa" w:w="3312"/>
            <w:vAlign w:val="top"/>
          </w:tcPr>
          <w:p>
            <w:pPr>
              <w:spacing w:before="0" w:after="20" w:line="240" w:lineRule="auto"/>
            </w:pPr>
            <w:r/>
            <w:r>
              <w:rPr>
                <w:rFonts w:ascii="Calibri" w:hAnsi="Calibri"/>
                <w:b w:val="0"/>
                <w:color w:val="1F1F1F"/>
                <w:sz w:val="11"/>
              </w:rPr>
              <w:t>Study Site Identifier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TRT01P</w:t>
            </w:r>
          </w:p>
        </w:tc>
        <w:tc>
          <w:tcPr>
            <w:tcW w:type="dxa" w:w="3312"/>
            <w:vAlign w:val="top"/>
          </w:tcPr>
          <w:p>
            <w:pPr>
              <w:spacing w:before="0" w:after="20" w:line="240" w:lineRule="auto"/>
            </w:pPr>
            <w:r/>
            <w:r>
              <w:rPr>
                <w:rFonts w:ascii="Calibri" w:hAnsi="Calibri"/>
                <w:b w:val="0"/>
                <w:color w:val="1F1F1F"/>
                <w:sz w:val="11"/>
              </w:rPr>
              <w:t>Planned Treatment for Period 01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TRT01PN</w:t>
            </w:r>
          </w:p>
        </w:tc>
        <w:tc>
          <w:tcPr>
            <w:tcW w:type="dxa" w:w="3312"/>
            <w:vAlign w:val="top"/>
          </w:tcPr>
          <w:p>
            <w:pPr>
              <w:spacing w:before="0" w:after="20" w:line="240" w:lineRule="auto"/>
            </w:pPr>
            <w:r/>
            <w:r>
              <w:rPr>
                <w:rFonts w:ascii="Calibri" w:hAnsi="Calibri"/>
                <w:b w:val="0"/>
                <w:color w:val="1F1F1F"/>
                <w:sz w:val="11"/>
              </w:rPr>
              <w:t>Planned Treatment for Period 01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CL.TRT01PN</w:t>
            </w:r>
          </w:p>
        </w:tc>
        <w:tc>
          <w:tcPr>
            <w:tcW w:type="dxa" w:w="1224"/>
            <w:vAlign w:val="top"/>
          </w:tcPr>
          <w:p>
            <w:pPr>
              <w:spacing w:before="0" w:after="20" w:line="240" w:lineRule="auto"/>
            </w:pPr>
            <w:r/>
            <w:r>
              <w:rPr>
                <w:rFonts w:ascii="Calibri" w:hAnsi="Calibri"/>
                <w:b w:val="0"/>
                <w:color w:val="1F1F1F"/>
                <w:sz w:val="11"/>
              </w:rPr>
              <w:t>Assigned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ITTFL</w:t>
            </w:r>
          </w:p>
        </w:tc>
        <w:tc>
          <w:tcPr>
            <w:tcW w:type="dxa" w:w="3312"/>
            <w:vAlign w:val="top"/>
          </w:tcPr>
          <w:p>
            <w:pPr>
              <w:spacing w:before="0" w:after="20" w:line="240" w:lineRule="auto"/>
            </w:pPr>
            <w:r/>
            <w:r>
              <w:rPr>
                <w:rFonts w:ascii="Calibri" w:hAnsi="Calibri"/>
                <w:b w:val="0"/>
                <w:color w:val="1F1F1F"/>
                <w:sz w:val="11"/>
              </w:rPr>
              <w:t>Intent-To-Treat Population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SAFFL</w:t>
            </w:r>
          </w:p>
        </w:tc>
        <w:tc>
          <w:tcPr>
            <w:tcW w:type="dxa" w:w="3312"/>
            <w:vAlign w:val="top"/>
          </w:tcPr>
          <w:p>
            <w:pPr>
              <w:spacing w:before="0" w:after="20" w:line="240" w:lineRule="auto"/>
            </w:pPr>
            <w:r/>
            <w:r>
              <w:rPr>
                <w:rFonts w:ascii="Calibri" w:hAnsi="Calibri"/>
                <w:b w:val="0"/>
                <w:color w:val="1F1F1F"/>
                <w:sz w:val="11"/>
              </w:rPr>
              <w:t>Safety Population Flag</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CL.NY</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PARAMCD</w:t>
            </w:r>
          </w:p>
        </w:tc>
        <w:tc>
          <w:tcPr>
            <w:tcW w:type="dxa" w:w="3312"/>
            <w:vAlign w:val="top"/>
          </w:tcPr>
          <w:p>
            <w:pPr>
              <w:spacing w:before="0" w:after="20" w:line="240" w:lineRule="auto"/>
            </w:pPr>
            <w:r/>
            <w:r>
              <w:rPr>
                <w:rFonts w:ascii="Calibri" w:hAnsi="Calibri"/>
                <w:b w:val="0"/>
                <w:color w:val="1F1F1F"/>
                <w:sz w:val="11"/>
              </w:rPr>
              <w:t>Parameter Code</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CL.PARAMCD</w:t>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PARAM</w:t>
            </w:r>
          </w:p>
        </w:tc>
        <w:tc>
          <w:tcPr>
            <w:tcW w:type="dxa" w:w="3312"/>
            <w:vAlign w:val="top"/>
          </w:tcPr>
          <w:p>
            <w:pPr>
              <w:spacing w:before="0" w:after="20" w:line="240" w:lineRule="auto"/>
            </w:pPr>
            <w:r/>
            <w:r>
              <w:rPr>
                <w:rFonts w:ascii="Calibri" w:hAnsi="Calibri"/>
                <w:b w:val="0"/>
                <w:color w:val="1F1F1F"/>
                <w:sz w:val="11"/>
              </w:rPr>
              <w:t>Parameter</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PARAMN</w:t>
            </w:r>
          </w:p>
        </w:tc>
        <w:tc>
          <w:tcPr>
            <w:tcW w:type="dxa" w:w="3312"/>
            <w:vAlign w:val="top"/>
          </w:tcPr>
          <w:p>
            <w:pPr>
              <w:spacing w:before="0" w:after="20" w:line="240" w:lineRule="auto"/>
            </w:pPr>
            <w:r/>
            <w:r>
              <w:rPr>
                <w:rFonts w:ascii="Calibri" w:hAnsi="Calibri"/>
                <w:b w:val="0"/>
                <w:color w:val="1F1F1F"/>
                <w:sz w:val="11"/>
              </w:rPr>
              <w:t>Parameter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PARCAT1</w:t>
            </w:r>
          </w:p>
        </w:tc>
        <w:tc>
          <w:tcPr>
            <w:tcW w:type="dxa" w:w="3312"/>
            <w:vAlign w:val="top"/>
          </w:tcPr>
          <w:p>
            <w:pPr>
              <w:spacing w:before="0" w:after="20" w:line="240" w:lineRule="auto"/>
            </w:pPr>
            <w:r/>
            <w:r>
              <w:rPr>
                <w:rFonts w:ascii="Calibri" w:hAnsi="Calibri"/>
                <w:b w:val="0"/>
                <w:color w:val="1F1F1F"/>
                <w:sz w:val="11"/>
              </w:rPr>
              <w:t>Parameter Category 1</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STARTDT</w:t>
            </w:r>
          </w:p>
        </w:tc>
        <w:tc>
          <w:tcPr>
            <w:tcW w:type="dxa" w:w="3312"/>
            <w:vAlign w:val="top"/>
          </w:tcPr>
          <w:p>
            <w:pPr>
              <w:spacing w:before="0" w:after="20" w:line="240" w:lineRule="auto"/>
            </w:pPr>
            <w:r/>
            <w:r>
              <w:rPr>
                <w:rFonts w:ascii="Calibri" w:hAnsi="Calibri"/>
                <w:b w:val="0"/>
                <w:color w:val="1F1F1F"/>
                <w:sz w:val="11"/>
              </w:rPr>
              <w:t>Time-to-Event Start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ADT</w:t>
            </w:r>
          </w:p>
        </w:tc>
        <w:tc>
          <w:tcPr>
            <w:tcW w:type="dxa" w:w="3312"/>
            <w:vAlign w:val="top"/>
          </w:tcPr>
          <w:p>
            <w:pPr>
              <w:spacing w:before="0" w:after="20" w:line="240" w:lineRule="auto"/>
            </w:pPr>
            <w:r/>
            <w:r>
              <w:rPr>
                <w:rFonts w:ascii="Calibri" w:hAnsi="Calibri"/>
                <w:b w:val="0"/>
                <w:color w:val="1F1F1F"/>
                <w:sz w:val="11"/>
              </w:rPr>
              <w:t>Analysis Date</w:t>
            </w:r>
          </w:p>
        </w:tc>
        <w:tc>
          <w:tcPr>
            <w:tcW w:type="dxa" w:w="792"/>
            <w:vAlign w:val="top"/>
          </w:tcPr>
          <w:p>
            <w:pPr>
              <w:spacing w:before="0" w:after="20" w:line="240" w:lineRule="auto"/>
            </w:pPr>
            <w:r/>
            <w:r>
              <w:rPr>
                <w:rFonts w:ascii="Calibri" w:hAnsi="Calibri"/>
                <w:b w:val="0"/>
                <w:color w:val="1F1F1F"/>
                <w:sz w:val="11"/>
              </w:rPr>
              <w:t>date</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CNSR</w:t>
            </w:r>
          </w:p>
        </w:tc>
        <w:tc>
          <w:tcPr>
            <w:tcW w:type="dxa" w:w="3312"/>
            <w:vAlign w:val="top"/>
          </w:tcPr>
          <w:p>
            <w:pPr>
              <w:spacing w:before="0" w:after="20" w:line="240" w:lineRule="auto"/>
            </w:pPr>
            <w:r/>
            <w:r>
              <w:rPr>
                <w:rFonts w:ascii="Calibri" w:hAnsi="Calibri"/>
                <w:b w:val="0"/>
                <w:color w:val="1F1F1F"/>
                <w:sz w:val="11"/>
              </w:rPr>
              <w:t>Censor Flag</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t>CL.CNSR</w:t>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EVNTDESC</w:t>
            </w:r>
          </w:p>
        </w:tc>
        <w:tc>
          <w:tcPr>
            <w:tcW w:type="dxa" w:w="3312"/>
            <w:vAlign w:val="top"/>
          </w:tcPr>
          <w:p>
            <w:pPr>
              <w:spacing w:before="0" w:after="20" w:line="240" w:lineRule="auto"/>
            </w:pPr>
            <w:r/>
            <w:r>
              <w:rPr>
                <w:rFonts w:ascii="Calibri" w:hAnsi="Calibri"/>
                <w:b w:val="0"/>
                <w:color w:val="1F1F1F"/>
                <w:sz w:val="11"/>
              </w:rPr>
              <w:t>Event Description</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CNSDTDSC</w:t>
            </w:r>
          </w:p>
        </w:tc>
        <w:tc>
          <w:tcPr>
            <w:tcW w:type="dxa" w:w="3312"/>
            <w:vAlign w:val="top"/>
          </w:tcPr>
          <w:p>
            <w:pPr>
              <w:spacing w:before="0" w:after="20" w:line="240" w:lineRule="auto"/>
            </w:pPr>
            <w:r/>
            <w:r>
              <w:rPr>
                <w:rFonts w:ascii="Calibri" w:hAnsi="Calibri"/>
                <w:b w:val="0"/>
                <w:color w:val="1F1F1F"/>
                <w:sz w:val="11"/>
              </w:rPr>
              <w:t>Censoring Description</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Collected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AVAL</w:t>
            </w:r>
          </w:p>
        </w:tc>
        <w:tc>
          <w:tcPr>
            <w:tcW w:type="dxa" w:w="3312"/>
            <w:vAlign w:val="top"/>
          </w:tcPr>
          <w:p>
            <w:pPr>
              <w:spacing w:before="0" w:after="20" w:line="240" w:lineRule="auto"/>
            </w:pPr>
            <w:r/>
            <w:r>
              <w:rPr>
                <w:rFonts w:ascii="Calibri" w:hAnsi="Calibri"/>
                <w:b w:val="0"/>
                <w:color w:val="1F1F1F"/>
                <w:sz w:val="11"/>
              </w:rPr>
              <w:t>Analysis Value (Days)</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Yes</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ADTTE</w:t>
            </w:r>
          </w:p>
        </w:tc>
        <w:tc>
          <w:tcPr>
            <w:tcW w:type="dxa" w:w="1296"/>
            <w:vAlign w:val="top"/>
          </w:tcPr>
          <w:p>
            <w:pPr>
              <w:spacing w:before="0" w:after="20" w:line="240" w:lineRule="auto"/>
            </w:pPr>
            <w:r/>
            <w:r>
              <w:rPr>
                <w:rFonts w:ascii="Calibri" w:hAnsi="Calibri"/>
                <w:b w:val="0"/>
                <w:color w:val="1F1F1F"/>
                <w:sz w:val="11"/>
              </w:rPr>
              <w:t>AVALU</w:t>
            </w:r>
          </w:p>
        </w:tc>
        <w:tc>
          <w:tcPr>
            <w:tcW w:type="dxa" w:w="3312"/>
            <w:vAlign w:val="top"/>
          </w:tcPr>
          <w:p>
            <w:pPr>
              <w:spacing w:before="0" w:after="20" w:line="240" w:lineRule="auto"/>
            </w:pPr>
            <w:r/>
            <w:r>
              <w:rPr>
                <w:rFonts w:ascii="Calibri" w:hAnsi="Calibri"/>
                <w:b w:val="0"/>
                <w:color w:val="1F1F1F"/>
                <w:sz w:val="11"/>
              </w:rPr>
              <w:t>Analysis Value Unit</w:t>
            </w:r>
          </w:p>
        </w:tc>
        <w:tc>
          <w:tcPr>
            <w:tcW w:type="dxa" w:w="792"/>
            <w:vAlign w:val="top"/>
          </w:tcPr>
          <w:p>
            <w:pPr>
              <w:spacing w:before="0" w:after="20" w:line="240" w:lineRule="auto"/>
            </w:pPr>
            <w:r/>
            <w:r>
              <w:rPr>
                <w:rFonts w:ascii="Calibri" w:hAnsi="Calibri"/>
                <w:b w:val="0"/>
                <w:color w:val="1F1F1F"/>
                <w:sz w:val="11"/>
              </w:rPr>
              <w:t>text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PARAMN</w:t>
            </w:r>
          </w:p>
        </w:tc>
        <w:tc>
          <w:tcPr>
            <w:tcW w:type="dxa" w:w="3312"/>
            <w:vAlign w:val="top"/>
          </w:tcPr>
          <w:p>
            <w:pPr>
              <w:spacing w:before="0" w:after="20" w:line="240" w:lineRule="auto"/>
            </w:pPr>
            <w:r/>
            <w:r>
              <w:rPr>
                <w:rFonts w:ascii="Calibri" w:hAnsi="Calibri"/>
                <w:b w:val="0"/>
                <w:color w:val="1F1F1F"/>
                <w:sz w:val="11"/>
              </w:rPr>
              <w:t>Parameter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r>
        <w:tc>
          <w:tcPr>
            <w:tcW w:type="dxa" w:w="936"/>
            <w:vAlign w:val="top"/>
          </w:tcPr>
          <w:p>
            <w:pPr>
              <w:spacing w:before="0" w:after="20" w:line="240" w:lineRule="auto"/>
            </w:pPr>
            <w:r/>
            <w:r>
              <w:rPr>
                <w:rFonts w:ascii="Calibri" w:hAnsi="Calibri"/>
                <w:b w:val="0"/>
                <w:color w:val="1F1F1F"/>
                <w:sz w:val="11"/>
              </w:rPr>
              <w:t>ADEX</w:t>
            </w:r>
          </w:p>
        </w:tc>
        <w:tc>
          <w:tcPr>
            <w:tcW w:type="dxa" w:w="1296"/>
            <w:vAlign w:val="top"/>
          </w:tcPr>
          <w:p>
            <w:pPr>
              <w:spacing w:before="0" w:after="20" w:line="240" w:lineRule="auto"/>
            </w:pPr>
            <w:r/>
            <w:r>
              <w:rPr>
                <w:rFonts w:ascii="Calibri" w:hAnsi="Calibri"/>
                <w:b w:val="0"/>
                <w:color w:val="1F1F1F"/>
                <w:sz w:val="11"/>
              </w:rPr>
              <w:t>AVISITN</w:t>
            </w:r>
          </w:p>
        </w:tc>
        <w:tc>
          <w:tcPr>
            <w:tcW w:type="dxa" w:w="3312"/>
            <w:vAlign w:val="top"/>
          </w:tcPr>
          <w:p>
            <w:pPr>
              <w:spacing w:before="0" w:after="20" w:line="240" w:lineRule="auto"/>
            </w:pPr>
            <w:r/>
            <w:r>
              <w:rPr>
                <w:rFonts w:ascii="Calibri" w:hAnsi="Calibri"/>
                <w:b w:val="0"/>
                <w:color w:val="1F1F1F"/>
                <w:sz w:val="11"/>
              </w:rPr>
              <w:t>Analysis Visit (N)</w:t>
            </w:r>
          </w:p>
        </w:tc>
        <w:tc>
          <w:tcPr>
            <w:tcW w:type="dxa" w:w="792"/>
            <w:vAlign w:val="top"/>
          </w:tcPr>
          <w:p>
            <w:pPr>
              <w:spacing w:before="0" w:after="20" w:line="240" w:lineRule="auto"/>
            </w:pPr>
            <w:r/>
            <w:r>
              <w:rPr>
                <w:rFonts w:ascii="Calibri" w:hAnsi="Calibri"/>
                <w:b w:val="0"/>
                <w:color w:val="1F1F1F"/>
                <w:sz w:val="11"/>
              </w:rPr>
              <w:t>float</w:t>
            </w:r>
          </w:p>
        </w:tc>
        <w:tc>
          <w:tcPr>
            <w:tcW w:type="dxa" w:w="648"/>
            <w:vAlign w:val="top"/>
          </w:tcPr>
          <w:p>
            <w:pPr>
              <w:spacing w:before="0" w:after="20" w:line="240" w:lineRule="auto"/>
            </w:pPr>
            <w:r/>
            <w:r>
              <w:rPr>
                <w:rFonts w:ascii="Calibri" w:hAnsi="Calibri"/>
                <w:b w:val="0"/>
                <w:color w:val="1F1F1F"/>
                <w:sz w:val="11"/>
              </w:rPr>
              <w:t>No</w:t>
            </w:r>
          </w:p>
        </w:tc>
        <w:tc>
          <w:tcPr>
            <w:tcW w:type="dxa" w:w="1152"/>
            <w:vAlign w:val="top"/>
          </w:tcPr>
          <w:p>
            <w:pPr>
              <w:spacing w:before="0" w:after="20" w:line="240" w:lineRule="auto"/>
            </w:pPr>
            <w:r/>
            <w:r>
              <w:rPr>
                <w:rFonts w:ascii="Calibri" w:hAnsi="Calibri"/>
                <w:b w:val="0"/>
                <w:color w:val="1F1F1F"/>
                <w:sz w:val="11"/>
              </w:rPr>
            </w:r>
          </w:p>
        </w:tc>
        <w:tc>
          <w:tcPr>
            <w:tcW w:type="dxa" w:w="1224"/>
            <w:vAlign w:val="top"/>
          </w:tcPr>
          <w:p>
            <w:pPr>
              <w:spacing w:before="0" w:after="20" w:line="240" w:lineRule="auto"/>
            </w:pPr>
            <w:r/>
            <w:r>
              <w:rPr>
                <w:rFonts w:ascii="Calibri" w:hAnsi="Calibri"/>
                <w:b w:val="0"/>
                <w:color w:val="1F1F1F"/>
                <w:sz w:val="11"/>
              </w:rPr>
              <w:t>Derived</w:t>
            </w:r>
          </w:p>
        </w:tc>
      </w:tr>
    </w:tbl>
    <w:p/>
    <w:p>
      <w:pPr>
        <w:pStyle w:val="Heading1"/>
      </w:pPr>
      <w:r>
        <w:t>Appendix J. Critical audit closure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top"/>
            <w:shd w:fill="1F4E79"/>
          </w:tcPr>
          <w:p>
            <w:pPr>
              <w:spacing w:before="0" w:after="20" w:line="240" w:lineRule="auto"/>
            </w:pPr>
            <w:r/>
            <w:r>
              <w:rPr>
                <w:rFonts w:ascii="Calibri" w:hAnsi="Calibri"/>
                <w:b/>
                <w:color w:val="FFFFFF"/>
                <w:sz w:val="15"/>
              </w:rPr>
              <w:t>Finding</w:t>
            </w:r>
          </w:p>
        </w:tc>
        <w:tc>
          <w:tcPr>
            <w:tcW w:type="dxa" w:w="6840"/>
            <w:vAlign w:val="top"/>
            <w:shd w:fill="1F4E79"/>
          </w:tcPr>
          <w:p>
            <w:pPr>
              <w:spacing w:before="0" w:after="20" w:line="240" w:lineRule="auto"/>
            </w:pPr>
            <w:r/>
            <w:r>
              <w:rPr>
                <w:rFonts w:ascii="Calibri" w:hAnsi="Calibri"/>
                <w:b/>
                <w:color w:val="FFFFFF"/>
                <w:sz w:val="15"/>
              </w:rPr>
              <w:t>Closure evidence required</w:t>
            </w:r>
          </w:p>
        </w:tc>
      </w:tr>
      <w:tr>
        <w:tc>
          <w:tcPr>
            <w:tcW w:type="dxa" w:w="2520"/>
            <w:vAlign w:val="top"/>
          </w:tcPr>
          <w:p>
            <w:pPr>
              <w:spacing w:before="0" w:after="20" w:line="240" w:lineRule="auto"/>
            </w:pPr>
            <w:r/>
            <w:r>
              <w:rPr>
                <w:rFonts w:ascii="Calibri" w:hAnsi="Calibri"/>
                <w:b w:val="0"/>
                <w:color w:val="1F1F1F"/>
                <w:sz w:val="15"/>
              </w:rPr>
              <w:t>F-001 eCTD integrity</w:t>
            </w:r>
          </w:p>
        </w:tc>
        <w:tc>
          <w:tcPr>
            <w:tcW w:type="dxa" w:w="6840"/>
            <w:vAlign w:val="top"/>
          </w:tcPr>
          <w:p>
            <w:pPr>
              <w:spacing w:before="0" w:after="20" w:line="240" w:lineRule="auto"/>
            </w:pPr>
            <w:r/>
            <w:r>
              <w:rPr>
                <w:rFonts w:ascii="Calibri" w:hAnsi="Calibri"/>
                <w:b w:val="0"/>
                <w:color w:val="1F1F1F"/>
                <w:sz w:val="15"/>
              </w:rPr>
              <w:t>Fresh atomic sequence build; no unindexed payloads; all leaves resolve; hashes match current final outputs.</w:t>
            </w:r>
          </w:p>
        </w:tc>
      </w:tr>
      <w:tr>
        <w:tc>
          <w:tcPr>
            <w:tcW w:type="dxa" w:w="2520"/>
            <w:vAlign w:val="top"/>
          </w:tcPr>
          <w:p>
            <w:pPr>
              <w:spacing w:before="0" w:after="20" w:line="240" w:lineRule="auto"/>
            </w:pPr>
            <w:r/>
            <w:r>
              <w:rPr>
                <w:rFonts w:ascii="Calibri" w:hAnsi="Calibri"/>
                <w:b w:val="0"/>
                <w:color w:val="1F1F1F"/>
                <w:sz w:val="15"/>
              </w:rPr>
              <w:t>F-002 SDTM metadata/data drift</w:t>
            </w:r>
          </w:p>
        </w:tc>
        <w:tc>
          <w:tcPr>
            <w:tcW w:type="dxa" w:w="6840"/>
            <w:vAlign w:val="top"/>
          </w:tcPr>
          <w:p>
            <w:pPr>
              <w:spacing w:before="0" w:after="20" w:line="240" w:lineRule="auto"/>
            </w:pPr>
            <w:r/>
            <w:r>
              <w:rPr>
                <w:rFonts w:ascii="Calibri" w:hAnsi="Calibri"/>
                <w:b w:val="0"/>
                <w:color w:val="1F1F1F"/>
                <w:sz w:val="15"/>
              </w:rPr>
              <w:t>Packaged SDTM version matches Define and standards declaration; full dataset/variable reconciliation passes.</w:t>
            </w:r>
          </w:p>
        </w:tc>
      </w:tr>
      <w:tr>
        <w:tc>
          <w:tcPr>
            <w:tcW w:type="dxa" w:w="2520"/>
            <w:vAlign w:val="top"/>
          </w:tcPr>
          <w:p>
            <w:pPr>
              <w:spacing w:before="0" w:after="20" w:line="240" w:lineRule="auto"/>
            </w:pPr>
            <w:r/>
            <w:r>
              <w:rPr>
                <w:rFonts w:ascii="Calibri" w:hAnsi="Calibri"/>
                <w:b w:val="0"/>
                <w:color w:val="1F1F1F"/>
                <w:sz w:val="15"/>
              </w:rPr>
              <w:t>F-003 synthetic data validity</w:t>
            </w:r>
          </w:p>
        </w:tc>
        <w:tc>
          <w:tcPr>
            <w:tcW w:type="dxa" w:w="6840"/>
            <w:vAlign w:val="top"/>
          </w:tcPr>
          <w:p>
            <w:pPr>
              <w:spacing w:before="0" w:after="20" w:line="240" w:lineRule="auto"/>
            </w:pPr>
            <w:r/>
            <w:r>
              <w:rPr>
                <w:rFonts w:ascii="Calibri" w:hAnsi="Calibri"/>
                <w:b w:val="0"/>
                <w:color w:val="1F1F1F"/>
                <w:sz w:val="15"/>
              </w:rPr>
              <w:t>All synthetic-comparator outputs relabeled non-confirmatory or replaced by complete authoritative CbzP IPD analysis.</w:t>
            </w:r>
          </w:p>
        </w:tc>
      </w:tr>
      <w:tr>
        <w:tc>
          <w:tcPr>
            <w:tcW w:type="dxa" w:w="2520"/>
            <w:vAlign w:val="top"/>
          </w:tcPr>
          <w:p>
            <w:pPr>
              <w:spacing w:before="0" w:after="20" w:line="240" w:lineRule="auto"/>
            </w:pPr>
            <w:r/>
            <w:r>
              <w:rPr>
                <w:rFonts w:ascii="Calibri" w:hAnsi="Calibri"/>
                <w:b w:val="0"/>
                <w:color w:val="1F1F1F"/>
                <w:sz w:val="15"/>
              </w:rPr>
              <w:t>F-004 false listing</w:t>
            </w:r>
          </w:p>
        </w:tc>
        <w:tc>
          <w:tcPr>
            <w:tcW w:type="dxa" w:w="6840"/>
            <w:vAlign w:val="top"/>
          </w:tcPr>
          <w:p>
            <w:pPr>
              <w:spacing w:before="0" w:after="20" w:line="240" w:lineRule="auto"/>
            </w:pPr>
            <w:r/>
            <w:r>
              <w:rPr>
                <w:rFonts w:ascii="Calibri" w:hAnsi="Calibri"/>
                <w:b w:val="0"/>
                <w:color w:val="1F1F1F"/>
                <w:sz w:val="15"/>
              </w:rPr>
              <w:t>Placeholder listing removed; discontinuation listing generated from real source/ADaM with independent QC.</w:t>
            </w:r>
          </w:p>
        </w:tc>
      </w:tr>
      <w:tr>
        <w:tc>
          <w:tcPr>
            <w:tcW w:type="dxa" w:w="2520"/>
            <w:vAlign w:val="top"/>
          </w:tcPr>
          <w:p>
            <w:pPr>
              <w:spacing w:before="0" w:after="20" w:line="240" w:lineRule="auto"/>
            </w:pPr>
            <w:r/>
            <w:r>
              <w:rPr>
                <w:rFonts w:ascii="Calibri" w:hAnsi="Calibri"/>
                <w:b w:val="0"/>
                <w:color w:val="1F1F1F"/>
                <w:sz w:val="15"/>
              </w:rPr>
              <w:t>F-005 submission placeholders</w:t>
            </w:r>
          </w:p>
        </w:tc>
        <w:tc>
          <w:tcPr>
            <w:tcW w:type="dxa" w:w="6840"/>
            <w:vAlign w:val="top"/>
          </w:tcPr>
          <w:p>
            <w:pPr>
              <w:spacing w:before="0" w:after="20" w:line="240" w:lineRule="auto"/>
            </w:pPr>
            <w:r/>
            <w:r>
              <w:rPr>
                <w:rFonts w:ascii="Calibri" w:hAnsi="Calibri"/>
                <w:b w:val="0"/>
                <w:color w:val="1F1F1F"/>
                <w:sz w:val="15"/>
              </w:rPr>
              <w:t>Real application metadata and annotated CRF supplied or package generation blocked.</w:t>
            </w:r>
          </w:p>
        </w:tc>
      </w:tr>
    </w:tbl>
    <w:p/>
    <w:sectPr w:rsidR="00FC693F" w:rsidRPr="0006063C" w:rsidSect="00034616">
      <w:headerReference w:type="default" r:id="rId9"/>
      <w:footerReference w:type="default" r:id="rId10"/>
      <w:pgSz w:w="12240" w:h="15840"/>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Confidential clinical programming work product - approval required before submission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TROPIC / EFC6193 SAP v4.0 -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