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2"/>
        </w:rPr>
        <w:t>KATIA BASSO</w:t>
      </w:r>
    </w:p>
    <w:p>
      <w:pPr>
        <w:jc w:val="center"/>
      </w:pPr>
      <w:r>
        <w:rPr>
          <w:rFonts w:ascii="Arial" w:hAnsi="Arial"/>
          <w:b/>
          <w:sz w:val="22"/>
        </w:rPr>
        <w:t>Overview</w:t>
        <w:br/>
      </w:r>
    </w:p>
    <w:p>
      <w:r>
        <w:rPr>
          <w:rFonts w:ascii="Arial" w:hAnsi="Arial"/>
          <w:sz w:val="22"/>
        </w:rPr>
        <w:t>Email: kb451@cumc.columbia.edu</w:t>
        <w:br/>
      </w:r>
    </w:p>
    <w:p>
      <w:r>
        <w:rPr>
          <w:rFonts w:ascii="Arial" w:hAnsi="Arial"/>
          <w:b/>
          <w:sz w:val="22"/>
        </w:rPr>
        <w:t>Academic Appointments</w:t>
      </w:r>
    </w:p>
    <w:p>
      <w:pPr>
        <w:pStyle w:val="ListBullet"/>
      </w:pPr>
      <w:r>
        <w:rPr>
          <w:rFonts w:ascii="Arial" w:hAnsi="Arial"/>
          <w:sz w:val="22"/>
        </w:rPr>
        <w:t>Associate Professor of Pathology &amp; Cell Biology</w:t>
        <w:br/>
      </w:r>
    </w:p>
    <w:p>
      <w:pPr>
        <w:jc w:val="center"/>
      </w:pPr>
      <w:r>
        <w:rPr>
          <w:rFonts w:ascii="Arial" w:hAnsi="Arial"/>
          <w:b/>
          <w:sz w:val="22"/>
        </w:rPr>
        <w:t>Research</w:t>
      </w:r>
    </w:p>
    <w:p>
      <w:r>
        <w:rPr>
          <w:rFonts w:ascii="Arial" w:hAnsi="Arial"/>
          <w:sz w:val="22"/>
        </w:rPr>
        <w:t>Katia Basso studies the process of differentiation of germinal center B cells and the mechanisms of malignant transformation leading to lymphomagenesis. Her interest is in dissecting the transcriptional networks that drive normal B cell differentiation and are hijacked in lymphomas. She integrates omics technologies, molecular and cellular biology, and in-vivo modeling to characterize normal B cells and their malignant counterparts. Her research informs on lymphoma features and dependences that impact diagnostics and therapeutics.</w:t>
        <w:br/>
        <w:br/>
      </w:r>
    </w:p>
    <w:p>
      <w:r>
        <w:rPr>
          <w:rFonts w:ascii="Arial" w:hAnsi="Arial"/>
          <w:b/>
          <w:sz w:val="22"/>
        </w:rPr>
        <w:t>Selected Publications</w:t>
      </w:r>
    </w:p>
    <w:p>
      <w:pPr>
        <w:pStyle w:val="ListNumber"/>
      </w:pPr>
      <w:r>
        <w:rPr>
          <w:rFonts w:ascii="Arial" w:hAnsi="Arial"/>
          <w:b/>
          <w:sz w:val="22"/>
        </w:rPr>
        <w:t>Single-cell analysis of germinal-center B cells informs on lymphoma cell of origin and outcome</w:t>
        <w:br/>
      </w:r>
      <w:r>
        <w:rPr>
          <w:rFonts w:ascii="Arial" w:hAnsi="Arial"/>
          <w:sz w:val="22"/>
        </w:rPr>
        <w:t>Holmes AB, Corinaldesi C, Shen Q, Kumar R, Compagno N, Wang Z, Nitzan M, Grunstein E, Pasqualucci L, Dalla-Favera R, Basso K</w:t>
        <w:br/>
      </w:r>
      <w:r>
        <w:rPr>
          <w:rFonts w:ascii="Arial" w:hAnsi="Arial"/>
          <w:sz w:val="22"/>
        </w:rPr>
        <w:t>J Exp Med. 2020.</w:t>
        <w:br/>
      </w:r>
      <w:r>
        <w:rPr>
          <w:rFonts w:ascii="Arial" w:hAnsi="Arial"/>
          <w:sz w:val="22"/>
        </w:rPr>
        <w:t>PMID: 32603407, DOI: 10.1084/jem.20200483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MEF2B Instructs Germinal Center Development and Acts as an Oncogene in B Cell Lymphomagenesis</w:t>
        <w:br/>
      </w:r>
      <w:r>
        <w:rPr>
          <w:rFonts w:ascii="Arial" w:hAnsi="Arial"/>
          <w:sz w:val="22"/>
        </w:rPr>
        <w:t>Brescia P, Schneider C, Holmes AB, Shen Q, Hussein S, Pasqualucci L, Basso K, Dalla-Favera R</w:t>
        <w:br/>
      </w:r>
      <w:r>
        <w:rPr>
          <w:rFonts w:ascii="Arial" w:hAnsi="Arial"/>
          <w:sz w:val="22"/>
        </w:rPr>
        <w:t>Cancer Cell. 2018.</w:t>
        <w:br/>
      </w:r>
      <w:r>
        <w:rPr>
          <w:rFonts w:ascii="Arial" w:hAnsi="Arial"/>
          <w:sz w:val="22"/>
        </w:rPr>
        <w:t>PMID: 30205047, DOI: 10.1016/j.ccell.2018.08.006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FBXO11 inactivation leads to abnormal germinal-center formation and lymphoproliferative disease</w:t>
        <w:br/>
      </w:r>
      <w:r>
        <w:rPr>
          <w:rFonts w:ascii="Arial" w:hAnsi="Arial"/>
          <w:sz w:val="22"/>
        </w:rPr>
        <w:t>Schneider C, Kon N, Amadori L, Shen Q, Schwartz FH, Tischler B, Bossennec M, Dominguez-Sola D, Bhagat G, Gu W, Basso K, Dalla-Favera R</w:t>
        <w:br/>
      </w:r>
      <w:r>
        <w:rPr>
          <w:rFonts w:ascii="Arial" w:hAnsi="Arial"/>
          <w:sz w:val="22"/>
        </w:rPr>
        <w:t>Blood. 2016.</w:t>
        <w:br/>
      </w:r>
      <w:r>
        <w:rPr>
          <w:rFonts w:ascii="Arial" w:hAnsi="Arial"/>
          <w:sz w:val="22"/>
        </w:rPr>
        <w:t>PMID: 27166359, DOI: 10.1182/blood-2015-11-684357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The FOXO1 Transcription Factor Instructs the Germinal Center Dark Zone Program</w:t>
        <w:br/>
      </w:r>
      <w:r>
        <w:rPr>
          <w:rFonts w:ascii="Arial" w:hAnsi="Arial"/>
          <w:sz w:val="22"/>
        </w:rPr>
        <w:t>Dominguez-Sola D, Kung J, Holmes AB, Wells VA, Mo T, Basso K, Dalla-Favera R</w:t>
        <w:br/>
      </w:r>
      <w:r>
        <w:rPr>
          <w:rFonts w:ascii="Arial" w:hAnsi="Arial"/>
          <w:sz w:val="22"/>
        </w:rPr>
        <w:t>Immunity. 2015.</w:t>
        <w:br/>
      </w:r>
      <w:r>
        <w:rPr>
          <w:rFonts w:ascii="Arial" w:hAnsi="Arial"/>
          <w:sz w:val="22"/>
        </w:rPr>
        <w:t>PMID: 26620759, DOI: 10.1016/j.immuni.2015.10.015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Germinal centres and B cell lymphomagenesis</w:t>
        <w:br/>
      </w:r>
      <w:r>
        <w:rPr>
          <w:rFonts w:ascii="Arial" w:hAnsi="Arial"/>
          <w:sz w:val="22"/>
        </w:rPr>
        <w:t>Basso K, Dalla-Favera R</w:t>
        <w:br/>
      </w:r>
      <w:r>
        <w:rPr>
          <w:rFonts w:ascii="Arial" w:hAnsi="Arial"/>
          <w:sz w:val="22"/>
        </w:rPr>
        <w:t>Nat Rev Immunol. 2015.</w:t>
        <w:br/>
      </w:r>
      <w:r>
        <w:rPr>
          <w:rFonts w:ascii="Arial" w:hAnsi="Arial"/>
          <w:sz w:val="22"/>
        </w:rPr>
        <w:t>PMID: 25712152, DOI: 10.1038/nri3814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MicroRNA 28 controls cell proliferation and is down-regulated in B-cell lymphomas</w:t>
        <w:br/>
      </w:r>
      <w:r>
        <w:rPr>
          <w:rFonts w:ascii="Arial" w:hAnsi="Arial"/>
          <w:sz w:val="22"/>
        </w:rPr>
        <w:t>Schneider C, Setty M, Holmes AB, Maute RL, Leslie CS, Mussolin L, Rosolen A, Dalla-Favera R, Basso K</w:t>
        <w:br/>
      </w:r>
      <w:r>
        <w:rPr>
          <w:rFonts w:ascii="Arial" w:hAnsi="Arial"/>
          <w:sz w:val="22"/>
        </w:rPr>
        <w:t>Proc Natl Acad Sci USA. 2014.</w:t>
        <w:br/>
      </w:r>
      <w:r>
        <w:rPr>
          <w:rFonts w:ascii="Arial" w:hAnsi="Arial"/>
          <w:sz w:val="22"/>
        </w:rPr>
        <w:t>PMID: 24843176, DOI: 10.1073/pnas.1322466111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MEF2B mutations lead to deregulated expression of the oncogene BCL6 in diffuse large B cell lymphoma</w:t>
        <w:br/>
      </w:r>
      <w:r>
        <w:rPr>
          <w:rFonts w:ascii="Arial" w:hAnsi="Arial"/>
          <w:sz w:val="22"/>
        </w:rPr>
        <w:t>Ying CY, Dominguez-Sola D, Fabi M, Lorenz IC, Hussein S, Bansal M, Califano A, Pasqualucci L, Basso K, Dalla-Favera R</w:t>
        <w:br/>
      </w:r>
      <w:r>
        <w:rPr>
          <w:rFonts w:ascii="Arial" w:hAnsi="Arial"/>
          <w:sz w:val="22"/>
        </w:rPr>
        <w:t>Nat Immunol. 2013.</w:t>
        <w:br/>
      </w:r>
      <w:r>
        <w:rPr>
          <w:rFonts w:ascii="Arial" w:hAnsi="Arial"/>
          <w:sz w:val="22"/>
        </w:rPr>
        <w:t>PMID: 23974956, DOI: 10.1038/ni.2688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tRNA-derived microRNA modulates proliferation and the DNA damage response and is down-regulated in B cell lymphoma</w:t>
        <w:br/>
      </w:r>
      <w:r>
        <w:rPr>
          <w:rFonts w:ascii="Arial" w:hAnsi="Arial"/>
          <w:sz w:val="22"/>
        </w:rPr>
        <w:t>Maute RL, Schneider C, Sumazin P, Holmes A, Califano A, Basso K, Dalla-Favera R</w:t>
        <w:br/>
      </w:r>
      <w:r>
        <w:rPr>
          <w:rFonts w:ascii="Arial" w:hAnsi="Arial"/>
          <w:sz w:val="22"/>
        </w:rPr>
        <w:t>Proc Natl Acad Sci USA. 2013.</w:t>
        <w:br/>
      </w:r>
      <w:r>
        <w:rPr>
          <w:rFonts w:ascii="Arial" w:hAnsi="Arial"/>
          <w:sz w:val="22"/>
        </w:rPr>
        <w:t>PMID: 23297232, DOI: 10.1073/pnas.1206761110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BCL6 positively regulates AID and germinal center gene expression via repression of miR-155</w:t>
        <w:br/>
      </w:r>
      <w:r>
        <w:rPr>
          <w:rFonts w:ascii="Arial" w:hAnsi="Arial"/>
          <w:sz w:val="22"/>
        </w:rPr>
        <w:t>Basso K, Schneider C, Shen Q, Holmes AB, Setty M, Leslie C, Dalla-Favera R</w:t>
        <w:br/>
      </w:r>
      <w:r>
        <w:rPr>
          <w:rFonts w:ascii="Arial" w:hAnsi="Arial"/>
          <w:sz w:val="22"/>
        </w:rPr>
        <w:t>J Exp Med. 2012.</w:t>
        <w:br/>
      </w:r>
      <w:r>
        <w:rPr>
          <w:rFonts w:ascii="Arial" w:hAnsi="Arial"/>
          <w:sz w:val="22"/>
        </w:rPr>
        <w:t>PMID: 23166356, DOI: 10.1084/jem.20121387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Roles of BCL6 in normal and transformed germinal center B cells</w:t>
        <w:br/>
      </w:r>
      <w:r>
        <w:rPr>
          <w:rFonts w:ascii="Arial" w:hAnsi="Arial"/>
          <w:sz w:val="22"/>
        </w:rPr>
        <w:t>Basso K, Dalla-Favera R</w:t>
        <w:br/>
      </w:r>
      <w:r>
        <w:rPr>
          <w:rFonts w:ascii="Arial" w:hAnsi="Arial"/>
          <w:sz w:val="22"/>
        </w:rPr>
        <w:t>Immunol Rev. 2012.</w:t>
        <w:br/>
      </w:r>
      <w:r>
        <w:rPr>
          <w:rFonts w:ascii="Arial" w:hAnsi="Arial"/>
          <w:sz w:val="22"/>
        </w:rPr>
        <w:t>PMID: 22500840, DOI: 10.1111/j.1600-065X.2012.01112.x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Integrated biochemical and computational approach identifies BCL6 direct target genes controlling multiple pathways in normal germinal center B cells</w:t>
        <w:br/>
      </w:r>
      <w:r>
        <w:rPr>
          <w:rFonts w:ascii="Arial" w:hAnsi="Arial"/>
          <w:sz w:val="22"/>
        </w:rPr>
        <w:t>Basso K, Saito M, Sumazin P, Margolin AA, Wang K, Lim WK, Kitagawa Y, Schneider C, Alvarez MJ, Califano A, Dalla-Favera R</w:t>
        <w:br/>
      </w:r>
      <w:r>
        <w:rPr>
          <w:rFonts w:ascii="Arial" w:hAnsi="Arial"/>
          <w:sz w:val="22"/>
        </w:rPr>
        <w:t>Blood. 2010.</w:t>
        <w:br/>
      </w:r>
      <w:r>
        <w:rPr>
          <w:rFonts w:ascii="Arial" w:hAnsi="Arial"/>
          <w:sz w:val="22"/>
        </w:rPr>
        <w:t>PMID: 19965633, DOI: 10.1182/blood-2009-06-227017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Toward a systems biology approach to investigate cellular networks in normal and malignant B cells</w:t>
        <w:br/>
      </w:r>
      <w:r>
        <w:rPr>
          <w:rFonts w:ascii="Arial" w:hAnsi="Arial"/>
          <w:sz w:val="22"/>
        </w:rPr>
        <w:t>Basso K</w:t>
        <w:br/>
      </w:r>
      <w:r>
        <w:rPr>
          <w:rFonts w:ascii="Arial" w:hAnsi="Arial"/>
          <w:sz w:val="22"/>
        </w:rPr>
        <w:t>Leukemia. 2009.</w:t>
        <w:br/>
      </w:r>
      <w:r>
        <w:rPr>
          <w:rFonts w:ascii="Arial" w:hAnsi="Arial"/>
          <w:sz w:val="22"/>
        </w:rPr>
        <w:t>PMID: 19194469, DOI: 10.1038/leu.2009.4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Identification of the human mature B cell miRNome</w:t>
        <w:br/>
      </w:r>
      <w:r>
        <w:rPr>
          <w:rFonts w:ascii="Arial" w:hAnsi="Arial"/>
          <w:sz w:val="22"/>
        </w:rPr>
        <w:t>Basso K, Sumazin P, Morozov P, Schneider C, Maute RL, Kitagawa Y, Mandelbaum J, Haddad J, Chen CZ, Califano A, Dalla-Favera R</w:t>
        <w:br/>
      </w:r>
      <w:r>
        <w:rPr>
          <w:rFonts w:ascii="Arial" w:hAnsi="Arial"/>
          <w:sz w:val="22"/>
        </w:rPr>
        <w:t>Immunity. 2009.</w:t>
        <w:br/>
      </w:r>
      <w:r>
        <w:rPr>
          <w:rFonts w:ascii="Arial" w:hAnsi="Arial"/>
          <w:sz w:val="22"/>
        </w:rPr>
        <w:t>PMID: 19446474, DOI: 10.1016/j.immuni.2009.03.017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Reverse engineering of regulatory networks in human B cells</w:t>
        <w:br/>
      </w:r>
      <w:r>
        <w:rPr>
          <w:rFonts w:ascii="Arial" w:hAnsi="Arial"/>
          <w:sz w:val="22"/>
        </w:rPr>
        <w:t>Basso K, Margolin AA, Stolovitzky G, Klein U, Dalla-Favera R, Califano A</w:t>
        <w:br/>
      </w:r>
      <w:r>
        <w:rPr>
          <w:rFonts w:ascii="Arial" w:hAnsi="Arial"/>
          <w:sz w:val="22"/>
        </w:rPr>
        <w:t>Nat Genet. 2005.</w:t>
        <w:br/>
      </w:r>
      <w:r>
        <w:rPr>
          <w:rFonts w:ascii="Arial" w:hAnsi="Arial"/>
          <w:sz w:val="22"/>
        </w:rPr>
        <w:t>PMID: 15778709, DOI: 10.1038/ng1532</w:t>
        <w:br/>
      </w:r>
    </w:p>
    <w:p>
      <w:pPr>
        <w:pStyle w:val="ListNumber"/>
      </w:pPr>
      <w:r>
        <w:rPr>
          <w:rFonts w:ascii="Arial" w:hAnsi="Arial"/>
          <w:b/>
          <w:sz w:val="22"/>
        </w:rPr>
        <w:t>Tracking CD40 signaling during germinal center development</w:t>
        <w:br/>
      </w:r>
      <w:r>
        <w:rPr>
          <w:rFonts w:ascii="Arial" w:hAnsi="Arial"/>
          <w:sz w:val="22"/>
        </w:rPr>
        <w:t>Basso K, Klein U, Niu H, Stolovitzky GA, Tu Y, Califano A, Cattoretti G, Dalla-Favera R</w:t>
        <w:br/>
      </w:r>
      <w:r>
        <w:rPr>
          <w:rFonts w:ascii="Arial" w:hAnsi="Arial"/>
          <w:sz w:val="22"/>
        </w:rPr>
        <w:t>Blood. 2004.</w:t>
        <w:br/>
      </w:r>
      <w:r>
        <w:rPr>
          <w:rFonts w:ascii="Arial" w:hAnsi="Arial"/>
          <w:sz w:val="22"/>
        </w:rPr>
        <w:t>PMID: 15331443, DOI: 10.1182/blood-2003-12-4291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