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RICCARDO DALLA-FAVERA</w:t>
      </w:r>
    </w:p>
    <w:p>
      <w:pPr>
        <w:jc w:val="center"/>
      </w:pPr>
      <w:r>
        <w:rPr>
          <w:rFonts w:ascii="Arial" w:hAnsi="Arial"/>
          <w:b/>
          <w:sz w:val="22"/>
        </w:rPr>
        <w:t>Overview</w:t>
        <w:br/>
      </w:r>
    </w:p>
    <w:p>
      <w:r>
        <w:rPr>
          <w:rFonts w:ascii="Arial" w:hAnsi="Arial"/>
          <w:sz w:val="22"/>
        </w:rPr>
        <w:t>Email: rd10@cumc.columbia.edu</w:t>
        <w:br/>
      </w:r>
    </w:p>
    <w:p>
      <w:r>
        <w:rPr>
          <w:rFonts w:ascii="Arial" w:hAnsi="Arial"/>
          <w:b/>
          <w:sz w:val="22"/>
        </w:rPr>
        <w:t>Academic Appointments</w:t>
      </w:r>
    </w:p>
    <w:p>
      <w:pPr>
        <w:pStyle w:val="ListBullet"/>
      </w:pPr>
      <w:r>
        <w:rPr>
          <w:rFonts w:ascii="Arial" w:hAnsi="Arial"/>
          <w:sz w:val="22"/>
        </w:rPr>
        <w:t>Percy and Joanne Uris Professor of Clinical Medicine</w:t>
      </w:r>
    </w:p>
    <w:p>
      <w:pPr>
        <w:pStyle w:val="ListBullet"/>
      </w:pPr>
      <w:r>
        <w:rPr>
          <w:rFonts w:ascii="Arial" w:hAnsi="Arial"/>
          <w:sz w:val="22"/>
        </w:rPr>
        <w:t>Professor of Pathology &amp; Cell Biology</w:t>
      </w:r>
    </w:p>
    <w:p>
      <w:pPr>
        <w:pStyle w:val="ListBullet"/>
      </w:pPr>
      <w:r>
        <w:rPr>
          <w:rFonts w:ascii="Arial" w:hAnsi="Arial"/>
          <w:sz w:val="22"/>
        </w:rPr>
        <w:t>Professor of Microbiology and Immunology (in the Institute for Cancer Genetics and the Herbert Irving Comprehensive Cancer Center)</w:t>
      </w:r>
    </w:p>
    <w:p>
      <w:r>
        <w:rPr>
          <w:rFonts w:ascii="Arial" w:hAnsi="Arial"/>
          <w:b/>
          <w:sz w:val="22"/>
        </w:rPr>
        <w:t>Administrative Appointments</w:t>
      </w:r>
    </w:p>
    <w:p>
      <w:pPr>
        <w:pStyle w:val="ListBullet"/>
      </w:pPr>
      <w:r>
        <w:rPr>
          <w:rFonts w:ascii="Arial" w:hAnsi="Arial"/>
          <w:sz w:val="22"/>
        </w:rPr>
        <w:t>Director, Institute for Cancer Genetics</w:t>
        <w:br/>
      </w:r>
    </w:p>
    <w:p>
      <w:pPr>
        <w:jc w:val="center"/>
      </w:pPr>
      <w:r>
        <w:rPr>
          <w:rFonts w:ascii="Arial" w:hAnsi="Arial"/>
          <w:b/>
          <w:sz w:val="22"/>
        </w:rPr>
        <w:t>Research</w:t>
      </w:r>
    </w:p>
    <w:p>
      <w:r>
        <w:rPr>
          <w:rFonts w:ascii="Arial" w:hAnsi="Arial"/>
          <w:sz w:val="22"/>
        </w:rPr>
        <w:t>The research program in the Dalla-Favera laboratory is aimed at the identification of the molecular pathogenesis of human B cell malignancies. Functional and structural genomic approaches are used toward the identification of the genetic lesions leading to the transformation of B lymphocytes. The genomic landscape of the tumors is then recapitulated in genetically modified mice in order to construct models for pre-clinical testing of science-based new therapeutic modalities.</w:t>
        <w:br/>
        <w:br/>
      </w:r>
    </w:p>
    <w:p>
      <w:r>
        <w:rPr>
          <w:rFonts w:ascii="Arial" w:hAnsi="Arial"/>
          <w:b/>
          <w:sz w:val="22"/>
        </w:rPr>
        <w:t>Selected Publications</w:t>
      </w:r>
    </w:p>
    <w:p>
      <w:pPr>
        <w:pStyle w:val="ListNumber"/>
      </w:pPr>
      <w:r>
        <w:rPr>
          <w:rFonts w:ascii="Arial" w:hAnsi="Arial"/>
          <w:b/>
          <w:sz w:val="22"/>
        </w:rPr>
        <w:t>Single-cell analysis of germinal-center B cells informs on lymphoma cell of origin and outcome</w:t>
        <w:br/>
      </w:r>
      <w:r>
        <w:rPr>
          <w:rFonts w:ascii="Arial" w:hAnsi="Arial"/>
          <w:sz w:val="22"/>
        </w:rPr>
        <w:t>Holmes AB, Corinaldesi C, Shen Q, Kumar R, Compagno N, Wang Z, Nitzan M, Grunstein E, Pasqualucci L, Dalla-Favera R, Basso K</w:t>
        <w:br/>
      </w:r>
      <w:r>
        <w:rPr>
          <w:rFonts w:ascii="Arial" w:hAnsi="Arial"/>
          <w:sz w:val="22"/>
        </w:rPr>
        <w:t>J Exp Med. 2020.</w:t>
        <w:br/>
      </w:r>
      <w:r>
        <w:rPr>
          <w:rFonts w:ascii="Arial" w:hAnsi="Arial"/>
          <w:sz w:val="22"/>
        </w:rPr>
        <w:t>PMID: 32603407, DOI: 10.1084/jem.20200483</w:t>
        <w:br/>
      </w:r>
    </w:p>
    <w:p>
      <w:pPr>
        <w:pStyle w:val="ListNumber"/>
      </w:pPr>
      <w:r>
        <w:rPr>
          <w:rFonts w:ascii="Arial" w:hAnsi="Arial"/>
          <w:b/>
          <w:sz w:val="22"/>
        </w:rPr>
        <w:t>Chronic lymphocytic leukaemia: from genetics to treatment</w:t>
        <w:br/>
      </w:r>
      <w:r>
        <w:rPr>
          <w:rFonts w:ascii="Arial" w:hAnsi="Arial"/>
          <w:sz w:val="22"/>
        </w:rPr>
        <w:t>Bosch F, Dalla-Favera R</w:t>
        <w:br/>
      </w:r>
      <w:r>
        <w:rPr>
          <w:rFonts w:ascii="Arial" w:hAnsi="Arial"/>
          <w:sz w:val="22"/>
        </w:rPr>
        <w:t>Nat Rev Clin Oncol. 2019.</w:t>
        <w:br/>
      </w:r>
      <w:r>
        <w:rPr>
          <w:rFonts w:ascii="Arial" w:hAnsi="Arial"/>
          <w:sz w:val="22"/>
        </w:rPr>
        <w:t>PMID: 31278397, DOI: 10.1038/s41571-019-0239-8</w:t>
        <w:br/>
      </w:r>
    </w:p>
    <w:p>
      <w:pPr>
        <w:pStyle w:val="ListNumber"/>
      </w:pPr>
      <w:r>
        <w:rPr>
          <w:rFonts w:ascii="Arial" w:hAnsi="Arial"/>
          <w:b/>
          <w:sz w:val="22"/>
        </w:rPr>
        <w:t>Repurposing dasatinib for diffuse large B cell lymphoma</w:t>
        <w:br/>
      </w:r>
      <w:r>
        <w:rPr>
          <w:rFonts w:ascii="Arial" w:hAnsi="Arial"/>
          <w:sz w:val="22"/>
        </w:rPr>
        <w:t>Scuoppo C, Wang J, Persaud M, Mittan SK, Basso K, Pasqualucci L, Rabadan R, Inghirami G, Grandori C, Bosch F, Dalla-Favera R</w:t>
        <w:br/>
      </w:r>
      <w:r>
        <w:rPr>
          <w:rFonts w:ascii="Arial" w:hAnsi="Arial"/>
          <w:sz w:val="22"/>
        </w:rPr>
        <w:t>Proc Natl Acad Sci USA. 2019.</w:t>
        <w:br/>
      </w:r>
      <w:r>
        <w:rPr>
          <w:rFonts w:ascii="Arial" w:hAnsi="Arial"/>
          <w:sz w:val="22"/>
        </w:rPr>
        <w:t>PMID: 31383760, DOI: 10.1073/pnas.1905239116</w:t>
        <w:br/>
      </w:r>
    </w:p>
    <w:p>
      <w:pPr>
        <w:pStyle w:val="ListNumber"/>
      </w:pPr>
      <w:r>
        <w:rPr>
          <w:rFonts w:ascii="Arial" w:hAnsi="Arial"/>
          <w:b/>
          <w:sz w:val="22"/>
        </w:rPr>
        <w:t>MEF2B Instructs Germinal Center Development and Acts as an Oncogene in B Cell Lymphomagenesis</w:t>
        <w:br/>
      </w:r>
      <w:r>
        <w:rPr>
          <w:rFonts w:ascii="Arial" w:hAnsi="Arial"/>
          <w:sz w:val="22"/>
        </w:rPr>
        <w:t>Brescia P, Schneider C, Holmes AB, Shen Q, Hussein S, Pasqualucci L, Basso K, Dalla-Favera R</w:t>
        <w:br/>
      </w:r>
      <w:r>
        <w:rPr>
          <w:rFonts w:ascii="Arial" w:hAnsi="Arial"/>
          <w:sz w:val="22"/>
        </w:rPr>
        <w:t>Cancer Cell. 2018.</w:t>
        <w:br/>
      </w:r>
      <w:r>
        <w:rPr>
          <w:rFonts w:ascii="Arial" w:hAnsi="Arial"/>
          <w:sz w:val="22"/>
        </w:rPr>
        <w:t>PMID: 30205047, DOI: 10.1016/j.ccell.2018.08.006</w:t>
        <w:br/>
      </w:r>
    </w:p>
    <w:p>
      <w:pPr>
        <w:pStyle w:val="ListNumber"/>
      </w:pPr>
      <w:r>
        <w:rPr>
          <w:rFonts w:ascii="Arial" w:hAnsi="Arial"/>
          <w:b/>
          <w:sz w:val="22"/>
        </w:rPr>
        <w:t>Genetics of diffuse large B-cell lymphoma</w:t>
        <w:br/>
      </w:r>
      <w:r>
        <w:rPr>
          <w:rFonts w:ascii="Arial" w:hAnsi="Arial"/>
          <w:sz w:val="22"/>
        </w:rPr>
        <w:t>Pasqualucci L, Dalla-Favera R</w:t>
        <w:br/>
      </w:r>
      <w:r>
        <w:rPr>
          <w:rFonts w:ascii="Arial" w:hAnsi="Arial"/>
          <w:sz w:val="22"/>
        </w:rPr>
        <w:t>Blood. 2018.</w:t>
        <w:br/>
      </w:r>
      <w:r>
        <w:rPr>
          <w:rFonts w:ascii="Arial" w:hAnsi="Arial"/>
          <w:sz w:val="22"/>
        </w:rPr>
        <w:t>PMID: 29666115, DOI: 10.1182/blood-2017-11-764332</w:t>
        <w:br/>
      </w:r>
    </w:p>
    <w:p>
      <w:pPr>
        <w:pStyle w:val="ListNumber"/>
      </w:pPr>
      <w:r>
        <w:rPr>
          <w:rFonts w:ascii="Arial" w:hAnsi="Arial"/>
          <w:b/>
          <w:sz w:val="22"/>
        </w:rPr>
        <w:t>The molecular pathogenesis of chronic lymphocytic leukaemia</w:t>
        <w:br/>
      </w:r>
      <w:r>
        <w:rPr>
          <w:rFonts w:ascii="Arial" w:hAnsi="Arial"/>
          <w:sz w:val="22"/>
        </w:rPr>
        <w:t>Fabbri G, Dalla-Favera R</w:t>
        <w:br/>
      </w:r>
      <w:r>
        <w:rPr>
          <w:rFonts w:ascii="Arial" w:hAnsi="Arial"/>
          <w:sz w:val="22"/>
        </w:rPr>
        <w:t>Nat Rev Cancer. 2016.</w:t>
        <w:br/>
      </w:r>
      <w:r>
        <w:rPr>
          <w:rFonts w:ascii="Arial" w:hAnsi="Arial"/>
          <w:sz w:val="22"/>
        </w:rPr>
        <w:t>PMID: 26911189, DOI: 10.1038/nrc.2016.8</w:t>
        <w:br/>
      </w:r>
    </w:p>
    <w:p>
      <w:pPr>
        <w:pStyle w:val="ListNumber"/>
      </w:pPr>
      <w:r>
        <w:rPr>
          <w:rFonts w:ascii="Arial" w:hAnsi="Arial"/>
          <w:b/>
          <w:sz w:val="22"/>
        </w:rPr>
        <w:t>Disruption of KMT2D perturbs germinal center B cell development and promotes lymphomagenesis</w:t>
        <w:br/>
      </w:r>
      <w:r>
        <w:rPr>
          <w:rFonts w:ascii="Arial" w:hAnsi="Arial"/>
          <w:sz w:val="22"/>
        </w:rPr>
        <w:t>Zhang J, Dominguez-Sola D, Hussein S, Lee JE, Holmes AB, Bansal M, Vlasevska S, Mo T, Tang H, Basso K, Ge K, Dalla-Favera R, Pasqualucci L</w:t>
        <w:br/>
      </w:r>
      <w:r>
        <w:rPr>
          <w:rFonts w:ascii="Arial" w:hAnsi="Arial"/>
          <w:sz w:val="22"/>
        </w:rPr>
        <w:t>Nat Med. 2015.</w:t>
        <w:br/>
      </w:r>
      <w:r>
        <w:rPr>
          <w:rFonts w:ascii="Arial" w:hAnsi="Arial"/>
          <w:sz w:val="22"/>
        </w:rPr>
        <w:t>PMID: 26366712, DOI: 10.1038/nm.3940</w:t>
        <w:br/>
      </w:r>
    </w:p>
    <w:p>
      <w:pPr>
        <w:pStyle w:val="ListNumber"/>
      </w:pPr>
      <w:r>
        <w:rPr>
          <w:rFonts w:ascii="Arial" w:hAnsi="Arial"/>
          <w:b/>
          <w:sz w:val="22"/>
        </w:rPr>
        <w:t>Germinal centres and B cell lymphomagenesis</w:t>
        <w:br/>
      </w:r>
      <w:r>
        <w:rPr>
          <w:rFonts w:ascii="Arial" w:hAnsi="Arial"/>
          <w:sz w:val="22"/>
        </w:rPr>
        <w:t>Basso K, Dalla-Favera R</w:t>
        <w:br/>
      </w:r>
      <w:r>
        <w:rPr>
          <w:rFonts w:ascii="Arial" w:hAnsi="Arial"/>
          <w:sz w:val="22"/>
        </w:rPr>
        <w:t>Nat Rev Immunol. 2015.</w:t>
        <w:br/>
      </w:r>
      <w:r>
        <w:rPr>
          <w:rFonts w:ascii="Arial" w:hAnsi="Arial"/>
          <w:sz w:val="22"/>
        </w:rPr>
        <w:t>PMID: 25712152, DOI: 10.1038/nri3814</w:t>
        <w:br/>
      </w:r>
    </w:p>
    <w:p>
      <w:pPr>
        <w:pStyle w:val="ListNumber"/>
      </w:pPr>
      <w:r>
        <w:rPr>
          <w:rFonts w:ascii="Arial" w:hAnsi="Arial"/>
          <w:b/>
          <w:sz w:val="22"/>
        </w:rPr>
        <w:t>MEF2B mutations lead to deregulated expression of the oncogene BCL6 in diffuse large B cell lymphoma</w:t>
        <w:br/>
      </w:r>
      <w:r>
        <w:rPr>
          <w:rFonts w:ascii="Arial" w:hAnsi="Arial"/>
          <w:sz w:val="22"/>
        </w:rPr>
        <w:t>Ying CY, Dominguez-Sola D, Fabi M, Lorenz IC, Hussein S, Bansal M, Califano A, Pasqualucci L, Basso K, Dalla-Favera R</w:t>
        <w:br/>
      </w:r>
      <w:r>
        <w:rPr>
          <w:rFonts w:ascii="Arial" w:hAnsi="Arial"/>
          <w:sz w:val="22"/>
        </w:rPr>
        <w:t>Nat Immunol. 2013.</w:t>
        <w:br/>
      </w:r>
      <w:r>
        <w:rPr>
          <w:rFonts w:ascii="Arial" w:hAnsi="Arial"/>
          <w:sz w:val="22"/>
        </w:rPr>
        <w:t>PMID: 23974956, DOI: 10.1038/ni.2688</w:t>
        <w:br/>
      </w:r>
    </w:p>
    <w:p>
      <w:pPr>
        <w:pStyle w:val="ListNumber"/>
      </w:pPr>
      <w:r>
        <w:rPr>
          <w:rFonts w:ascii="Arial" w:hAnsi="Arial"/>
          <w:b/>
          <w:sz w:val="22"/>
        </w:rPr>
        <w:t>Combined genetic inactivation of β2-Microglobulin and CD58 reveals frequent escape from immune recognition in diffuse large B cell lymphoma</w:t>
        <w:br/>
      </w:r>
      <w:r>
        <w:rPr>
          <w:rFonts w:ascii="Arial" w:hAnsi="Arial"/>
          <w:sz w:val="22"/>
        </w:rPr>
        <w:t>Challa-Malladi M, Lieu YK, Califano O, Holmes AB, Bhagat G, Murty VV, Dominguez-Sola D, Pasqualucci L, Dalla-Favera R</w:t>
        <w:br/>
      </w:r>
      <w:r>
        <w:rPr>
          <w:rFonts w:ascii="Arial" w:hAnsi="Arial"/>
          <w:sz w:val="22"/>
        </w:rPr>
        <w:t>Cancer Cell. 2011.</w:t>
        <w:br/>
      </w:r>
      <w:r>
        <w:rPr>
          <w:rFonts w:ascii="Arial" w:hAnsi="Arial"/>
          <w:sz w:val="22"/>
        </w:rPr>
        <w:t>PMID: 22137796, DOI: 10.1016/j.ccr.2011.11.006</w:t>
        <w:br/>
      </w:r>
    </w:p>
    <w:p>
      <w:pPr>
        <w:pStyle w:val="ListNumber"/>
      </w:pPr>
      <w:r>
        <w:rPr>
          <w:rFonts w:ascii="Arial" w:hAnsi="Arial"/>
          <w:b/>
          <w:sz w:val="22"/>
        </w:rPr>
        <w:t>Analysis of the coding genome of diffuse large B-cell lymphoma</w:t>
        <w:br/>
      </w:r>
      <w:r>
        <w:rPr>
          <w:rFonts w:ascii="Arial" w:hAnsi="Arial"/>
          <w:sz w:val="22"/>
        </w:rPr>
        <w:t>Pasqualucci L, Trifonov V, Fabbri G, Ma J, Rossi D, Chiarenza A, Wells VA, Grunn A, Messina M, Elliot O, Chan J, Bhagat G, Chadburn A, Gaidano G, Mullighan CG, Rabadan R, Dalla-Favera R</w:t>
        <w:br/>
      </w:r>
      <w:r>
        <w:rPr>
          <w:rFonts w:ascii="Arial" w:hAnsi="Arial"/>
          <w:sz w:val="22"/>
        </w:rPr>
        <w:t>Nat Genet. 2011.</w:t>
        <w:br/>
      </w:r>
      <w:r>
        <w:rPr>
          <w:rFonts w:ascii="Arial" w:hAnsi="Arial"/>
          <w:sz w:val="22"/>
        </w:rPr>
        <w:t>PMID: 21804550, DOI: 10.1038/ng.892</w:t>
        <w:br/>
      </w:r>
    </w:p>
    <w:p>
      <w:pPr>
        <w:pStyle w:val="ListNumber"/>
      </w:pPr>
      <w:r>
        <w:rPr>
          <w:rFonts w:ascii="Arial" w:hAnsi="Arial"/>
          <w:b/>
          <w:sz w:val="22"/>
        </w:rPr>
        <w:t>Inactivating mutations of acetyltransferase genes in B-cell lymphoma</w:t>
        <w:br/>
      </w:r>
      <w:r>
        <w:rPr>
          <w:rFonts w:ascii="Arial" w:hAnsi="Arial"/>
          <w:sz w:val="22"/>
        </w:rPr>
        <w:t>Pasqualucci L, Dominguez-Sola D, Chiarenza A, Fabbri G, Grunn A, Trifonov V, Kasper LH, Lerach S, Tang H, Ma J, Rossi D, Chadburn A, Murty VV, Mullighan CG, Gaidano G, Rabadan R, Brindle PK, Dalla-Favera R</w:t>
        <w:br/>
      </w:r>
      <w:r>
        <w:rPr>
          <w:rFonts w:ascii="Arial" w:hAnsi="Arial"/>
          <w:sz w:val="22"/>
        </w:rPr>
        <w:t>Nature. 2011.</w:t>
        <w:br/>
      </w:r>
      <w:r>
        <w:rPr>
          <w:rFonts w:ascii="Arial" w:hAnsi="Arial"/>
          <w:sz w:val="22"/>
        </w:rPr>
        <w:t>PMID: 21390126, DOI: 10.1038/nature09730</w:t>
        <w:br/>
      </w:r>
    </w:p>
    <w:p>
      <w:pPr>
        <w:pStyle w:val="ListNumber"/>
      </w:pPr>
      <w:r>
        <w:rPr>
          <w:rFonts w:ascii="Arial" w:hAnsi="Arial"/>
          <w:b/>
          <w:sz w:val="22"/>
        </w:rPr>
        <w:t>BLIMP1 is a tumor suppressor gene frequently disrupted in activated B cell-like diffuse large B cell lymphoma</w:t>
        <w:br/>
      </w:r>
      <w:r>
        <w:rPr>
          <w:rFonts w:ascii="Arial" w:hAnsi="Arial"/>
          <w:sz w:val="22"/>
        </w:rPr>
        <w:t>Mandelbaum J, Bhagat G, Tang H, Mo T, Brahmachary M, Shen Q, Chadburn A, Rajewsky K, Tarakhovsky A, Pasqualucci L, Dalla-Favera R</w:t>
        <w:br/>
      </w:r>
      <w:r>
        <w:rPr>
          <w:rFonts w:ascii="Arial" w:hAnsi="Arial"/>
          <w:sz w:val="22"/>
        </w:rPr>
        <w:t>Cancer Cell. 2010.</w:t>
        <w:br/>
      </w:r>
      <w:r>
        <w:rPr>
          <w:rFonts w:ascii="Arial" w:hAnsi="Arial"/>
          <w:sz w:val="22"/>
        </w:rPr>
        <w:t>PMID: 21156281, DOI: 10.1016/j.ccr.2010.10.030</w:t>
        <w:br/>
      </w:r>
    </w:p>
    <w:p>
      <w:pPr>
        <w:pStyle w:val="ListNumber"/>
      </w:pPr>
      <w:r>
        <w:rPr>
          <w:rFonts w:ascii="Arial" w:hAnsi="Arial"/>
          <w:b/>
          <w:sz w:val="22"/>
        </w:rPr>
        <w:t>Alterations of a zinc finger-encoding gene, BCL-6, in diffuse large-cell lymphoma</w:t>
        <w:br/>
      </w:r>
      <w:r>
        <w:rPr>
          <w:rFonts w:ascii="Arial" w:hAnsi="Arial"/>
          <w:sz w:val="22"/>
        </w:rPr>
        <w:t>Ye BH, Lista F, Lo Coco F, Knowles DM, Offit K, Chaganti RS, Dalla-Favera R</w:t>
        <w:br/>
      </w:r>
      <w:r>
        <w:rPr>
          <w:rFonts w:ascii="Arial" w:hAnsi="Arial"/>
          <w:sz w:val="22"/>
        </w:rPr>
        <w:t>Science. 1993.</w:t>
        <w:br/>
      </w:r>
      <w:r>
        <w:rPr>
          <w:rFonts w:ascii="Arial" w:hAnsi="Arial"/>
          <w:sz w:val="22"/>
        </w:rPr>
        <w:t>PMID: 8235596, DOI: 10.1126/science.8235596</w:t>
        <w:br/>
      </w:r>
    </w:p>
    <w:p>
      <w:pPr>
        <w:pStyle w:val="ListNumber"/>
      </w:pPr>
      <w:r>
        <w:rPr>
          <w:rFonts w:ascii="Arial" w:hAnsi="Arial"/>
          <w:b/>
          <w:sz w:val="22"/>
        </w:rPr>
        <w:t>Identification of reciprocal translocation sites within the c-myc oncogene and immunoglobulin mu locus in a Burkitt lymphoma</w:t>
        <w:br/>
      </w:r>
      <w:r>
        <w:rPr>
          <w:rFonts w:ascii="Arial" w:hAnsi="Arial"/>
          <w:sz w:val="22"/>
        </w:rPr>
        <w:t>Gelmann EP, Psallidopoulos MC, Papas TS, Dalla-Favera R</w:t>
        <w:br/>
      </w:r>
      <w:r>
        <w:rPr>
          <w:rFonts w:ascii="Arial" w:hAnsi="Arial"/>
          <w:sz w:val="22"/>
        </w:rPr>
        <w:t>Nature. 1983.</w:t>
        <w:br/>
      </w:r>
      <w:r>
        <w:rPr>
          <w:rFonts w:ascii="Arial" w:hAnsi="Arial"/>
          <w:sz w:val="22"/>
        </w:rPr>
        <w:t>PMID: 6419123, DOI: 10.1038/306799a0</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