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4336E" w14:textId="77777777" w:rsidR="00171631" w:rsidRDefault="00462D1B" w:rsidP="00707D7A">
      <w:pPr>
        <w:jc w:val="center"/>
        <w:rPr>
          <w:b/>
        </w:rPr>
      </w:pPr>
      <w:r>
        <w:rPr>
          <w:b/>
          <w:noProof/>
          <w:lang w:eastAsia="en-GB"/>
        </w:rPr>
        <w:drawing>
          <wp:inline distT="0" distB="0" distL="0" distR="0" wp14:anchorId="25FCDC51" wp14:editId="709CCF0A">
            <wp:extent cx="2257425" cy="885825"/>
            <wp:effectExtent l="0" t="0" r="9525" b="9525"/>
            <wp:docPr id="1" name="Picture 1"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4B25F959" w14:textId="77777777" w:rsidR="00171631" w:rsidRDefault="00171631">
      <w:pPr>
        <w:rPr>
          <w:b/>
        </w:rPr>
      </w:pPr>
    </w:p>
    <w:p w14:paraId="0ADBA4E0" w14:textId="77777777" w:rsidR="002F3FE6" w:rsidRPr="00462D1B" w:rsidRDefault="002F3FE6" w:rsidP="00707D7A">
      <w:pPr>
        <w:jc w:val="center"/>
        <w:rPr>
          <w:b/>
          <w:color w:val="215868" w:themeColor="accent5" w:themeShade="80"/>
        </w:rPr>
      </w:pPr>
    </w:p>
    <w:p w14:paraId="2750DB2D" w14:textId="77777777" w:rsidR="006D3C74" w:rsidRPr="00462D1B" w:rsidRDefault="00707D7A" w:rsidP="00707D7A">
      <w:pPr>
        <w:jc w:val="center"/>
        <w:rPr>
          <w:rFonts w:ascii="Verdana" w:hAnsi="Verdana"/>
          <w:b/>
          <w:color w:val="215868" w:themeColor="accent5" w:themeShade="80"/>
          <w:sz w:val="28"/>
          <w:szCs w:val="28"/>
        </w:rPr>
      </w:pPr>
      <w:r w:rsidRPr="00462D1B">
        <w:rPr>
          <w:rFonts w:ascii="Verdana" w:hAnsi="Verdana"/>
          <w:b/>
          <w:color w:val="215868" w:themeColor="accent5" w:themeShade="80"/>
          <w:sz w:val="28"/>
          <w:szCs w:val="28"/>
        </w:rPr>
        <w:t xml:space="preserve">DIY </w:t>
      </w:r>
      <w:r w:rsidR="006D3C74" w:rsidRPr="00462D1B">
        <w:rPr>
          <w:rFonts w:ascii="Verdana" w:hAnsi="Verdana"/>
          <w:b/>
          <w:color w:val="215868" w:themeColor="accent5" w:themeShade="80"/>
          <w:sz w:val="28"/>
          <w:szCs w:val="28"/>
        </w:rPr>
        <w:t xml:space="preserve">Accounting </w:t>
      </w:r>
      <w:r w:rsidR="003B595D">
        <w:rPr>
          <w:rFonts w:ascii="Verdana" w:hAnsi="Verdana"/>
          <w:b/>
          <w:color w:val="215868" w:themeColor="accent5" w:themeShade="80"/>
          <w:sz w:val="28"/>
          <w:szCs w:val="28"/>
        </w:rPr>
        <w:t xml:space="preserve">CT600 </w:t>
      </w:r>
      <w:r w:rsidR="0088262E" w:rsidRPr="00462D1B">
        <w:rPr>
          <w:rFonts w:ascii="Verdana" w:hAnsi="Verdana"/>
          <w:b/>
          <w:color w:val="215868" w:themeColor="accent5" w:themeShade="80"/>
          <w:sz w:val="28"/>
          <w:szCs w:val="28"/>
        </w:rPr>
        <w:t>User Guide</w:t>
      </w:r>
    </w:p>
    <w:p w14:paraId="63F510DB" w14:textId="77777777" w:rsidR="00152EE0" w:rsidRPr="00462D1B" w:rsidRDefault="00152EE0" w:rsidP="00195736">
      <w:pPr>
        <w:rPr>
          <w:rFonts w:ascii="Arial" w:hAnsi="Arial" w:cs="Arial"/>
          <w:b/>
          <w:color w:val="31849B" w:themeColor="accent5" w:themeShade="BF"/>
          <w:sz w:val="20"/>
          <w:szCs w:val="20"/>
        </w:rPr>
      </w:pPr>
    </w:p>
    <w:p w14:paraId="4B9494A6" w14:textId="77777777" w:rsidR="006F3E20" w:rsidRPr="00145B20" w:rsidRDefault="006F3E20" w:rsidP="00195736">
      <w:pPr>
        <w:rPr>
          <w:rFonts w:ascii="Arial" w:hAnsi="Arial" w:cs="Arial"/>
          <w:b/>
          <w:sz w:val="20"/>
          <w:szCs w:val="20"/>
        </w:rPr>
      </w:pP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p>
    <w:p w14:paraId="1E177E25" w14:textId="77777777" w:rsidR="00195736" w:rsidRPr="00145B20" w:rsidRDefault="00195736">
      <w:pPr>
        <w:rPr>
          <w:rFonts w:ascii="Arial" w:hAnsi="Arial" w:cs="Arial"/>
          <w:sz w:val="20"/>
          <w:szCs w:val="20"/>
        </w:rPr>
      </w:pPr>
    </w:p>
    <w:p w14:paraId="064F231E" w14:textId="77777777" w:rsidR="00145B20" w:rsidRPr="00145B20" w:rsidRDefault="00145B20">
      <w:pPr>
        <w:rPr>
          <w:rFonts w:ascii="Arial" w:hAnsi="Arial" w:cs="Arial"/>
          <w:b/>
          <w:sz w:val="20"/>
          <w:szCs w:val="20"/>
        </w:rPr>
      </w:pPr>
      <w:r w:rsidRPr="00145B20">
        <w:rPr>
          <w:rFonts w:ascii="Arial" w:hAnsi="Arial" w:cs="Arial"/>
          <w:b/>
          <w:sz w:val="20"/>
          <w:szCs w:val="20"/>
        </w:rPr>
        <w:t>Introduction</w:t>
      </w:r>
    </w:p>
    <w:p w14:paraId="2502E8ED" w14:textId="77777777" w:rsidR="003B595D" w:rsidRDefault="003B595D">
      <w:pPr>
        <w:rPr>
          <w:rFonts w:ascii="Arial" w:hAnsi="Arial" w:cs="Arial"/>
          <w:sz w:val="20"/>
          <w:szCs w:val="20"/>
        </w:rPr>
      </w:pPr>
    </w:p>
    <w:p w14:paraId="7BAE9A52" w14:textId="77777777" w:rsidR="003B595D" w:rsidRDefault="003B595D">
      <w:pPr>
        <w:rPr>
          <w:rFonts w:ascii="Arial" w:hAnsi="Arial" w:cs="Arial"/>
          <w:sz w:val="20"/>
          <w:szCs w:val="20"/>
        </w:rPr>
      </w:pPr>
      <w:r>
        <w:rPr>
          <w:rFonts w:ascii="Arial" w:hAnsi="Arial" w:cs="Arial"/>
          <w:sz w:val="20"/>
          <w:szCs w:val="20"/>
        </w:rPr>
        <w:t xml:space="preserve">This is our supplemental file to assist customers when filing their accounts online. The file </w:t>
      </w:r>
      <w:r w:rsidRPr="003B595D">
        <w:rPr>
          <w:rFonts w:ascii="Courier New" w:hAnsi="Courier New" w:cs="Courier New"/>
          <w:sz w:val="20"/>
          <w:szCs w:val="20"/>
        </w:rPr>
        <w:t>CT600OnlineLookALike</w:t>
      </w:r>
      <w:r>
        <w:rPr>
          <w:rFonts w:ascii="Arial" w:hAnsi="Arial" w:cs="Arial"/>
          <w:sz w:val="20"/>
          <w:szCs w:val="20"/>
        </w:rPr>
        <w:t xml:space="preserve"> extracts information from the rest of the company package and presents this is the same format as HMRC’s online filing PDF. </w:t>
      </w:r>
    </w:p>
    <w:p w14:paraId="74632DE7" w14:textId="77777777" w:rsidR="003B595D" w:rsidRDefault="003B595D">
      <w:pPr>
        <w:rPr>
          <w:rFonts w:ascii="Arial" w:hAnsi="Arial" w:cs="Arial"/>
          <w:sz w:val="20"/>
          <w:szCs w:val="20"/>
        </w:rPr>
      </w:pPr>
    </w:p>
    <w:p w14:paraId="1BE4E956" w14:textId="77777777" w:rsidR="003B595D" w:rsidRDefault="003B595D">
      <w:pPr>
        <w:rPr>
          <w:rFonts w:ascii="Arial" w:hAnsi="Arial" w:cs="Arial"/>
          <w:sz w:val="20"/>
          <w:szCs w:val="20"/>
        </w:rPr>
      </w:pPr>
      <w:r>
        <w:rPr>
          <w:rFonts w:ascii="Arial" w:hAnsi="Arial" w:cs="Arial"/>
          <w:sz w:val="20"/>
          <w:szCs w:val="20"/>
        </w:rPr>
        <w:t>You should already have purchased a copy of DIY Accounting’s Company Accounts package, otherwise the look-a-like file will not be useful to you.</w:t>
      </w:r>
    </w:p>
    <w:p w14:paraId="37D849CE" w14:textId="77777777" w:rsidR="003B595D" w:rsidRDefault="003B595D">
      <w:pPr>
        <w:rPr>
          <w:rFonts w:ascii="Arial" w:hAnsi="Arial" w:cs="Arial"/>
          <w:sz w:val="20"/>
          <w:szCs w:val="20"/>
        </w:rPr>
      </w:pPr>
    </w:p>
    <w:p w14:paraId="7F943B33" w14:textId="77777777" w:rsidR="003B595D" w:rsidRDefault="003B595D">
      <w:pPr>
        <w:rPr>
          <w:rFonts w:ascii="Arial" w:hAnsi="Arial" w:cs="Arial"/>
          <w:sz w:val="20"/>
          <w:szCs w:val="20"/>
        </w:rPr>
      </w:pPr>
    </w:p>
    <w:p w14:paraId="74B00BC9" w14:textId="77777777" w:rsidR="003B595D" w:rsidRPr="00145B20" w:rsidRDefault="003B595D" w:rsidP="003B595D">
      <w:pPr>
        <w:rPr>
          <w:rFonts w:ascii="Arial" w:hAnsi="Arial" w:cs="Arial"/>
          <w:b/>
          <w:sz w:val="20"/>
          <w:szCs w:val="20"/>
        </w:rPr>
      </w:pPr>
      <w:r>
        <w:rPr>
          <w:rFonts w:ascii="Arial" w:hAnsi="Arial" w:cs="Arial"/>
          <w:b/>
          <w:sz w:val="20"/>
          <w:szCs w:val="20"/>
        </w:rPr>
        <w:t>Adding the CT600 online filing aid to your existing package</w:t>
      </w:r>
    </w:p>
    <w:p w14:paraId="20C10C64" w14:textId="77777777" w:rsidR="003B595D" w:rsidRDefault="003B595D">
      <w:pPr>
        <w:rPr>
          <w:rFonts w:ascii="Arial" w:hAnsi="Arial" w:cs="Arial"/>
          <w:sz w:val="20"/>
          <w:szCs w:val="20"/>
        </w:rPr>
      </w:pPr>
    </w:p>
    <w:p w14:paraId="2905213C" w14:textId="77777777" w:rsidR="003B595D" w:rsidRDefault="003B595D" w:rsidP="003B595D">
      <w:pPr>
        <w:rPr>
          <w:rFonts w:ascii="Arial" w:hAnsi="Arial" w:cs="Arial"/>
          <w:sz w:val="20"/>
          <w:szCs w:val="20"/>
        </w:rPr>
      </w:pPr>
      <w:r w:rsidRPr="003B595D">
        <w:rPr>
          <w:rFonts w:ascii="Arial" w:hAnsi="Arial" w:cs="Arial"/>
          <w:sz w:val="20"/>
          <w:szCs w:val="20"/>
        </w:rPr>
        <w:t xml:space="preserve">To add </w:t>
      </w:r>
      <w:r>
        <w:rPr>
          <w:rFonts w:ascii="Arial" w:hAnsi="Arial" w:cs="Arial"/>
          <w:sz w:val="20"/>
          <w:szCs w:val="20"/>
        </w:rPr>
        <w:t xml:space="preserve">the online filing aid </w:t>
      </w:r>
      <w:r w:rsidRPr="003B595D">
        <w:rPr>
          <w:rFonts w:ascii="Arial" w:hAnsi="Arial" w:cs="Arial"/>
          <w:sz w:val="20"/>
          <w:szCs w:val="20"/>
        </w:rPr>
        <w:t xml:space="preserve">to your </w:t>
      </w:r>
      <w:r>
        <w:rPr>
          <w:rFonts w:ascii="Arial" w:hAnsi="Arial" w:cs="Arial"/>
          <w:sz w:val="20"/>
          <w:szCs w:val="20"/>
        </w:rPr>
        <w:t xml:space="preserve">existing </w:t>
      </w:r>
      <w:r w:rsidRPr="003B595D">
        <w:rPr>
          <w:rFonts w:ascii="Arial" w:hAnsi="Arial" w:cs="Arial"/>
          <w:sz w:val="20"/>
          <w:szCs w:val="20"/>
        </w:rPr>
        <w:t>package:</w:t>
      </w:r>
    </w:p>
    <w:p w14:paraId="44D8CA85" w14:textId="77777777" w:rsidR="003B595D" w:rsidRPr="003B595D" w:rsidRDefault="003B595D" w:rsidP="003B595D">
      <w:pPr>
        <w:rPr>
          <w:rFonts w:ascii="Arial" w:hAnsi="Arial" w:cs="Arial"/>
          <w:sz w:val="20"/>
          <w:szCs w:val="20"/>
        </w:rPr>
      </w:pPr>
    </w:p>
    <w:p w14:paraId="4BDE3458" w14:textId="77777777"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Backup your existing Company Account’s package</w:t>
      </w:r>
    </w:p>
    <w:p w14:paraId="268B009E" w14:textId="77777777"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 xml:space="preserve">If present, remove </w:t>
      </w:r>
      <w:r w:rsidRPr="003B595D">
        <w:rPr>
          <w:rFonts w:ascii="Courier New" w:hAnsi="Courier New" w:cs="Courier New"/>
          <w:sz w:val="20"/>
          <w:szCs w:val="20"/>
        </w:rPr>
        <w:t>CT600OnlineLookALike</w:t>
      </w:r>
    </w:p>
    <w:p w14:paraId="3DA36F69" w14:textId="77777777"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 xml:space="preserve">Copy </w:t>
      </w:r>
      <w:r w:rsidRPr="003B595D">
        <w:rPr>
          <w:rFonts w:ascii="Courier New" w:hAnsi="Courier New" w:cs="Courier New"/>
          <w:sz w:val="20"/>
          <w:szCs w:val="20"/>
        </w:rPr>
        <w:t>CT600OnlineLookALike</w:t>
      </w:r>
      <w:r w:rsidRPr="003B595D">
        <w:rPr>
          <w:rFonts w:ascii="Arial" w:hAnsi="Arial" w:cs="Arial"/>
          <w:sz w:val="20"/>
          <w:szCs w:val="20"/>
        </w:rPr>
        <w:t xml:space="preserve"> into the folder with the DIY Accounting package you are ready to file.</w:t>
      </w:r>
    </w:p>
    <w:p w14:paraId="41F5E9F5" w14:textId="77777777"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Open the following files (in this order) to re-establish the links:</w:t>
      </w:r>
    </w:p>
    <w:p w14:paraId="121D3B8A" w14:textId="77777777"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Financialaccounts.xls</w:t>
      </w:r>
    </w:p>
    <w:p w14:paraId="0681E751" w14:textId="77777777"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Companysecretary.xls</w:t>
      </w:r>
    </w:p>
    <w:p w14:paraId="4093BB29" w14:textId="77777777"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Fixedassets.xls</w:t>
      </w:r>
    </w:p>
    <w:p w14:paraId="7E7FD83A" w14:textId="77777777" w:rsidR="003B595D" w:rsidRPr="003B595D" w:rsidRDefault="003B595D" w:rsidP="003B595D">
      <w:pPr>
        <w:ind w:left="1440"/>
        <w:rPr>
          <w:rFonts w:ascii="Courier New" w:hAnsi="Courier New" w:cs="Courier New"/>
          <w:sz w:val="20"/>
          <w:szCs w:val="20"/>
        </w:rPr>
      </w:pPr>
      <w:r w:rsidRPr="003B595D">
        <w:rPr>
          <w:rFonts w:ascii="Courier New" w:hAnsi="Courier New" w:cs="Courier New"/>
          <w:sz w:val="20"/>
          <w:szCs w:val="20"/>
        </w:rPr>
        <w:t>CT600OnlineLookALike.xls</w:t>
      </w:r>
    </w:p>
    <w:p w14:paraId="09971C17" w14:textId="77777777"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Excel usually discovers the files once they are opened, if not, use the Edit links feature to update the values.</w:t>
      </w:r>
    </w:p>
    <w:p w14:paraId="051D4AF1" w14:textId="77777777"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Save each file</w:t>
      </w:r>
    </w:p>
    <w:p w14:paraId="4FD0B5F3" w14:textId="77777777" w:rsidR="003B595D" w:rsidRPr="003B595D" w:rsidRDefault="003B595D" w:rsidP="003B595D">
      <w:pPr>
        <w:pStyle w:val="ListParagraph"/>
        <w:numPr>
          <w:ilvl w:val="0"/>
          <w:numId w:val="7"/>
        </w:numPr>
        <w:rPr>
          <w:rFonts w:ascii="Arial" w:hAnsi="Arial" w:cs="Arial"/>
          <w:sz w:val="20"/>
          <w:szCs w:val="20"/>
        </w:rPr>
      </w:pPr>
      <w:r w:rsidRPr="003B595D">
        <w:rPr>
          <w:rFonts w:ascii="Arial" w:hAnsi="Arial" w:cs="Arial"/>
          <w:sz w:val="20"/>
          <w:szCs w:val="20"/>
        </w:rPr>
        <w:t>You can close the other files once the links are established but it's handy to refer back to them occasionally.</w:t>
      </w:r>
    </w:p>
    <w:p w14:paraId="14E1002D" w14:textId="77777777" w:rsidR="003B595D" w:rsidRPr="005E75B1" w:rsidRDefault="003B595D">
      <w:pPr>
        <w:rPr>
          <w:rFonts w:ascii="Arial" w:hAnsi="Arial" w:cs="Arial"/>
          <w:sz w:val="20"/>
          <w:szCs w:val="20"/>
        </w:rPr>
      </w:pPr>
    </w:p>
    <w:p w14:paraId="16D06A1C" w14:textId="77777777" w:rsidR="002F3FE6" w:rsidRPr="005E75B1" w:rsidRDefault="002F3FE6">
      <w:pPr>
        <w:rPr>
          <w:rFonts w:ascii="Arial" w:hAnsi="Arial" w:cs="Arial"/>
          <w:sz w:val="20"/>
          <w:szCs w:val="20"/>
        </w:rPr>
      </w:pPr>
    </w:p>
    <w:p w14:paraId="54836AA5" w14:textId="77777777" w:rsidR="000A7055" w:rsidRDefault="00496939" w:rsidP="00496939">
      <w:pPr>
        <w:rPr>
          <w:rFonts w:ascii="Arial" w:hAnsi="Arial" w:cs="Arial"/>
          <w:sz w:val="20"/>
          <w:szCs w:val="20"/>
        </w:rPr>
      </w:pPr>
      <w:r>
        <w:rPr>
          <w:rFonts w:ascii="Arial" w:hAnsi="Arial" w:cs="Arial"/>
          <w:sz w:val="20"/>
          <w:szCs w:val="20"/>
        </w:rPr>
        <w:br w:type="page"/>
      </w:r>
    </w:p>
    <w:p w14:paraId="509F17CE" w14:textId="77777777" w:rsidR="00785187" w:rsidRDefault="00785187">
      <w:pPr>
        <w:rPr>
          <w:rFonts w:ascii="Arial" w:hAnsi="Arial" w:cs="Arial"/>
          <w:b/>
          <w:sz w:val="20"/>
          <w:szCs w:val="20"/>
        </w:rPr>
      </w:pPr>
      <w:r w:rsidRPr="000008BB">
        <w:rPr>
          <w:rFonts w:ascii="Arial" w:hAnsi="Arial" w:cs="Arial"/>
          <w:b/>
          <w:sz w:val="20"/>
          <w:szCs w:val="20"/>
        </w:rPr>
        <w:lastRenderedPageBreak/>
        <w:t xml:space="preserve">COMPANIES HOUSE </w:t>
      </w:r>
      <w:r>
        <w:rPr>
          <w:rFonts w:ascii="Arial" w:hAnsi="Arial" w:cs="Arial"/>
          <w:b/>
          <w:sz w:val="20"/>
          <w:szCs w:val="20"/>
        </w:rPr>
        <w:t xml:space="preserve">and HMRC CT600 </w:t>
      </w:r>
      <w:r w:rsidRPr="000008BB">
        <w:rPr>
          <w:rFonts w:ascii="Arial" w:hAnsi="Arial" w:cs="Arial"/>
          <w:b/>
          <w:sz w:val="20"/>
          <w:szCs w:val="20"/>
        </w:rPr>
        <w:t>SUBMISSION</w:t>
      </w:r>
      <w:r>
        <w:rPr>
          <w:rFonts w:ascii="Arial" w:hAnsi="Arial" w:cs="Arial"/>
          <w:b/>
          <w:sz w:val="20"/>
          <w:szCs w:val="20"/>
        </w:rPr>
        <w:t xml:space="preserve"> - ONLINE</w:t>
      </w:r>
    </w:p>
    <w:p w14:paraId="026107D7" w14:textId="77777777" w:rsidR="00785187" w:rsidRDefault="00785187">
      <w:pPr>
        <w:rPr>
          <w:rFonts w:ascii="Arial" w:hAnsi="Arial" w:cs="Arial"/>
          <w:b/>
          <w:sz w:val="20"/>
          <w:szCs w:val="20"/>
        </w:rPr>
      </w:pPr>
    </w:p>
    <w:p w14:paraId="5F7679F4" w14:textId="77777777" w:rsidR="005D7D04" w:rsidRDefault="005D7D04" w:rsidP="005D7D04">
      <w:pPr>
        <w:rPr>
          <w:rFonts w:ascii="Arial" w:hAnsi="Arial" w:cs="Arial"/>
          <w:b/>
          <w:sz w:val="20"/>
          <w:szCs w:val="20"/>
        </w:rPr>
      </w:pPr>
      <w:r w:rsidRPr="005D7D04">
        <w:rPr>
          <w:rFonts w:ascii="Arial" w:hAnsi="Arial" w:cs="Arial"/>
          <w:sz w:val="20"/>
          <w:szCs w:val="20"/>
        </w:rPr>
        <w:t>In the past many of our customers (and ourselves) have completed the paper CT600 using da</w:t>
      </w:r>
      <w:r w:rsidR="003D65A0">
        <w:rPr>
          <w:rFonts w:ascii="Arial" w:hAnsi="Arial" w:cs="Arial"/>
          <w:sz w:val="20"/>
          <w:szCs w:val="20"/>
        </w:rPr>
        <w:t>ta from DIY Accounting's look-a-</w:t>
      </w:r>
      <w:r w:rsidRPr="005D7D04">
        <w:rPr>
          <w:rFonts w:ascii="Arial" w:hAnsi="Arial" w:cs="Arial"/>
          <w:sz w:val="20"/>
          <w:szCs w:val="20"/>
        </w:rPr>
        <w:t>like CT600 and submitted the statutory documents (Balance Sheet etc..) generated by DIY Accounting. These days</w:t>
      </w:r>
      <w:r>
        <w:rPr>
          <w:rFonts w:ascii="Arial" w:hAnsi="Arial" w:cs="Arial"/>
          <w:sz w:val="20"/>
          <w:szCs w:val="20"/>
        </w:rPr>
        <w:t>, with</w:t>
      </w:r>
      <w:r w:rsidRPr="005D7D04">
        <w:rPr>
          <w:rFonts w:ascii="Arial" w:hAnsi="Arial" w:cs="Arial"/>
          <w:sz w:val="20"/>
          <w:szCs w:val="20"/>
        </w:rPr>
        <w:t xml:space="preserve"> things are moving online for both HMRC and Companies House</w:t>
      </w:r>
      <w:r>
        <w:rPr>
          <w:rFonts w:ascii="Arial" w:hAnsi="Arial" w:cs="Arial"/>
          <w:sz w:val="20"/>
          <w:szCs w:val="20"/>
        </w:rPr>
        <w:t xml:space="preserve"> most small companies are asked to file online</w:t>
      </w:r>
      <w:r w:rsidRPr="005D7D04">
        <w:rPr>
          <w:rFonts w:ascii="Arial" w:hAnsi="Arial" w:cs="Arial"/>
          <w:sz w:val="20"/>
          <w:szCs w:val="20"/>
        </w:rPr>
        <w:t xml:space="preserve">. If you use HMRC's online filing software all the documents will be generated for both HMRC and Companies House and submitted electronically. This process includes some additional validation and all the templates are fixed so there is less risk of your accounts being rejected. </w:t>
      </w:r>
      <w:r w:rsidR="003D65A0">
        <w:rPr>
          <w:rFonts w:ascii="Arial" w:hAnsi="Arial" w:cs="Arial"/>
          <w:sz w:val="20"/>
          <w:szCs w:val="20"/>
        </w:rPr>
        <w:t xml:space="preserve">DIY Accounting’s CT600OnlineLookALike </w:t>
      </w:r>
      <w:r w:rsidRPr="005D7D04">
        <w:rPr>
          <w:rFonts w:ascii="Arial" w:hAnsi="Arial" w:cs="Arial"/>
          <w:sz w:val="20"/>
          <w:szCs w:val="20"/>
        </w:rPr>
        <w:t xml:space="preserve">extracts all the information required to file online from DIY Accounting then presents it in in the same format as HMRC's on-line filing software to make the form's much easier to complete. </w:t>
      </w:r>
    </w:p>
    <w:p w14:paraId="5F315DFB" w14:textId="77777777" w:rsidR="003D65A0" w:rsidRDefault="003D65A0" w:rsidP="005D7D04">
      <w:pPr>
        <w:rPr>
          <w:rFonts w:ascii="Arial" w:hAnsi="Arial" w:cs="Arial"/>
          <w:b/>
          <w:sz w:val="20"/>
          <w:szCs w:val="20"/>
        </w:rPr>
      </w:pPr>
    </w:p>
    <w:p w14:paraId="03EF5CF3" w14:textId="77777777" w:rsidR="003D65A0" w:rsidRPr="003D65A0" w:rsidRDefault="003D65A0" w:rsidP="003D65A0">
      <w:pPr>
        <w:rPr>
          <w:rFonts w:ascii="Arial" w:hAnsi="Arial" w:cs="Arial"/>
          <w:sz w:val="20"/>
          <w:szCs w:val="20"/>
        </w:rPr>
      </w:pPr>
      <w:r w:rsidRPr="003D65A0">
        <w:rPr>
          <w:rFonts w:ascii="Arial" w:hAnsi="Arial" w:cs="Arial"/>
          <w:sz w:val="20"/>
          <w:szCs w:val="20"/>
        </w:rPr>
        <w:t>The things to check when preparing your accounts (before filing) are:</w:t>
      </w:r>
    </w:p>
    <w:p w14:paraId="10CD85EF"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bank sheets reconcile with the statements</w:t>
      </w:r>
    </w:p>
    <w:p w14:paraId="3797E962"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fixed assets reconcile with entries in sales and purchases (Fixed Assets FAreconciliation)</w:t>
      </w:r>
    </w:p>
    <w:p w14:paraId="59E119FC"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debtors and creditors are listed in Closing Creditors (purchases) and Closing Debtors (sales)</w:t>
      </w:r>
    </w:p>
    <w:p w14:paraId="2BAEBA08"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Trail Balance has no errors (Financial Accounts row 91)</w:t>
      </w:r>
    </w:p>
    <w:p w14:paraId="69238471" w14:textId="77777777"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 xml:space="preserve">The Balance Sheet balances </w:t>
      </w:r>
      <w:r>
        <w:rPr>
          <w:rFonts w:ascii="Arial" w:hAnsi="Arial" w:cs="Arial"/>
          <w:sz w:val="20"/>
          <w:szCs w:val="20"/>
        </w:rPr>
        <w:t xml:space="preserve">i.e. </w:t>
      </w:r>
      <w:r w:rsidRPr="003D65A0">
        <w:rPr>
          <w:rFonts w:ascii="Arial" w:hAnsi="Arial" w:cs="Arial"/>
          <w:sz w:val="20"/>
          <w:szCs w:val="20"/>
        </w:rPr>
        <w:t>“Net Assets” and “Shareholders” funds match.</w:t>
      </w:r>
    </w:p>
    <w:p w14:paraId="129CE474" w14:textId="77777777" w:rsidR="003D65A0" w:rsidRDefault="003D65A0" w:rsidP="005D7D04">
      <w:pPr>
        <w:rPr>
          <w:rFonts w:ascii="Arial" w:hAnsi="Arial" w:cs="Arial"/>
          <w:b/>
          <w:sz w:val="20"/>
          <w:szCs w:val="20"/>
        </w:rPr>
      </w:pPr>
    </w:p>
    <w:p w14:paraId="27F50438" w14:textId="77777777" w:rsidR="003D65A0" w:rsidRPr="003D65A0" w:rsidRDefault="003D65A0" w:rsidP="003D65A0">
      <w:pPr>
        <w:rPr>
          <w:rFonts w:ascii="Arial" w:hAnsi="Arial" w:cs="Arial"/>
          <w:sz w:val="20"/>
          <w:szCs w:val="20"/>
        </w:rPr>
      </w:pPr>
      <w:r>
        <w:rPr>
          <w:rFonts w:ascii="Arial" w:hAnsi="Arial" w:cs="Arial"/>
          <w:sz w:val="20"/>
          <w:szCs w:val="20"/>
        </w:rPr>
        <w:t>To use the online filing aid:</w:t>
      </w:r>
    </w:p>
    <w:p w14:paraId="7DAF9628"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Open Financialaccounts.xls </w:t>
      </w:r>
    </w:p>
    <w:p w14:paraId="5420771D"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CT600OnlineLookALike.xls</w:t>
      </w:r>
    </w:p>
    <w:p w14:paraId="7C8673AA"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Check the health check indicators D4 &amp; D5 </w:t>
      </w:r>
      <w:r>
        <w:rPr>
          <w:rFonts w:ascii="Arial" w:hAnsi="Arial" w:cs="Arial"/>
          <w:sz w:val="20"/>
          <w:szCs w:val="20"/>
        </w:rPr>
        <w:t>– for “rounding errors” see the next paragraph.</w:t>
      </w:r>
    </w:p>
    <w:p w14:paraId="4D1042AF"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Save CT600OnlineLookALike.xls</w:t>
      </w:r>
    </w:p>
    <w:p w14:paraId="03DB0C38"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HMRC’s online filing PDF</w:t>
      </w:r>
    </w:p>
    <w:p w14:paraId="05706F41" w14:textId="77777777"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As you complete the return copy values from CT600OnlineLookALike.xls</w:t>
      </w:r>
    </w:p>
    <w:p w14:paraId="4568B8DA" w14:textId="77777777" w:rsidR="003D65A0" w:rsidRPr="003D65A0" w:rsidRDefault="003D65A0" w:rsidP="003D65A0">
      <w:pPr>
        <w:rPr>
          <w:rFonts w:ascii="Arial" w:hAnsi="Arial" w:cs="Arial"/>
          <w:sz w:val="20"/>
          <w:szCs w:val="20"/>
        </w:rPr>
      </w:pPr>
      <w:r w:rsidRPr="003D65A0">
        <w:rPr>
          <w:rFonts w:ascii="Arial" w:hAnsi="Arial" w:cs="Arial"/>
          <w:sz w:val="20"/>
          <w:szCs w:val="20"/>
        </w:rPr>
        <w:t xml:space="preserve"> </w:t>
      </w:r>
    </w:p>
    <w:p w14:paraId="5D884B6D" w14:textId="77777777" w:rsidR="003D65A0" w:rsidRDefault="003D65A0" w:rsidP="003D65A0">
      <w:pPr>
        <w:rPr>
          <w:rFonts w:ascii="Arial" w:hAnsi="Arial" w:cs="Arial"/>
          <w:sz w:val="20"/>
          <w:szCs w:val="20"/>
        </w:rPr>
      </w:pPr>
    </w:p>
    <w:p w14:paraId="50C27255" w14:textId="77777777" w:rsidR="00D603A6" w:rsidRPr="00D603A6" w:rsidRDefault="00D603A6" w:rsidP="003D65A0">
      <w:pPr>
        <w:rPr>
          <w:rFonts w:ascii="Arial" w:hAnsi="Arial" w:cs="Arial"/>
          <w:b/>
          <w:sz w:val="20"/>
          <w:szCs w:val="20"/>
        </w:rPr>
      </w:pPr>
      <w:r w:rsidRPr="00D603A6">
        <w:rPr>
          <w:rFonts w:ascii="Arial" w:hAnsi="Arial" w:cs="Arial"/>
          <w:b/>
          <w:sz w:val="20"/>
          <w:szCs w:val="20"/>
        </w:rPr>
        <w:t>#</w:t>
      </w:r>
      <w:proofErr w:type="gramStart"/>
      <w:r w:rsidRPr="00D603A6">
        <w:rPr>
          <w:rFonts w:ascii="Arial" w:hAnsi="Arial" w:cs="Arial"/>
          <w:b/>
          <w:sz w:val="20"/>
          <w:szCs w:val="20"/>
        </w:rPr>
        <w:t>REF ?</w:t>
      </w:r>
      <w:proofErr w:type="gramEnd"/>
    </w:p>
    <w:p w14:paraId="4EA909A2" w14:textId="77777777" w:rsidR="00D603A6" w:rsidRDefault="00D603A6" w:rsidP="003D65A0">
      <w:pPr>
        <w:rPr>
          <w:rFonts w:ascii="Arial" w:hAnsi="Arial" w:cs="Arial"/>
          <w:sz w:val="20"/>
          <w:szCs w:val="20"/>
        </w:rPr>
      </w:pPr>
      <w:r>
        <w:rPr>
          <w:rFonts w:ascii="Arial" w:hAnsi="Arial" w:cs="Arial"/>
          <w:sz w:val="20"/>
          <w:szCs w:val="20"/>
        </w:rPr>
        <w:t xml:space="preserve">If any of the cells in </w:t>
      </w:r>
      <w:r w:rsidRPr="003D65A0">
        <w:rPr>
          <w:rFonts w:ascii="Arial" w:hAnsi="Arial" w:cs="Arial"/>
          <w:sz w:val="20"/>
          <w:szCs w:val="20"/>
        </w:rPr>
        <w:t>CT600OnlineLookALike.xls</w:t>
      </w:r>
      <w:r>
        <w:rPr>
          <w:rFonts w:ascii="Arial" w:hAnsi="Arial" w:cs="Arial"/>
          <w:sz w:val="20"/>
          <w:szCs w:val="20"/>
        </w:rPr>
        <w:t xml:space="preserve"> are showing #REF, first try closing all Excel sheets (don’t save </w:t>
      </w:r>
      <w:r w:rsidRPr="003D65A0">
        <w:rPr>
          <w:rFonts w:ascii="Arial" w:hAnsi="Arial" w:cs="Arial"/>
          <w:sz w:val="20"/>
          <w:szCs w:val="20"/>
        </w:rPr>
        <w:t>CT600OnlineLookALike.xls</w:t>
      </w:r>
      <w:r>
        <w:rPr>
          <w:rFonts w:ascii="Arial" w:hAnsi="Arial" w:cs="Arial"/>
          <w:sz w:val="20"/>
          <w:szCs w:val="20"/>
        </w:rPr>
        <w:t xml:space="preserve">) then opening FinancialAccounts.xlsx before opening </w:t>
      </w:r>
      <w:r w:rsidRPr="003D65A0">
        <w:rPr>
          <w:rFonts w:ascii="Arial" w:hAnsi="Arial" w:cs="Arial"/>
          <w:sz w:val="20"/>
          <w:szCs w:val="20"/>
        </w:rPr>
        <w:t>CT600OnlineLookALike.xls</w:t>
      </w:r>
      <w:r>
        <w:rPr>
          <w:rFonts w:ascii="Arial" w:hAnsi="Arial" w:cs="Arial"/>
          <w:sz w:val="20"/>
          <w:szCs w:val="20"/>
        </w:rPr>
        <w:t>.</w:t>
      </w:r>
    </w:p>
    <w:p w14:paraId="45E37520" w14:textId="77777777" w:rsidR="00D603A6" w:rsidRPr="003D65A0" w:rsidRDefault="00D603A6" w:rsidP="003D65A0">
      <w:pPr>
        <w:rPr>
          <w:rFonts w:ascii="Arial" w:hAnsi="Arial" w:cs="Arial"/>
          <w:sz w:val="20"/>
          <w:szCs w:val="20"/>
        </w:rPr>
      </w:pPr>
    </w:p>
    <w:p w14:paraId="42112E55" w14:textId="77777777" w:rsidR="003D65A0" w:rsidRPr="003D65A0" w:rsidRDefault="003D65A0" w:rsidP="003D65A0">
      <w:pPr>
        <w:rPr>
          <w:rFonts w:ascii="Arial" w:hAnsi="Arial" w:cs="Arial"/>
          <w:sz w:val="20"/>
          <w:szCs w:val="20"/>
        </w:rPr>
      </w:pPr>
      <w:r w:rsidRPr="003D65A0">
        <w:rPr>
          <w:rFonts w:ascii="Arial" w:hAnsi="Arial" w:cs="Arial"/>
          <w:b/>
          <w:sz w:val="20"/>
          <w:szCs w:val="20"/>
        </w:rPr>
        <w:t>Rounding compensation</w:t>
      </w:r>
      <w:r w:rsidRPr="003D65A0">
        <w:rPr>
          <w:rFonts w:ascii="Arial" w:hAnsi="Arial" w:cs="Arial"/>
          <w:sz w:val="20"/>
          <w:szCs w:val="20"/>
        </w:rPr>
        <w:t>:</w:t>
      </w:r>
    </w:p>
    <w:p w14:paraId="282B4753" w14:textId="77777777" w:rsidR="00061DE7" w:rsidRDefault="00061DE7" w:rsidP="003D65A0">
      <w:pPr>
        <w:rPr>
          <w:rFonts w:ascii="Arial" w:hAnsi="Arial" w:cs="Arial"/>
          <w:sz w:val="20"/>
          <w:szCs w:val="20"/>
        </w:rPr>
      </w:pPr>
      <w:r>
        <w:rPr>
          <w:rFonts w:ascii="Arial" w:hAnsi="Arial" w:cs="Arial"/>
          <w:sz w:val="20"/>
          <w:szCs w:val="20"/>
        </w:rPr>
        <w:t xml:space="preserve">As HMRC’s online filing PDF re-calculates some values figures that get rounded, this can result in totals that are rounded a differently from the Financial Accounts file. The behaviour if HMRC’s file is mimicked by the </w:t>
      </w:r>
      <w:r w:rsidRPr="003D65A0">
        <w:rPr>
          <w:rFonts w:ascii="Arial" w:hAnsi="Arial" w:cs="Arial"/>
          <w:sz w:val="20"/>
          <w:szCs w:val="20"/>
        </w:rPr>
        <w:t>CT600OnlineLookALike.xls</w:t>
      </w:r>
      <w:r>
        <w:rPr>
          <w:rFonts w:ascii="Arial" w:hAnsi="Arial" w:cs="Arial"/>
          <w:sz w:val="20"/>
          <w:szCs w:val="20"/>
        </w:rPr>
        <w:t xml:space="preserve"> catch any problems before you start to file.</w:t>
      </w:r>
    </w:p>
    <w:p w14:paraId="1F5C09D4" w14:textId="77777777" w:rsidR="00061DE7" w:rsidRDefault="00061DE7" w:rsidP="003D65A0">
      <w:pPr>
        <w:rPr>
          <w:rFonts w:ascii="Arial" w:hAnsi="Arial" w:cs="Arial"/>
          <w:sz w:val="20"/>
          <w:szCs w:val="20"/>
        </w:rPr>
      </w:pPr>
    </w:p>
    <w:p w14:paraId="28F1D937" w14:textId="77777777" w:rsidR="00061DE7" w:rsidRPr="003D65A0" w:rsidRDefault="00061DE7" w:rsidP="00061DE7">
      <w:pPr>
        <w:rPr>
          <w:rFonts w:ascii="Arial" w:hAnsi="Arial" w:cs="Arial"/>
          <w:sz w:val="20"/>
          <w:szCs w:val="20"/>
        </w:rPr>
      </w:pPr>
      <w:r w:rsidRPr="003D65A0">
        <w:rPr>
          <w:rFonts w:ascii="Arial" w:hAnsi="Arial" w:cs="Arial"/>
          <w:sz w:val="20"/>
          <w:szCs w:val="20"/>
        </w:rPr>
        <w:t>Here's an example:</w:t>
      </w:r>
    </w:p>
    <w:p w14:paraId="6126EC98" w14:textId="77777777" w:rsidR="00061DE7" w:rsidRPr="003D65A0" w:rsidRDefault="00061DE7" w:rsidP="00061DE7">
      <w:pPr>
        <w:rPr>
          <w:rFonts w:ascii="Arial" w:hAnsi="Arial" w:cs="Arial"/>
          <w:sz w:val="20"/>
          <w:szCs w:val="20"/>
        </w:rPr>
      </w:pPr>
      <w:r w:rsidRPr="003D65A0">
        <w:rPr>
          <w:rFonts w:ascii="Arial" w:hAnsi="Arial" w:cs="Arial"/>
          <w:sz w:val="20"/>
          <w:szCs w:val="20"/>
        </w:rPr>
        <w:t>Actual figures: £1.33 + £1.33 + £1.33 = £1.99</w:t>
      </w:r>
    </w:p>
    <w:p w14:paraId="2D4F665A" w14:textId="77777777" w:rsidR="00061DE7" w:rsidRPr="003D65A0" w:rsidRDefault="00061DE7" w:rsidP="00061DE7">
      <w:pPr>
        <w:rPr>
          <w:rFonts w:ascii="Arial" w:hAnsi="Arial" w:cs="Arial"/>
          <w:sz w:val="20"/>
          <w:szCs w:val="20"/>
        </w:rPr>
      </w:pPr>
      <w:r w:rsidRPr="003D65A0">
        <w:rPr>
          <w:rFonts w:ascii="Arial" w:hAnsi="Arial" w:cs="Arial"/>
          <w:sz w:val="20"/>
          <w:szCs w:val="20"/>
        </w:rPr>
        <w:t>Rounded figures: £1 + £1 + £1 = £4</w:t>
      </w:r>
    </w:p>
    <w:p w14:paraId="5A164A15" w14:textId="77777777" w:rsidR="00061DE7" w:rsidRDefault="00061DE7" w:rsidP="003D65A0">
      <w:pPr>
        <w:rPr>
          <w:rFonts w:ascii="Arial" w:hAnsi="Arial" w:cs="Arial"/>
          <w:sz w:val="20"/>
          <w:szCs w:val="20"/>
        </w:rPr>
      </w:pPr>
    </w:p>
    <w:p w14:paraId="2424FB18" w14:textId="77777777" w:rsidR="003D65A0" w:rsidRDefault="003D65A0" w:rsidP="003D65A0">
      <w:pPr>
        <w:rPr>
          <w:rFonts w:ascii="Arial" w:hAnsi="Arial" w:cs="Arial"/>
          <w:sz w:val="20"/>
          <w:szCs w:val="20"/>
        </w:rPr>
      </w:pPr>
      <w:r w:rsidRPr="003D65A0">
        <w:rPr>
          <w:rFonts w:ascii="Arial" w:hAnsi="Arial" w:cs="Arial"/>
          <w:sz w:val="20"/>
          <w:szCs w:val="20"/>
        </w:rPr>
        <w:t xml:space="preserve">If necessary, compensate for rounding errors </w:t>
      </w:r>
      <w:r w:rsidR="00061DE7">
        <w:rPr>
          <w:rFonts w:ascii="Arial" w:hAnsi="Arial" w:cs="Arial"/>
          <w:sz w:val="20"/>
          <w:szCs w:val="20"/>
        </w:rPr>
        <w:t xml:space="preserve">by placing a value </w:t>
      </w:r>
      <w:r w:rsidRPr="003D65A0">
        <w:rPr>
          <w:rFonts w:ascii="Arial" w:hAnsi="Arial" w:cs="Arial"/>
          <w:sz w:val="20"/>
          <w:szCs w:val="20"/>
        </w:rPr>
        <w:t>in cell D3.</w:t>
      </w:r>
      <w:r w:rsidR="00061DE7" w:rsidRPr="00061DE7">
        <w:rPr>
          <w:rFonts w:ascii="Arial" w:hAnsi="Arial" w:cs="Arial"/>
          <w:sz w:val="20"/>
          <w:szCs w:val="20"/>
        </w:rPr>
        <w:t xml:space="preserve"> </w:t>
      </w:r>
      <w:r w:rsidR="00061DE7" w:rsidRPr="003D65A0">
        <w:rPr>
          <w:rFonts w:ascii="Arial" w:hAnsi="Arial" w:cs="Arial"/>
          <w:sz w:val="20"/>
          <w:szCs w:val="20"/>
        </w:rPr>
        <w:t>Rows 1190 through 1223 compare the unadjusted net asset (box AC68) and shareholders’</w:t>
      </w:r>
      <w:r w:rsidR="00061DE7">
        <w:rPr>
          <w:rFonts w:ascii="Arial" w:hAnsi="Arial" w:cs="Arial"/>
          <w:sz w:val="20"/>
          <w:szCs w:val="20"/>
        </w:rPr>
        <w:t xml:space="preserve"> funds (box AC80). I</w:t>
      </w:r>
      <w:r w:rsidR="00061DE7" w:rsidRPr="003D65A0">
        <w:rPr>
          <w:rFonts w:ascii="Arial" w:hAnsi="Arial" w:cs="Arial"/>
          <w:sz w:val="20"/>
          <w:szCs w:val="20"/>
        </w:rPr>
        <w:t>f these are different the rounding figure from cell D3 is added to the cash balance to</w:t>
      </w:r>
      <w:r w:rsidR="00061DE7">
        <w:rPr>
          <w:rFonts w:ascii="Arial" w:hAnsi="Arial" w:cs="Arial"/>
          <w:sz w:val="20"/>
          <w:szCs w:val="20"/>
        </w:rPr>
        <w:t xml:space="preserve"> adjust the cash at bank figure</w:t>
      </w:r>
      <w:r w:rsidRPr="003D65A0">
        <w:rPr>
          <w:rFonts w:ascii="Arial" w:hAnsi="Arial" w:cs="Arial"/>
          <w:sz w:val="20"/>
          <w:szCs w:val="20"/>
        </w:rPr>
        <w:t xml:space="preserve">. Usually </w:t>
      </w:r>
      <w:r w:rsidR="00061DE7">
        <w:rPr>
          <w:rFonts w:ascii="Arial" w:hAnsi="Arial" w:cs="Arial"/>
          <w:sz w:val="20"/>
          <w:szCs w:val="20"/>
        </w:rPr>
        <w:t>+/- £1-£2 is needed.</w:t>
      </w:r>
    </w:p>
    <w:p w14:paraId="39C19E09" w14:textId="77777777" w:rsidR="00B92EA5" w:rsidRDefault="00B92EA5" w:rsidP="003D65A0">
      <w:pPr>
        <w:rPr>
          <w:rFonts w:ascii="Arial" w:hAnsi="Arial" w:cs="Arial"/>
          <w:sz w:val="20"/>
          <w:szCs w:val="20"/>
        </w:rPr>
      </w:pPr>
    </w:p>
    <w:p w14:paraId="53D8A2B3" w14:textId="77777777" w:rsidR="00B92EA5" w:rsidRPr="008A3046" w:rsidRDefault="00B92EA5" w:rsidP="003D65A0">
      <w:pPr>
        <w:rPr>
          <w:rFonts w:ascii="Arial" w:hAnsi="Arial" w:cs="Arial"/>
          <w:b/>
          <w:sz w:val="20"/>
          <w:szCs w:val="20"/>
        </w:rPr>
      </w:pPr>
      <w:r w:rsidRPr="008A3046">
        <w:rPr>
          <w:rFonts w:ascii="Arial" w:hAnsi="Arial" w:cs="Arial"/>
          <w:b/>
          <w:sz w:val="20"/>
          <w:szCs w:val="20"/>
        </w:rPr>
        <w:t xml:space="preserve">Journal Entries for </w:t>
      </w:r>
      <w:r w:rsidR="008A3046">
        <w:rPr>
          <w:rFonts w:ascii="Arial" w:hAnsi="Arial" w:cs="Arial"/>
          <w:b/>
          <w:sz w:val="20"/>
          <w:szCs w:val="20"/>
        </w:rPr>
        <w:t>n</w:t>
      </w:r>
      <w:r w:rsidRPr="008A3046">
        <w:rPr>
          <w:rFonts w:ascii="Arial" w:hAnsi="Arial" w:cs="Arial"/>
          <w:b/>
          <w:sz w:val="20"/>
          <w:szCs w:val="20"/>
        </w:rPr>
        <w:t>egative assets and liabilities</w:t>
      </w:r>
    </w:p>
    <w:p w14:paraId="38E6884A" w14:textId="77777777" w:rsidR="008A3046" w:rsidRDefault="00B92EA5" w:rsidP="003D65A0">
      <w:pPr>
        <w:rPr>
          <w:rFonts w:ascii="Arial" w:hAnsi="Arial" w:cs="Arial"/>
          <w:sz w:val="20"/>
          <w:szCs w:val="20"/>
        </w:rPr>
      </w:pPr>
      <w:r>
        <w:rPr>
          <w:rFonts w:ascii="Arial" w:hAnsi="Arial" w:cs="Arial"/>
          <w:sz w:val="20"/>
          <w:szCs w:val="20"/>
        </w:rPr>
        <w:t xml:space="preserve">Some values are expected to be assets (amounts owed to or held by the company) or liabilities (amounts owed by the company). HMRC will reject some negatives such as a negative “Tax and Social Security” liability which would be HMRC owe the company money. </w:t>
      </w:r>
      <w:r w:rsidR="008A3046">
        <w:rPr>
          <w:rFonts w:ascii="Arial" w:hAnsi="Arial" w:cs="Arial"/>
          <w:sz w:val="20"/>
          <w:szCs w:val="20"/>
        </w:rPr>
        <w:t xml:space="preserve">This is because this value must be transferred to an asset instead of a liability. </w:t>
      </w:r>
    </w:p>
    <w:p w14:paraId="7F0761DC" w14:textId="77777777" w:rsidR="008A3046" w:rsidRDefault="008A3046" w:rsidP="003D65A0">
      <w:pPr>
        <w:rPr>
          <w:rFonts w:ascii="Arial" w:hAnsi="Arial" w:cs="Arial"/>
          <w:sz w:val="20"/>
          <w:szCs w:val="20"/>
        </w:rPr>
      </w:pPr>
    </w:p>
    <w:p w14:paraId="5942331A" w14:textId="77777777" w:rsidR="00B92EA5" w:rsidRDefault="003724F3" w:rsidP="003D65A0">
      <w:pPr>
        <w:rPr>
          <w:rFonts w:ascii="Arial" w:hAnsi="Arial" w:cs="Arial"/>
          <w:sz w:val="20"/>
          <w:szCs w:val="20"/>
        </w:rPr>
      </w:pPr>
      <w:r>
        <w:rPr>
          <w:rFonts w:ascii="Arial" w:hAnsi="Arial" w:cs="Arial"/>
          <w:sz w:val="20"/>
          <w:szCs w:val="20"/>
        </w:rPr>
        <w:t>An example of VAT owed transferred using a Journal Entry i</w:t>
      </w:r>
      <w:r w:rsidR="008A3046">
        <w:rPr>
          <w:rFonts w:ascii="Arial" w:hAnsi="Arial" w:cs="Arial"/>
          <w:sz w:val="20"/>
          <w:szCs w:val="20"/>
        </w:rPr>
        <w:t>n the Cash Account.</w:t>
      </w:r>
    </w:p>
    <w:tbl>
      <w:tblPr>
        <w:tblW w:w="7240" w:type="dxa"/>
        <w:tblInd w:w="103" w:type="dxa"/>
        <w:tblLook w:val="04A0" w:firstRow="1" w:lastRow="0" w:firstColumn="1" w:lastColumn="0" w:noHBand="0" w:noVBand="1"/>
      </w:tblPr>
      <w:tblGrid>
        <w:gridCol w:w="1139"/>
        <w:gridCol w:w="2421"/>
        <w:gridCol w:w="920"/>
        <w:gridCol w:w="920"/>
        <w:gridCol w:w="920"/>
        <w:gridCol w:w="920"/>
      </w:tblGrid>
      <w:tr w:rsidR="008A3046" w14:paraId="23CAD6F0" w14:textId="77777777" w:rsidTr="008A3046">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000000" w:fill="FFFFCC"/>
            <w:vAlign w:val="bottom"/>
            <w:hideMark/>
          </w:tcPr>
          <w:p w14:paraId="5BAF41CA" w14:textId="77777777" w:rsidR="008A3046" w:rsidRDefault="008A3046">
            <w:pPr>
              <w:jc w:val="center"/>
              <w:rPr>
                <w:color w:val="000080"/>
                <w:sz w:val="18"/>
                <w:szCs w:val="18"/>
              </w:rPr>
            </w:pPr>
          </w:p>
        </w:tc>
        <w:tc>
          <w:tcPr>
            <w:tcW w:w="920" w:type="dxa"/>
            <w:vMerge w:val="restart"/>
            <w:tcBorders>
              <w:top w:val="single" w:sz="4" w:space="0" w:color="auto"/>
              <w:left w:val="single" w:sz="4" w:space="0" w:color="auto"/>
              <w:bottom w:val="single" w:sz="4" w:space="0" w:color="000000"/>
              <w:right w:val="single" w:sz="4" w:space="0" w:color="auto"/>
            </w:tcBorders>
            <w:shd w:val="clear" w:color="000000" w:fill="FFFFCC"/>
            <w:vAlign w:val="center"/>
            <w:hideMark/>
          </w:tcPr>
          <w:p w14:paraId="6D7BB7F3" w14:textId="77777777" w:rsidR="008A3046" w:rsidRDefault="008A3046">
            <w:pPr>
              <w:jc w:val="center"/>
              <w:rPr>
                <w:sz w:val="18"/>
                <w:szCs w:val="18"/>
              </w:rPr>
            </w:pPr>
            <w:r>
              <w:rPr>
                <w:sz w:val="18"/>
                <w:szCs w:val="18"/>
              </w:rPr>
              <w:t>Enter Code Letters</w:t>
            </w:r>
          </w:p>
        </w:tc>
        <w:tc>
          <w:tcPr>
            <w:tcW w:w="2760" w:type="dxa"/>
            <w:gridSpan w:val="3"/>
            <w:tcBorders>
              <w:top w:val="single" w:sz="4" w:space="0" w:color="auto"/>
              <w:left w:val="nil"/>
              <w:bottom w:val="single" w:sz="4" w:space="0" w:color="auto"/>
              <w:right w:val="nil"/>
            </w:tcBorders>
            <w:shd w:val="clear" w:color="000000" w:fill="FFFFCC"/>
            <w:vAlign w:val="center"/>
            <w:hideMark/>
          </w:tcPr>
          <w:p w14:paraId="3E4CCFC0" w14:textId="77777777" w:rsidR="008A3046" w:rsidRDefault="008A3046">
            <w:pPr>
              <w:jc w:val="center"/>
              <w:rPr>
                <w:b/>
                <w:bCs/>
                <w:sz w:val="18"/>
                <w:szCs w:val="18"/>
              </w:rPr>
            </w:pPr>
            <w:r>
              <w:rPr>
                <w:b/>
                <w:bCs/>
                <w:sz w:val="18"/>
                <w:szCs w:val="18"/>
              </w:rPr>
              <w:t>CASH PAYMENTS</w:t>
            </w:r>
          </w:p>
        </w:tc>
      </w:tr>
      <w:tr w:rsidR="008A3046" w14:paraId="5C9D3A55" w14:textId="77777777" w:rsidTr="008A3046">
        <w:trPr>
          <w:trHeight w:val="402"/>
        </w:trPr>
        <w:tc>
          <w:tcPr>
            <w:tcW w:w="1139" w:type="dxa"/>
            <w:tcBorders>
              <w:top w:val="nil"/>
              <w:left w:val="single" w:sz="4" w:space="0" w:color="auto"/>
              <w:bottom w:val="nil"/>
              <w:right w:val="single" w:sz="4" w:space="0" w:color="auto"/>
            </w:tcBorders>
            <w:shd w:val="clear" w:color="000000" w:fill="FFFFCC"/>
            <w:noWrap/>
            <w:vAlign w:val="bottom"/>
            <w:hideMark/>
          </w:tcPr>
          <w:p w14:paraId="37A47507" w14:textId="77777777" w:rsidR="008A3046" w:rsidRDefault="008A3046">
            <w:pPr>
              <w:jc w:val="center"/>
              <w:rPr>
                <w:sz w:val="18"/>
                <w:szCs w:val="18"/>
              </w:rPr>
            </w:pPr>
            <w:r>
              <w:rPr>
                <w:sz w:val="18"/>
                <w:szCs w:val="18"/>
              </w:rPr>
              <w:t> </w:t>
            </w:r>
          </w:p>
        </w:tc>
        <w:tc>
          <w:tcPr>
            <w:tcW w:w="2421" w:type="dxa"/>
            <w:tcBorders>
              <w:top w:val="nil"/>
              <w:left w:val="nil"/>
              <w:bottom w:val="nil"/>
              <w:right w:val="single" w:sz="4" w:space="0" w:color="auto"/>
            </w:tcBorders>
            <w:shd w:val="clear" w:color="000000" w:fill="FFFFCC"/>
            <w:noWrap/>
            <w:vAlign w:val="bottom"/>
            <w:hideMark/>
          </w:tcPr>
          <w:p w14:paraId="3B2A5E17" w14:textId="77777777" w:rsidR="008A3046" w:rsidRDefault="008A3046">
            <w:pPr>
              <w:jc w:val="center"/>
              <w:rPr>
                <w:sz w:val="18"/>
                <w:szCs w:val="18"/>
              </w:rPr>
            </w:pPr>
            <w:r>
              <w:rPr>
                <w:sz w:val="18"/>
                <w:szCs w:val="18"/>
              </w:rPr>
              <w:t> </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14:paraId="63687C4F" w14:textId="77777777" w:rsidR="008A3046" w:rsidRDefault="008A3046">
            <w:pPr>
              <w:rPr>
                <w:sz w:val="18"/>
                <w:szCs w:val="18"/>
              </w:rPr>
            </w:pP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14:paraId="3A75C861" w14:textId="77777777" w:rsidR="008A3046" w:rsidRDefault="008A3046">
            <w:pPr>
              <w:jc w:val="center"/>
              <w:rPr>
                <w:sz w:val="18"/>
                <w:szCs w:val="18"/>
              </w:rPr>
            </w:pPr>
            <w:r>
              <w:rPr>
                <w:sz w:val="18"/>
                <w:szCs w:val="18"/>
              </w:rPr>
              <w:t>Amount Cash Payment</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14:paraId="5394F75F" w14:textId="77777777" w:rsidR="008A3046" w:rsidRDefault="008A3046">
            <w:pPr>
              <w:jc w:val="center"/>
              <w:rPr>
                <w:sz w:val="18"/>
                <w:szCs w:val="18"/>
              </w:rPr>
            </w:pPr>
            <w:r>
              <w:rPr>
                <w:sz w:val="18"/>
                <w:szCs w:val="18"/>
              </w:rPr>
              <w:t>Long Term Debtor</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14:paraId="14E2D1F4" w14:textId="77777777" w:rsidR="008A3046" w:rsidRDefault="008A3046">
            <w:pPr>
              <w:jc w:val="center"/>
              <w:rPr>
                <w:sz w:val="18"/>
                <w:szCs w:val="18"/>
              </w:rPr>
            </w:pPr>
            <w:r>
              <w:rPr>
                <w:sz w:val="18"/>
                <w:szCs w:val="18"/>
              </w:rPr>
              <w:t>HMRC    Vat Payments</w:t>
            </w:r>
          </w:p>
        </w:tc>
      </w:tr>
      <w:tr w:rsidR="008A3046" w14:paraId="3F126031" w14:textId="77777777" w:rsidTr="008A3046">
        <w:trPr>
          <w:trHeight w:val="402"/>
        </w:trPr>
        <w:tc>
          <w:tcPr>
            <w:tcW w:w="1139" w:type="dxa"/>
            <w:vMerge w:val="restart"/>
            <w:tcBorders>
              <w:top w:val="nil"/>
              <w:left w:val="single" w:sz="4" w:space="0" w:color="auto"/>
              <w:bottom w:val="single" w:sz="4" w:space="0" w:color="auto"/>
              <w:right w:val="single" w:sz="4" w:space="0" w:color="auto"/>
            </w:tcBorders>
            <w:shd w:val="clear" w:color="000000" w:fill="FFFFCC"/>
            <w:vAlign w:val="bottom"/>
            <w:hideMark/>
          </w:tcPr>
          <w:p w14:paraId="16D3ADAB" w14:textId="77777777" w:rsidR="008A3046" w:rsidRDefault="008A3046">
            <w:pPr>
              <w:jc w:val="center"/>
              <w:rPr>
                <w:sz w:val="18"/>
                <w:szCs w:val="18"/>
              </w:rPr>
            </w:pPr>
            <w:r>
              <w:rPr>
                <w:sz w:val="18"/>
                <w:szCs w:val="18"/>
              </w:rPr>
              <w:t xml:space="preserve">Payment Date </w:t>
            </w:r>
          </w:p>
        </w:tc>
        <w:tc>
          <w:tcPr>
            <w:tcW w:w="2421" w:type="dxa"/>
            <w:vMerge w:val="restart"/>
            <w:tcBorders>
              <w:top w:val="nil"/>
              <w:left w:val="single" w:sz="4" w:space="0" w:color="auto"/>
              <w:bottom w:val="single" w:sz="4" w:space="0" w:color="auto"/>
              <w:right w:val="single" w:sz="4" w:space="0" w:color="auto"/>
            </w:tcBorders>
            <w:shd w:val="clear" w:color="000000" w:fill="FFFFCC"/>
            <w:vAlign w:val="bottom"/>
            <w:hideMark/>
          </w:tcPr>
          <w:p w14:paraId="51BA23FB" w14:textId="77777777" w:rsidR="008A3046" w:rsidRDefault="008A3046">
            <w:pPr>
              <w:jc w:val="center"/>
              <w:rPr>
                <w:sz w:val="18"/>
                <w:szCs w:val="18"/>
              </w:rPr>
            </w:pPr>
            <w:r>
              <w:rPr>
                <w:sz w:val="18"/>
                <w:szCs w:val="18"/>
              </w:rPr>
              <w:t>Suppliers paid</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14:paraId="6D032A20"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2D73F494"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547A9B6B"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7EA946E9" w14:textId="77777777" w:rsidR="008A3046" w:rsidRDefault="008A3046">
            <w:pPr>
              <w:rPr>
                <w:sz w:val="18"/>
                <w:szCs w:val="18"/>
              </w:rPr>
            </w:pPr>
          </w:p>
        </w:tc>
      </w:tr>
      <w:tr w:rsidR="008A3046" w14:paraId="7101148D" w14:textId="77777777" w:rsidTr="008A3046">
        <w:trPr>
          <w:trHeight w:val="300"/>
        </w:trPr>
        <w:tc>
          <w:tcPr>
            <w:tcW w:w="1139" w:type="dxa"/>
            <w:vMerge/>
            <w:tcBorders>
              <w:top w:val="nil"/>
              <w:left w:val="single" w:sz="4" w:space="0" w:color="auto"/>
              <w:bottom w:val="single" w:sz="4" w:space="0" w:color="auto"/>
              <w:right w:val="single" w:sz="4" w:space="0" w:color="auto"/>
            </w:tcBorders>
            <w:vAlign w:val="center"/>
            <w:hideMark/>
          </w:tcPr>
          <w:p w14:paraId="3F0101E8" w14:textId="77777777" w:rsidR="008A3046" w:rsidRDefault="008A3046">
            <w:pPr>
              <w:rPr>
                <w:sz w:val="18"/>
                <w:szCs w:val="18"/>
              </w:rPr>
            </w:pPr>
          </w:p>
        </w:tc>
        <w:tc>
          <w:tcPr>
            <w:tcW w:w="2421" w:type="dxa"/>
            <w:vMerge/>
            <w:tcBorders>
              <w:top w:val="nil"/>
              <w:left w:val="single" w:sz="4" w:space="0" w:color="auto"/>
              <w:bottom w:val="single" w:sz="4" w:space="0" w:color="auto"/>
              <w:right w:val="single" w:sz="4" w:space="0" w:color="auto"/>
            </w:tcBorders>
            <w:vAlign w:val="center"/>
            <w:hideMark/>
          </w:tcPr>
          <w:p w14:paraId="24B2ED69" w14:textId="77777777" w:rsidR="008A3046" w:rsidRDefault="008A3046">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hideMark/>
          </w:tcPr>
          <w:p w14:paraId="7F4A9D99" w14:textId="77777777"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14:paraId="6C8CE938" w14:textId="77777777" w:rsidR="008A3046" w:rsidRDefault="008A3046">
            <w:pPr>
              <w:rPr>
                <w:sz w:val="18"/>
                <w:szCs w:val="18"/>
              </w:rPr>
            </w:pPr>
          </w:p>
        </w:tc>
        <w:tc>
          <w:tcPr>
            <w:tcW w:w="920" w:type="dxa"/>
            <w:tcBorders>
              <w:top w:val="nil"/>
              <w:left w:val="nil"/>
              <w:bottom w:val="single" w:sz="4" w:space="0" w:color="auto"/>
              <w:right w:val="single" w:sz="4" w:space="0" w:color="auto"/>
            </w:tcBorders>
            <w:shd w:val="clear" w:color="000000" w:fill="FFFFCC"/>
            <w:noWrap/>
            <w:vAlign w:val="bottom"/>
            <w:hideMark/>
          </w:tcPr>
          <w:p w14:paraId="74DC063F" w14:textId="77777777" w:rsidR="008A3046" w:rsidRDefault="008A3046">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000000" w:fill="FFFFCC"/>
            <w:noWrap/>
            <w:vAlign w:val="bottom"/>
            <w:hideMark/>
          </w:tcPr>
          <w:p w14:paraId="37E8974C" w14:textId="77777777" w:rsidR="008A3046" w:rsidRDefault="008A3046">
            <w:pPr>
              <w:jc w:val="center"/>
              <w:rPr>
                <w:b/>
                <w:bCs/>
                <w:sz w:val="18"/>
                <w:szCs w:val="18"/>
              </w:rPr>
            </w:pPr>
            <w:r>
              <w:rPr>
                <w:b/>
                <w:bCs/>
                <w:sz w:val="18"/>
                <w:szCs w:val="18"/>
              </w:rPr>
              <w:t>RV</w:t>
            </w:r>
          </w:p>
        </w:tc>
      </w:tr>
      <w:tr w:rsidR="008A3046" w14:paraId="7248B221" w14:textId="77777777" w:rsidTr="008A3046">
        <w:trPr>
          <w:trHeight w:val="255"/>
        </w:trPr>
        <w:tc>
          <w:tcPr>
            <w:tcW w:w="1139" w:type="dxa"/>
            <w:tcBorders>
              <w:top w:val="nil"/>
              <w:left w:val="nil"/>
              <w:bottom w:val="nil"/>
              <w:right w:val="nil"/>
            </w:tcBorders>
            <w:shd w:val="clear" w:color="auto" w:fill="auto"/>
            <w:noWrap/>
            <w:vAlign w:val="bottom"/>
            <w:hideMark/>
          </w:tcPr>
          <w:p w14:paraId="517E4C2C" w14:textId="77777777"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14:paraId="753D2400" w14:textId="77777777"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14:paraId="459B030B" w14:textId="77777777" w:rsidR="008A3046" w:rsidRDefault="008A3046">
            <w:pPr>
              <w:rPr>
                <w:sz w:val="20"/>
                <w:szCs w:val="20"/>
              </w:rPr>
            </w:pPr>
            <w:r>
              <w:rPr>
                <w:sz w:val="20"/>
                <w:szCs w:val="20"/>
              </w:rPr>
              <w:t>RV</w:t>
            </w:r>
          </w:p>
        </w:tc>
        <w:tc>
          <w:tcPr>
            <w:tcW w:w="920" w:type="dxa"/>
            <w:tcBorders>
              <w:top w:val="nil"/>
              <w:left w:val="nil"/>
              <w:bottom w:val="nil"/>
              <w:right w:val="nil"/>
            </w:tcBorders>
            <w:shd w:val="clear" w:color="auto" w:fill="auto"/>
            <w:noWrap/>
            <w:vAlign w:val="bottom"/>
            <w:hideMark/>
          </w:tcPr>
          <w:p w14:paraId="66D09E53" w14:textId="77777777" w:rsidR="008A3046" w:rsidRDefault="008A3046">
            <w:pPr>
              <w:jc w:val="right"/>
              <w:rPr>
                <w:sz w:val="18"/>
                <w:szCs w:val="18"/>
              </w:rPr>
            </w:pPr>
            <w:r>
              <w:rPr>
                <w:color w:val="FF0000"/>
                <w:sz w:val="18"/>
                <w:szCs w:val="18"/>
              </w:rPr>
              <w:t xml:space="preserve">-1,000.00 </w:t>
            </w:r>
          </w:p>
        </w:tc>
        <w:tc>
          <w:tcPr>
            <w:tcW w:w="920" w:type="dxa"/>
            <w:tcBorders>
              <w:top w:val="nil"/>
              <w:left w:val="nil"/>
              <w:bottom w:val="nil"/>
              <w:right w:val="nil"/>
            </w:tcBorders>
            <w:shd w:val="clear" w:color="auto" w:fill="auto"/>
            <w:noWrap/>
            <w:vAlign w:val="bottom"/>
            <w:hideMark/>
          </w:tcPr>
          <w:p w14:paraId="6C56D47B" w14:textId="77777777" w:rsidR="008A3046" w:rsidRDefault="008A3046">
            <w:pPr>
              <w:rPr>
                <w:sz w:val="18"/>
                <w:szCs w:val="18"/>
              </w:rPr>
            </w:pPr>
            <w:r>
              <w:rPr>
                <w:sz w:val="18"/>
                <w:szCs w:val="18"/>
              </w:rPr>
              <w:t xml:space="preserve"> </w:t>
            </w:r>
          </w:p>
        </w:tc>
        <w:tc>
          <w:tcPr>
            <w:tcW w:w="920" w:type="dxa"/>
            <w:tcBorders>
              <w:top w:val="nil"/>
              <w:left w:val="nil"/>
              <w:bottom w:val="nil"/>
              <w:right w:val="nil"/>
            </w:tcBorders>
            <w:shd w:val="clear" w:color="auto" w:fill="auto"/>
            <w:noWrap/>
            <w:vAlign w:val="bottom"/>
            <w:hideMark/>
          </w:tcPr>
          <w:p w14:paraId="5A2255F6" w14:textId="77777777" w:rsidR="008A3046" w:rsidRDefault="008A3046">
            <w:pPr>
              <w:jc w:val="right"/>
              <w:rPr>
                <w:sz w:val="18"/>
                <w:szCs w:val="18"/>
              </w:rPr>
            </w:pPr>
            <w:r>
              <w:rPr>
                <w:color w:val="FF0000"/>
                <w:sz w:val="18"/>
                <w:szCs w:val="18"/>
              </w:rPr>
              <w:t xml:space="preserve">-1,000.00 </w:t>
            </w:r>
          </w:p>
        </w:tc>
      </w:tr>
      <w:tr w:rsidR="008A3046" w14:paraId="2B8CBC26" w14:textId="77777777" w:rsidTr="008A3046">
        <w:trPr>
          <w:trHeight w:val="255"/>
        </w:trPr>
        <w:tc>
          <w:tcPr>
            <w:tcW w:w="1139" w:type="dxa"/>
            <w:tcBorders>
              <w:top w:val="nil"/>
              <w:left w:val="nil"/>
              <w:bottom w:val="nil"/>
              <w:right w:val="nil"/>
            </w:tcBorders>
            <w:shd w:val="clear" w:color="auto" w:fill="auto"/>
            <w:noWrap/>
            <w:vAlign w:val="bottom"/>
            <w:hideMark/>
          </w:tcPr>
          <w:p w14:paraId="69E68E2D" w14:textId="77777777"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14:paraId="4CE94DA8" w14:textId="77777777"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14:paraId="2D5502CB" w14:textId="77777777" w:rsidR="008A3046" w:rsidRDefault="008A3046">
            <w:pPr>
              <w:rPr>
                <w:sz w:val="20"/>
                <w:szCs w:val="20"/>
              </w:rPr>
            </w:pPr>
            <w:r>
              <w:rPr>
                <w:sz w:val="20"/>
                <w:szCs w:val="20"/>
              </w:rPr>
              <w:t>LDR</w:t>
            </w:r>
          </w:p>
        </w:tc>
        <w:tc>
          <w:tcPr>
            <w:tcW w:w="920" w:type="dxa"/>
            <w:tcBorders>
              <w:top w:val="nil"/>
              <w:left w:val="nil"/>
              <w:bottom w:val="nil"/>
              <w:right w:val="nil"/>
            </w:tcBorders>
            <w:shd w:val="clear" w:color="auto" w:fill="auto"/>
            <w:noWrap/>
            <w:vAlign w:val="bottom"/>
            <w:hideMark/>
          </w:tcPr>
          <w:p w14:paraId="3158FAA4" w14:textId="77777777"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14:paraId="3D9437B3" w14:textId="77777777"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14:paraId="7A29AADC" w14:textId="77777777" w:rsidR="008A3046" w:rsidRDefault="008A3046">
            <w:pPr>
              <w:rPr>
                <w:sz w:val="18"/>
                <w:szCs w:val="18"/>
              </w:rPr>
            </w:pPr>
            <w:r>
              <w:rPr>
                <w:sz w:val="18"/>
                <w:szCs w:val="18"/>
              </w:rPr>
              <w:t xml:space="preserve"> </w:t>
            </w:r>
          </w:p>
        </w:tc>
      </w:tr>
    </w:tbl>
    <w:p w14:paraId="511ACBF4" w14:textId="77777777" w:rsidR="003724F3" w:rsidRDefault="003724F3" w:rsidP="00496939">
      <w:pPr>
        <w:rPr>
          <w:rFonts w:ascii="Arial" w:hAnsi="Arial" w:cs="Arial"/>
          <w:b/>
          <w:sz w:val="20"/>
          <w:szCs w:val="20"/>
        </w:rPr>
      </w:pPr>
    </w:p>
    <w:p w14:paraId="0C0F3ACB" w14:textId="77777777" w:rsidR="0071558F" w:rsidRPr="000F02F5" w:rsidRDefault="003724F3" w:rsidP="0071558F">
      <w:pPr>
        <w:rPr>
          <w:rFonts w:ascii="Arial" w:hAnsi="Arial" w:cs="Arial"/>
          <w:sz w:val="20"/>
          <w:szCs w:val="20"/>
        </w:rPr>
      </w:pPr>
      <w:r w:rsidRPr="003724F3">
        <w:rPr>
          <w:rFonts w:ascii="Arial" w:hAnsi="Arial" w:cs="Arial"/>
          <w:sz w:val="20"/>
          <w:szCs w:val="20"/>
        </w:rPr>
        <w:t>Th</w:t>
      </w:r>
      <w:r>
        <w:rPr>
          <w:rFonts w:ascii="Arial" w:hAnsi="Arial" w:cs="Arial"/>
          <w:sz w:val="20"/>
          <w:szCs w:val="20"/>
        </w:rPr>
        <w:t xml:space="preserve">e Journal Entry </w:t>
      </w:r>
      <w:r w:rsidRPr="003724F3">
        <w:rPr>
          <w:rFonts w:ascii="Arial" w:hAnsi="Arial" w:cs="Arial"/>
          <w:sz w:val="20"/>
          <w:szCs w:val="20"/>
        </w:rPr>
        <w:t>should be reversed in the new set of accounts</w:t>
      </w:r>
      <w:r>
        <w:rPr>
          <w:rFonts w:ascii="Arial" w:hAnsi="Arial" w:cs="Arial"/>
          <w:sz w:val="20"/>
          <w:szCs w:val="20"/>
        </w:rPr>
        <w:t>.</w:t>
      </w:r>
    </w:p>
    <w:p w14:paraId="3F4F277B" w14:textId="77777777" w:rsidR="0048743F" w:rsidRPr="005E75B1" w:rsidRDefault="0071558F" w:rsidP="0048743F">
      <w:pPr>
        <w:jc w:val="center"/>
        <w:rPr>
          <w:rFonts w:ascii="Arial" w:hAnsi="Arial" w:cs="Arial"/>
          <w:i/>
          <w:color w:val="FF0000"/>
          <w:sz w:val="20"/>
          <w:szCs w:val="20"/>
        </w:rPr>
      </w:pPr>
      <w:r>
        <w:rPr>
          <w:rFonts w:ascii="Arial" w:hAnsi="Arial" w:cs="Arial"/>
          <w:b/>
          <w:sz w:val="20"/>
          <w:szCs w:val="20"/>
        </w:rPr>
        <w:br w:type="page"/>
      </w:r>
      <w:r w:rsidR="00A64217" w:rsidRPr="005E75B1">
        <w:rPr>
          <w:rFonts w:ascii="Arial" w:hAnsi="Arial" w:cs="Arial"/>
          <w:i/>
          <w:color w:val="FF0000"/>
          <w:sz w:val="20"/>
          <w:szCs w:val="20"/>
        </w:rPr>
        <w:lastRenderedPageBreak/>
        <w:t xml:space="preserve"> </w:t>
      </w:r>
    </w:p>
    <w:p w14:paraId="5AAA7A31" w14:textId="77777777" w:rsidR="0048743F" w:rsidRDefault="0048743F" w:rsidP="0048743F">
      <w:pPr>
        <w:rPr>
          <w:rFonts w:ascii="Arial" w:hAnsi="Arial" w:cs="Arial"/>
          <w:sz w:val="20"/>
          <w:szCs w:val="20"/>
        </w:rPr>
      </w:pPr>
    </w:p>
    <w:p w14:paraId="591E81D7" w14:textId="77777777" w:rsidR="00523221" w:rsidRDefault="00523221" w:rsidP="0048743F">
      <w:pPr>
        <w:rPr>
          <w:rFonts w:ascii="Arial" w:hAnsi="Arial" w:cs="Arial"/>
          <w:sz w:val="20"/>
          <w:szCs w:val="20"/>
        </w:rPr>
      </w:pPr>
    </w:p>
    <w:p w14:paraId="0267FF5C" w14:textId="77777777" w:rsidR="009327E3" w:rsidRPr="005E75B1" w:rsidRDefault="009327E3" w:rsidP="0048743F">
      <w:pPr>
        <w:rPr>
          <w:rFonts w:ascii="Arial" w:hAnsi="Arial" w:cs="Arial"/>
          <w:sz w:val="20"/>
          <w:szCs w:val="20"/>
        </w:rPr>
      </w:pPr>
    </w:p>
    <w:p w14:paraId="6ABC0F43" w14:textId="77777777" w:rsidR="0048743F" w:rsidRPr="00A64217" w:rsidRDefault="00A64217" w:rsidP="0048743F">
      <w:pPr>
        <w:rPr>
          <w:rFonts w:ascii="Arial" w:hAnsi="Arial" w:cs="Arial"/>
          <w:b/>
        </w:rPr>
      </w:pPr>
      <w:r>
        <w:rPr>
          <w:rFonts w:ascii="Arial" w:hAnsi="Arial" w:cs="Arial"/>
          <w:b/>
        </w:rPr>
        <w:t>DIY Accounting Contact Information</w:t>
      </w:r>
    </w:p>
    <w:p w14:paraId="4BA268F0" w14:textId="77777777" w:rsidR="00A64217" w:rsidRDefault="00A64217" w:rsidP="0048743F">
      <w:pPr>
        <w:rPr>
          <w:rFonts w:ascii="Arial" w:hAnsi="Arial" w:cs="Arial"/>
          <w:sz w:val="20"/>
          <w:szCs w:val="20"/>
        </w:rPr>
      </w:pPr>
    </w:p>
    <w:p w14:paraId="660E970E" w14:textId="77777777" w:rsidR="00062210" w:rsidRPr="00EC53FC" w:rsidRDefault="00062210" w:rsidP="00062210">
      <w:pPr>
        <w:rPr>
          <w:rFonts w:ascii="Arial" w:hAnsi="Arial" w:cs="Arial"/>
          <w:b/>
          <w:sz w:val="20"/>
          <w:szCs w:val="20"/>
        </w:rPr>
      </w:pPr>
      <w:r w:rsidRPr="00EC53FC">
        <w:rPr>
          <w:rFonts w:ascii="Arial" w:hAnsi="Arial" w:cs="Arial"/>
          <w:sz w:val="20"/>
          <w:szCs w:val="20"/>
        </w:rPr>
        <w:t>Our website is the first place to look for any information:</w:t>
      </w:r>
      <w:r>
        <w:rPr>
          <w:rFonts w:ascii="Arial" w:hAnsi="Arial" w:cs="Arial"/>
          <w:b/>
          <w:sz w:val="20"/>
          <w:szCs w:val="20"/>
        </w:rPr>
        <w:t xml:space="preserve"> </w:t>
      </w:r>
      <w:hyperlink r:id="rId9" w:history="1">
        <w:r w:rsidRPr="00296863">
          <w:rPr>
            <w:rStyle w:val="Hyperlink"/>
            <w:rFonts w:ascii="Arial" w:hAnsi="Arial" w:cs="Arial"/>
            <w:sz w:val="20"/>
            <w:szCs w:val="20"/>
          </w:rPr>
          <w:t>http://www.diyaccounting.co.uk/</w:t>
        </w:r>
      </w:hyperlink>
      <w:r w:rsidRPr="00EC53FC">
        <w:rPr>
          <w:rFonts w:ascii="Arial" w:hAnsi="Arial" w:cs="Arial"/>
          <w:sz w:val="20"/>
          <w:szCs w:val="20"/>
        </w:rPr>
        <w:t xml:space="preserve"> </w:t>
      </w:r>
    </w:p>
    <w:p w14:paraId="58C5E54D" w14:textId="77777777" w:rsidR="00062210" w:rsidRPr="00EC53FC" w:rsidRDefault="00062210" w:rsidP="00062210">
      <w:pPr>
        <w:rPr>
          <w:rStyle w:val="Hyperlink"/>
          <w:rFonts w:ascii="Arial" w:hAnsi="Arial" w:cs="Arial"/>
          <w:sz w:val="20"/>
          <w:szCs w:val="20"/>
        </w:rPr>
      </w:pPr>
      <w:r w:rsidRPr="00EC53FC">
        <w:rPr>
          <w:rFonts w:ascii="Arial" w:hAnsi="Arial" w:cs="Arial"/>
          <w:sz w:val="20"/>
          <w:szCs w:val="20"/>
        </w:rPr>
        <w:t>When new packages are available the “Download” page will be updated on our website.</w:t>
      </w:r>
    </w:p>
    <w:p w14:paraId="3AFAA66C" w14:textId="77777777" w:rsidR="00062210" w:rsidRPr="00EC53FC" w:rsidRDefault="00062210" w:rsidP="00062210">
      <w:pPr>
        <w:rPr>
          <w:rFonts w:ascii="Arial" w:hAnsi="Arial" w:cs="Arial"/>
          <w:sz w:val="20"/>
          <w:szCs w:val="20"/>
        </w:rPr>
      </w:pPr>
    </w:p>
    <w:p w14:paraId="3CCF42D8" w14:textId="77777777" w:rsidR="00062210" w:rsidRPr="00EC53FC" w:rsidRDefault="00062210" w:rsidP="00062210">
      <w:pPr>
        <w:rPr>
          <w:rFonts w:ascii="Arial" w:hAnsi="Arial" w:cs="Arial"/>
          <w:sz w:val="20"/>
          <w:szCs w:val="20"/>
        </w:rPr>
      </w:pPr>
      <w:r w:rsidRPr="00EC53FC">
        <w:rPr>
          <w:rFonts w:ascii="Arial" w:hAnsi="Arial" w:cs="Arial"/>
          <w:sz w:val="20"/>
          <w:szCs w:val="20"/>
        </w:rPr>
        <w:t xml:space="preserve">DIY Accounting's spreadsheet packages </w:t>
      </w:r>
      <w:r>
        <w:rPr>
          <w:rFonts w:ascii="Arial" w:hAnsi="Arial" w:cs="Arial"/>
          <w:sz w:val="20"/>
          <w:szCs w:val="20"/>
        </w:rPr>
        <w:t>are maintained and supported under an</w:t>
      </w:r>
      <w:r w:rsidRPr="00EC53FC">
        <w:rPr>
          <w:rFonts w:ascii="Arial" w:hAnsi="Arial" w:cs="Arial"/>
          <w:sz w:val="20"/>
          <w:szCs w:val="20"/>
        </w:rPr>
        <w:t xml:space="preserve"> </w:t>
      </w:r>
      <w:proofErr w:type="gramStart"/>
      <w:r w:rsidRPr="00EC53FC">
        <w:rPr>
          <w:rFonts w:ascii="Arial" w:hAnsi="Arial" w:cs="Arial"/>
          <w:sz w:val="20"/>
          <w:szCs w:val="20"/>
        </w:rPr>
        <w:t>Open Source</w:t>
      </w:r>
      <w:proofErr w:type="gramEnd"/>
      <w:r w:rsidRPr="00EC53FC">
        <w:rPr>
          <w:rFonts w:ascii="Arial" w:hAnsi="Arial" w:cs="Arial"/>
          <w:sz w:val="20"/>
          <w:szCs w:val="20"/>
        </w:rPr>
        <w:t xml:space="preserve"> model. In return for allowing anyone access to our source files, we find an indefinite low-cost home at GitHub. We continue to keep the website up with downloads for up-to-date packages. This model relies upon community support (an online forum) and accepting donations instead of retaining paid staff and charging a fee.</w:t>
      </w:r>
    </w:p>
    <w:p w14:paraId="7644287D" w14:textId="77777777" w:rsidR="00062210" w:rsidRPr="00EC53FC" w:rsidRDefault="00062210" w:rsidP="00062210">
      <w:pPr>
        <w:rPr>
          <w:rFonts w:ascii="Arial" w:hAnsi="Arial" w:cs="Arial"/>
          <w:sz w:val="20"/>
          <w:szCs w:val="20"/>
        </w:rPr>
      </w:pPr>
    </w:p>
    <w:p w14:paraId="2FD24350" w14:textId="77777777" w:rsidR="00062210" w:rsidRPr="00EC53FC" w:rsidRDefault="00062210" w:rsidP="00062210">
      <w:pPr>
        <w:rPr>
          <w:rFonts w:ascii="Arial" w:hAnsi="Arial" w:cs="Arial"/>
          <w:sz w:val="20"/>
          <w:szCs w:val="20"/>
        </w:rPr>
      </w:pPr>
      <w:r w:rsidRPr="00EC53FC">
        <w:rPr>
          <w:rFonts w:ascii="Arial" w:hAnsi="Arial" w:cs="Arial"/>
          <w:sz w:val="20"/>
          <w:szCs w:val="20"/>
        </w:rPr>
        <w:t>Please raise a question in our discussion forum here: </w:t>
      </w:r>
      <w:hyperlink r:id="rId10" w:history="1">
        <w:r w:rsidRPr="00EC53FC">
          <w:rPr>
            <w:rStyle w:val="Hyperlink"/>
            <w:rFonts w:ascii="Arial" w:hAnsi="Arial" w:cs="Arial"/>
            <w:color w:val="1155CC"/>
            <w:sz w:val="20"/>
            <w:szCs w:val="20"/>
          </w:rPr>
          <w:t>https://github.com/antonycc/diy-accounting/discussions</w:t>
        </w:r>
      </w:hyperlink>
      <w:r w:rsidRPr="00EC53FC">
        <w:rPr>
          <w:rFonts w:ascii="Arial" w:hAnsi="Arial" w:cs="Arial"/>
          <w:sz w:val="20"/>
          <w:szCs w:val="20"/>
        </w:rPr>
        <w:t> </w:t>
      </w:r>
    </w:p>
    <w:p w14:paraId="306D304D" w14:textId="77777777" w:rsidR="00062210" w:rsidRPr="00EC53FC" w:rsidRDefault="00062210" w:rsidP="00062210">
      <w:pPr>
        <w:rPr>
          <w:rFonts w:ascii="Arial" w:hAnsi="Arial" w:cs="Arial"/>
          <w:sz w:val="20"/>
          <w:szCs w:val="20"/>
        </w:rPr>
      </w:pPr>
    </w:p>
    <w:p w14:paraId="67E2C473" w14:textId="77777777" w:rsidR="00062210" w:rsidRPr="00EC53FC" w:rsidRDefault="00062210" w:rsidP="00062210">
      <w:pPr>
        <w:rPr>
          <w:rFonts w:ascii="Arial" w:hAnsi="Arial" w:cs="Arial"/>
          <w:sz w:val="20"/>
          <w:szCs w:val="20"/>
        </w:rPr>
      </w:pPr>
      <w:r w:rsidRPr="00EC53FC">
        <w:rPr>
          <w:rFonts w:ascii="Arial" w:hAnsi="Arial" w:cs="Arial"/>
          <w:sz w:val="20"/>
          <w:szCs w:val="20"/>
        </w:rPr>
        <w:t>Or donate to help use keep the packages updated here: </w:t>
      </w:r>
      <w:hyperlink r:id="rId11" w:history="1">
        <w:r w:rsidRPr="00EC53FC">
          <w:rPr>
            <w:rStyle w:val="Hyperlink"/>
            <w:rFonts w:ascii="Arial" w:hAnsi="Arial" w:cs="Arial"/>
            <w:sz w:val="20"/>
            <w:szCs w:val="20"/>
          </w:rPr>
          <w:t>https://www.paypal.com/donate/?hosted_button_id=XTEQ73HM52QQW</w:t>
        </w:r>
      </w:hyperlink>
    </w:p>
    <w:p w14:paraId="02B35A7C" w14:textId="77777777" w:rsidR="008A3046" w:rsidRPr="004344C9" w:rsidRDefault="008A3046" w:rsidP="004344C9">
      <w:pPr>
        <w:rPr>
          <w:rFonts w:ascii="Arial" w:hAnsi="Arial" w:cs="Arial"/>
          <w:sz w:val="20"/>
          <w:szCs w:val="20"/>
        </w:rPr>
      </w:pPr>
    </w:p>
    <w:p w14:paraId="35A308C3" w14:textId="77777777" w:rsidR="008168EA" w:rsidRDefault="008168EA" w:rsidP="00BB5F3B"/>
    <w:p w14:paraId="4A93DFC8" w14:textId="77777777" w:rsidR="008A3046" w:rsidRPr="005E75B1" w:rsidRDefault="008A3046" w:rsidP="00BB5F3B">
      <w:r>
        <w:rPr>
          <w:b/>
          <w:noProof/>
          <w:lang w:eastAsia="en-GB"/>
        </w:rPr>
        <w:drawing>
          <wp:inline distT="0" distB="0" distL="0" distR="0" wp14:anchorId="4ABF94A4" wp14:editId="32B62189">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sectPr w:rsidR="008A3046" w:rsidRPr="005E75B1" w:rsidSect="00195736">
      <w:footerReference w:type="even" r:id="rId12"/>
      <w:footerReference w:type="defaul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54997" w14:textId="77777777" w:rsidR="00D0028F" w:rsidRDefault="00D0028F">
      <w:r>
        <w:separator/>
      </w:r>
    </w:p>
  </w:endnote>
  <w:endnote w:type="continuationSeparator" w:id="0">
    <w:p w14:paraId="1390BCC2" w14:textId="77777777" w:rsidR="00D0028F" w:rsidRDefault="00D0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A935" w14:textId="77777777"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13A8">
      <w:rPr>
        <w:rStyle w:val="PageNumber"/>
        <w:noProof/>
      </w:rPr>
      <w:t>1</w:t>
    </w:r>
    <w:r>
      <w:rPr>
        <w:rStyle w:val="PageNumber"/>
      </w:rPr>
      <w:fldChar w:fldCharType="end"/>
    </w:r>
  </w:p>
  <w:p w14:paraId="784B4B4B" w14:textId="77777777" w:rsidR="004B74F3" w:rsidRDefault="004B7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48646" w14:textId="77777777" w:rsidR="004B74F3" w:rsidRDefault="004B74F3"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13A8">
      <w:rPr>
        <w:rStyle w:val="PageNumber"/>
        <w:noProof/>
      </w:rPr>
      <w:t>3</w:t>
    </w:r>
    <w:r>
      <w:rPr>
        <w:rStyle w:val="PageNumber"/>
      </w:rPr>
      <w:fldChar w:fldCharType="end"/>
    </w:r>
  </w:p>
  <w:p w14:paraId="0AEFEBF2" w14:textId="77777777" w:rsidR="004B74F3" w:rsidRDefault="004B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100CF" w14:textId="77777777" w:rsidR="00D0028F" w:rsidRDefault="00D0028F">
      <w:r>
        <w:separator/>
      </w:r>
    </w:p>
  </w:footnote>
  <w:footnote w:type="continuationSeparator" w:id="0">
    <w:p w14:paraId="392D672C" w14:textId="77777777" w:rsidR="00D0028F" w:rsidRDefault="00D00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417D"/>
    <w:multiLevelType w:val="hybridMultilevel"/>
    <w:tmpl w:val="59F4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B2E73"/>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551B2"/>
    <w:multiLevelType w:val="hybridMultilevel"/>
    <w:tmpl w:val="D430B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231FE8"/>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E6E87"/>
    <w:multiLevelType w:val="hybridMultilevel"/>
    <w:tmpl w:val="16E6E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6F4B6B"/>
    <w:multiLevelType w:val="hybridMultilevel"/>
    <w:tmpl w:val="3B70A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71B95"/>
    <w:multiLevelType w:val="hybridMultilevel"/>
    <w:tmpl w:val="B9AC7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9195108">
    <w:abstractNumId w:val="0"/>
  </w:num>
  <w:num w:numId="2" w16cid:durableId="1298293075">
    <w:abstractNumId w:val="6"/>
  </w:num>
  <w:num w:numId="3" w16cid:durableId="64763033">
    <w:abstractNumId w:val="1"/>
  </w:num>
  <w:num w:numId="4" w16cid:durableId="1559513118">
    <w:abstractNumId w:val="3"/>
  </w:num>
  <w:num w:numId="5" w16cid:durableId="803550121">
    <w:abstractNumId w:val="2"/>
  </w:num>
  <w:num w:numId="6" w16cid:durableId="89737620">
    <w:abstractNumId w:val="5"/>
  </w:num>
  <w:num w:numId="7" w16cid:durableId="1318412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487"/>
    <w:rsid w:val="000008BB"/>
    <w:rsid w:val="00001CF9"/>
    <w:rsid w:val="00011EAC"/>
    <w:rsid w:val="00013BD8"/>
    <w:rsid w:val="00014250"/>
    <w:rsid w:val="000252FD"/>
    <w:rsid w:val="000459A5"/>
    <w:rsid w:val="00053AB7"/>
    <w:rsid w:val="0005771A"/>
    <w:rsid w:val="00061DE7"/>
    <w:rsid w:val="00062210"/>
    <w:rsid w:val="00070260"/>
    <w:rsid w:val="00077E85"/>
    <w:rsid w:val="00077F21"/>
    <w:rsid w:val="00087C0D"/>
    <w:rsid w:val="000A4426"/>
    <w:rsid w:val="000A4BF7"/>
    <w:rsid w:val="000A4F93"/>
    <w:rsid w:val="000A7055"/>
    <w:rsid w:val="000B007E"/>
    <w:rsid w:val="000B2F2B"/>
    <w:rsid w:val="000C6357"/>
    <w:rsid w:val="000C6F8B"/>
    <w:rsid w:val="000C759F"/>
    <w:rsid w:val="000D273B"/>
    <w:rsid w:val="000D2F76"/>
    <w:rsid w:val="000E2D12"/>
    <w:rsid w:val="000E6272"/>
    <w:rsid w:val="000F1A20"/>
    <w:rsid w:val="00103CE7"/>
    <w:rsid w:val="0010412C"/>
    <w:rsid w:val="001122B2"/>
    <w:rsid w:val="00114C90"/>
    <w:rsid w:val="00132826"/>
    <w:rsid w:val="0013338F"/>
    <w:rsid w:val="001409CA"/>
    <w:rsid w:val="00142842"/>
    <w:rsid w:val="0014375D"/>
    <w:rsid w:val="00143E06"/>
    <w:rsid w:val="00145B20"/>
    <w:rsid w:val="00152EE0"/>
    <w:rsid w:val="00156E5B"/>
    <w:rsid w:val="00165085"/>
    <w:rsid w:val="00167819"/>
    <w:rsid w:val="00171631"/>
    <w:rsid w:val="00173403"/>
    <w:rsid w:val="00173A5D"/>
    <w:rsid w:val="0019247F"/>
    <w:rsid w:val="001932A9"/>
    <w:rsid w:val="001947DB"/>
    <w:rsid w:val="00195736"/>
    <w:rsid w:val="0019724E"/>
    <w:rsid w:val="001C222B"/>
    <w:rsid w:val="001C27C7"/>
    <w:rsid w:val="001C582D"/>
    <w:rsid w:val="001D62A8"/>
    <w:rsid w:val="001E1292"/>
    <w:rsid w:val="001E6E1B"/>
    <w:rsid w:val="001F0562"/>
    <w:rsid w:val="001F0B6D"/>
    <w:rsid w:val="001F4489"/>
    <w:rsid w:val="001F45C9"/>
    <w:rsid w:val="002050D2"/>
    <w:rsid w:val="00206258"/>
    <w:rsid w:val="002124D8"/>
    <w:rsid w:val="00217689"/>
    <w:rsid w:val="0022533B"/>
    <w:rsid w:val="00243A14"/>
    <w:rsid w:val="00245D02"/>
    <w:rsid w:val="002476AB"/>
    <w:rsid w:val="00247A7A"/>
    <w:rsid w:val="00250151"/>
    <w:rsid w:val="0025768F"/>
    <w:rsid w:val="00257B73"/>
    <w:rsid w:val="00263ADD"/>
    <w:rsid w:val="002644B4"/>
    <w:rsid w:val="00274202"/>
    <w:rsid w:val="00274477"/>
    <w:rsid w:val="002827D0"/>
    <w:rsid w:val="00286590"/>
    <w:rsid w:val="00291330"/>
    <w:rsid w:val="00293B2B"/>
    <w:rsid w:val="002A15D3"/>
    <w:rsid w:val="002B3184"/>
    <w:rsid w:val="002C2E56"/>
    <w:rsid w:val="002E25A4"/>
    <w:rsid w:val="002F20AA"/>
    <w:rsid w:val="002F3FE6"/>
    <w:rsid w:val="003023DA"/>
    <w:rsid w:val="00306001"/>
    <w:rsid w:val="0031506C"/>
    <w:rsid w:val="00323770"/>
    <w:rsid w:val="0033195C"/>
    <w:rsid w:val="003323DA"/>
    <w:rsid w:val="00341B6D"/>
    <w:rsid w:val="00343AEE"/>
    <w:rsid w:val="00345EEB"/>
    <w:rsid w:val="0035648A"/>
    <w:rsid w:val="00363F88"/>
    <w:rsid w:val="00365378"/>
    <w:rsid w:val="003724F3"/>
    <w:rsid w:val="00377CDB"/>
    <w:rsid w:val="003809DF"/>
    <w:rsid w:val="0038678C"/>
    <w:rsid w:val="003928A0"/>
    <w:rsid w:val="0039780B"/>
    <w:rsid w:val="003B1ECA"/>
    <w:rsid w:val="003B595D"/>
    <w:rsid w:val="003D1FCE"/>
    <w:rsid w:val="003D65A0"/>
    <w:rsid w:val="003E2F08"/>
    <w:rsid w:val="003F01D1"/>
    <w:rsid w:val="00405A96"/>
    <w:rsid w:val="004208DD"/>
    <w:rsid w:val="00423675"/>
    <w:rsid w:val="004344C9"/>
    <w:rsid w:val="0043696D"/>
    <w:rsid w:val="0044207E"/>
    <w:rsid w:val="00443EF2"/>
    <w:rsid w:val="004443EC"/>
    <w:rsid w:val="00446487"/>
    <w:rsid w:val="0046022A"/>
    <w:rsid w:val="00462D1B"/>
    <w:rsid w:val="00465C44"/>
    <w:rsid w:val="00465CA4"/>
    <w:rsid w:val="004830F7"/>
    <w:rsid w:val="004868A9"/>
    <w:rsid w:val="0048743F"/>
    <w:rsid w:val="00496939"/>
    <w:rsid w:val="004A2045"/>
    <w:rsid w:val="004B2D37"/>
    <w:rsid w:val="004B63DC"/>
    <w:rsid w:val="004B6DCA"/>
    <w:rsid w:val="004B74F3"/>
    <w:rsid w:val="004C1650"/>
    <w:rsid w:val="004D0896"/>
    <w:rsid w:val="004D1692"/>
    <w:rsid w:val="004E1DF5"/>
    <w:rsid w:val="004E2C1B"/>
    <w:rsid w:val="004F4D31"/>
    <w:rsid w:val="004F7394"/>
    <w:rsid w:val="004F7C15"/>
    <w:rsid w:val="00500454"/>
    <w:rsid w:val="00501228"/>
    <w:rsid w:val="005048CE"/>
    <w:rsid w:val="0051093C"/>
    <w:rsid w:val="00523221"/>
    <w:rsid w:val="00524766"/>
    <w:rsid w:val="00542ED9"/>
    <w:rsid w:val="005459C2"/>
    <w:rsid w:val="00547715"/>
    <w:rsid w:val="00554932"/>
    <w:rsid w:val="0055588E"/>
    <w:rsid w:val="00555A66"/>
    <w:rsid w:val="00556834"/>
    <w:rsid w:val="0055783F"/>
    <w:rsid w:val="00562BDB"/>
    <w:rsid w:val="00563B8C"/>
    <w:rsid w:val="00565EA6"/>
    <w:rsid w:val="00566E40"/>
    <w:rsid w:val="0056745E"/>
    <w:rsid w:val="005709A5"/>
    <w:rsid w:val="005724B7"/>
    <w:rsid w:val="005833B7"/>
    <w:rsid w:val="005A1265"/>
    <w:rsid w:val="005A6314"/>
    <w:rsid w:val="005B0B6A"/>
    <w:rsid w:val="005B11CC"/>
    <w:rsid w:val="005B3083"/>
    <w:rsid w:val="005C2278"/>
    <w:rsid w:val="005D7D04"/>
    <w:rsid w:val="005E184C"/>
    <w:rsid w:val="005E51D2"/>
    <w:rsid w:val="005E75B1"/>
    <w:rsid w:val="005F608C"/>
    <w:rsid w:val="00601AEC"/>
    <w:rsid w:val="00601E55"/>
    <w:rsid w:val="00603D54"/>
    <w:rsid w:val="00604938"/>
    <w:rsid w:val="00610BB5"/>
    <w:rsid w:val="00614174"/>
    <w:rsid w:val="00620CF9"/>
    <w:rsid w:val="0062128E"/>
    <w:rsid w:val="00624A5E"/>
    <w:rsid w:val="00624F64"/>
    <w:rsid w:val="006361D4"/>
    <w:rsid w:val="006465CD"/>
    <w:rsid w:val="00654C52"/>
    <w:rsid w:val="00655FFD"/>
    <w:rsid w:val="006625E4"/>
    <w:rsid w:val="00692790"/>
    <w:rsid w:val="006971E4"/>
    <w:rsid w:val="006B4EEC"/>
    <w:rsid w:val="006D2377"/>
    <w:rsid w:val="006D3C74"/>
    <w:rsid w:val="006D3E90"/>
    <w:rsid w:val="006D5730"/>
    <w:rsid w:val="006D61A0"/>
    <w:rsid w:val="006E2000"/>
    <w:rsid w:val="006E2CC4"/>
    <w:rsid w:val="006F0219"/>
    <w:rsid w:val="006F07CD"/>
    <w:rsid w:val="006F3E20"/>
    <w:rsid w:val="00703FB4"/>
    <w:rsid w:val="00707D7A"/>
    <w:rsid w:val="0071558F"/>
    <w:rsid w:val="00730881"/>
    <w:rsid w:val="00730889"/>
    <w:rsid w:val="00734AB8"/>
    <w:rsid w:val="00746139"/>
    <w:rsid w:val="0075293C"/>
    <w:rsid w:val="00755A46"/>
    <w:rsid w:val="007609A8"/>
    <w:rsid w:val="007610AF"/>
    <w:rsid w:val="00770BDF"/>
    <w:rsid w:val="00777BCF"/>
    <w:rsid w:val="00781D7E"/>
    <w:rsid w:val="0078294F"/>
    <w:rsid w:val="00783C19"/>
    <w:rsid w:val="00785187"/>
    <w:rsid w:val="00787676"/>
    <w:rsid w:val="007946AF"/>
    <w:rsid w:val="00796033"/>
    <w:rsid w:val="00797B84"/>
    <w:rsid w:val="007A14C2"/>
    <w:rsid w:val="007A213F"/>
    <w:rsid w:val="007A3870"/>
    <w:rsid w:val="007B66EA"/>
    <w:rsid w:val="007C5A1C"/>
    <w:rsid w:val="007D5D08"/>
    <w:rsid w:val="007E0BD5"/>
    <w:rsid w:val="007E4AC6"/>
    <w:rsid w:val="007E7E19"/>
    <w:rsid w:val="007F2538"/>
    <w:rsid w:val="007F357F"/>
    <w:rsid w:val="00801147"/>
    <w:rsid w:val="008168EA"/>
    <w:rsid w:val="00830EB2"/>
    <w:rsid w:val="00852414"/>
    <w:rsid w:val="00856E13"/>
    <w:rsid w:val="0088262E"/>
    <w:rsid w:val="00883E18"/>
    <w:rsid w:val="00883F7B"/>
    <w:rsid w:val="00884E05"/>
    <w:rsid w:val="00884EC1"/>
    <w:rsid w:val="00890D44"/>
    <w:rsid w:val="00896B6C"/>
    <w:rsid w:val="008A3046"/>
    <w:rsid w:val="008B214B"/>
    <w:rsid w:val="008C2A34"/>
    <w:rsid w:val="008C3241"/>
    <w:rsid w:val="008C434F"/>
    <w:rsid w:val="008D0ECB"/>
    <w:rsid w:val="008D129F"/>
    <w:rsid w:val="008D13A8"/>
    <w:rsid w:val="008D13CA"/>
    <w:rsid w:val="008D1B7B"/>
    <w:rsid w:val="008D5ED1"/>
    <w:rsid w:val="008E40DF"/>
    <w:rsid w:val="008E5958"/>
    <w:rsid w:val="008F1DA4"/>
    <w:rsid w:val="008F5AF3"/>
    <w:rsid w:val="008F6E26"/>
    <w:rsid w:val="008F7F85"/>
    <w:rsid w:val="008F7FBC"/>
    <w:rsid w:val="00902F8C"/>
    <w:rsid w:val="00904681"/>
    <w:rsid w:val="00924F95"/>
    <w:rsid w:val="00924FE3"/>
    <w:rsid w:val="00927848"/>
    <w:rsid w:val="009327E3"/>
    <w:rsid w:val="00936788"/>
    <w:rsid w:val="0094031A"/>
    <w:rsid w:val="009444C4"/>
    <w:rsid w:val="009632F4"/>
    <w:rsid w:val="00964AEC"/>
    <w:rsid w:val="00970E5E"/>
    <w:rsid w:val="00975B0E"/>
    <w:rsid w:val="00983B3D"/>
    <w:rsid w:val="009868C4"/>
    <w:rsid w:val="00987592"/>
    <w:rsid w:val="00991830"/>
    <w:rsid w:val="009973BD"/>
    <w:rsid w:val="009A6D0B"/>
    <w:rsid w:val="009B0454"/>
    <w:rsid w:val="009B046F"/>
    <w:rsid w:val="009B06AE"/>
    <w:rsid w:val="009B2102"/>
    <w:rsid w:val="009B528B"/>
    <w:rsid w:val="009D0DFF"/>
    <w:rsid w:val="009D2DBB"/>
    <w:rsid w:val="009D52AF"/>
    <w:rsid w:val="009D7E59"/>
    <w:rsid w:val="009E505D"/>
    <w:rsid w:val="009F170F"/>
    <w:rsid w:val="009F17FE"/>
    <w:rsid w:val="00A06B71"/>
    <w:rsid w:val="00A15CC2"/>
    <w:rsid w:val="00A22B5D"/>
    <w:rsid w:val="00A34C7B"/>
    <w:rsid w:val="00A34EF9"/>
    <w:rsid w:val="00A4264A"/>
    <w:rsid w:val="00A56780"/>
    <w:rsid w:val="00A64217"/>
    <w:rsid w:val="00A66ABC"/>
    <w:rsid w:val="00A8776C"/>
    <w:rsid w:val="00A916BA"/>
    <w:rsid w:val="00A94FB2"/>
    <w:rsid w:val="00AB7DD6"/>
    <w:rsid w:val="00AC13B8"/>
    <w:rsid w:val="00AD3080"/>
    <w:rsid w:val="00AD67D1"/>
    <w:rsid w:val="00AE3AF8"/>
    <w:rsid w:val="00AF142F"/>
    <w:rsid w:val="00AF4634"/>
    <w:rsid w:val="00AF5930"/>
    <w:rsid w:val="00AF68F3"/>
    <w:rsid w:val="00B012D3"/>
    <w:rsid w:val="00B066A3"/>
    <w:rsid w:val="00B1794D"/>
    <w:rsid w:val="00B21E55"/>
    <w:rsid w:val="00B35A8F"/>
    <w:rsid w:val="00B7256A"/>
    <w:rsid w:val="00B7533E"/>
    <w:rsid w:val="00B80954"/>
    <w:rsid w:val="00B90C8F"/>
    <w:rsid w:val="00B92EA5"/>
    <w:rsid w:val="00B94820"/>
    <w:rsid w:val="00BA1ACD"/>
    <w:rsid w:val="00BA4237"/>
    <w:rsid w:val="00BA4333"/>
    <w:rsid w:val="00BA4783"/>
    <w:rsid w:val="00BA7BDB"/>
    <w:rsid w:val="00BB5F3B"/>
    <w:rsid w:val="00BB766F"/>
    <w:rsid w:val="00BB7A4D"/>
    <w:rsid w:val="00BC7D13"/>
    <w:rsid w:val="00BD32B8"/>
    <w:rsid w:val="00BE4AF5"/>
    <w:rsid w:val="00BE7211"/>
    <w:rsid w:val="00C113A2"/>
    <w:rsid w:val="00C12893"/>
    <w:rsid w:val="00C34DC8"/>
    <w:rsid w:val="00C4007F"/>
    <w:rsid w:val="00C42545"/>
    <w:rsid w:val="00C446B0"/>
    <w:rsid w:val="00C50283"/>
    <w:rsid w:val="00C52D44"/>
    <w:rsid w:val="00C54141"/>
    <w:rsid w:val="00C55D9B"/>
    <w:rsid w:val="00C740F6"/>
    <w:rsid w:val="00C87385"/>
    <w:rsid w:val="00C87EC5"/>
    <w:rsid w:val="00C91627"/>
    <w:rsid w:val="00CA3626"/>
    <w:rsid w:val="00CA6B65"/>
    <w:rsid w:val="00CB3B29"/>
    <w:rsid w:val="00CB74BE"/>
    <w:rsid w:val="00CC5663"/>
    <w:rsid w:val="00D0028F"/>
    <w:rsid w:val="00D02DF7"/>
    <w:rsid w:val="00D12254"/>
    <w:rsid w:val="00D15FD9"/>
    <w:rsid w:val="00D20624"/>
    <w:rsid w:val="00D31A07"/>
    <w:rsid w:val="00D37B47"/>
    <w:rsid w:val="00D411FF"/>
    <w:rsid w:val="00D47F93"/>
    <w:rsid w:val="00D512A8"/>
    <w:rsid w:val="00D603A6"/>
    <w:rsid w:val="00D62ADF"/>
    <w:rsid w:val="00D64E33"/>
    <w:rsid w:val="00D87006"/>
    <w:rsid w:val="00D93223"/>
    <w:rsid w:val="00DA7DD8"/>
    <w:rsid w:val="00DB279D"/>
    <w:rsid w:val="00DC407F"/>
    <w:rsid w:val="00DC7CA1"/>
    <w:rsid w:val="00DD3D12"/>
    <w:rsid w:val="00DE06E9"/>
    <w:rsid w:val="00DE1E8D"/>
    <w:rsid w:val="00DF52EA"/>
    <w:rsid w:val="00E035D6"/>
    <w:rsid w:val="00E278A4"/>
    <w:rsid w:val="00E37D70"/>
    <w:rsid w:val="00E40579"/>
    <w:rsid w:val="00E40ABE"/>
    <w:rsid w:val="00E45F4D"/>
    <w:rsid w:val="00E50519"/>
    <w:rsid w:val="00E65448"/>
    <w:rsid w:val="00E834D7"/>
    <w:rsid w:val="00E961DE"/>
    <w:rsid w:val="00EA1FAA"/>
    <w:rsid w:val="00EA36D3"/>
    <w:rsid w:val="00EA5EF9"/>
    <w:rsid w:val="00EB00E4"/>
    <w:rsid w:val="00EB5ADA"/>
    <w:rsid w:val="00EC7358"/>
    <w:rsid w:val="00EE1A34"/>
    <w:rsid w:val="00EE6031"/>
    <w:rsid w:val="00F21B04"/>
    <w:rsid w:val="00F21E3C"/>
    <w:rsid w:val="00F25400"/>
    <w:rsid w:val="00F25AB9"/>
    <w:rsid w:val="00F266B1"/>
    <w:rsid w:val="00F33D5C"/>
    <w:rsid w:val="00F35AE8"/>
    <w:rsid w:val="00F41041"/>
    <w:rsid w:val="00F55E5C"/>
    <w:rsid w:val="00F5694B"/>
    <w:rsid w:val="00F61A98"/>
    <w:rsid w:val="00F76017"/>
    <w:rsid w:val="00F81DBD"/>
    <w:rsid w:val="00F8632B"/>
    <w:rsid w:val="00F970B2"/>
    <w:rsid w:val="00FA3396"/>
    <w:rsid w:val="00FA4B96"/>
    <w:rsid w:val="00FA78BC"/>
    <w:rsid w:val="00FB2866"/>
    <w:rsid w:val="00FB293B"/>
    <w:rsid w:val="00FB7D2E"/>
    <w:rsid w:val="00FD4C47"/>
    <w:rsid w:val="00FE5A84"/>
    <w:rsid w:val="00FE676D"/>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B0450"/>
  <w15:docId w15:val="{33490FCC-7BA5-2645-A283-33A6953C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C40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 w:type="character" w:customStyle="1" w:styleId="Heading1Char">
    <w:name w:val="Heading 1 Char"/>
    <w:basedOn w:val="DefaultParagraphFont"/>
    <w:link w:val="Heading1"/>
    <w:uiPriority w:val="9"/>
    <w:rsid w:val="00DC407F"/>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325397227">
      <w:bodyDiv w:val="1"/>
      <w:marLeft w:val="0"/>
      <w:marRight w:val="0"/>
      <w:marTop w:val="0"/>
      <w:marBottom w:val="0"/>
      <w:divBdr>
        <w:top w:val="none" w:sz="0" w:space="0" w:color="auto"/>
        <w:left w:val="none" w:sz="0" w:space="0" w:color="auto"/>
        <w:bottom w:val="none" w:sz="0" w:space="0" w:color="auto"/>
        <w:right w:val="none" w:sz="0" w:space="0" w:color="auto"/>
      </w:divBdr>
    </w:div>
    <w:div w:id="360404564">
      <w:bodyDiv w:val="1"/>
      <w:marLeft w:val="0"/>
      <w:marRight w:val="0"/>
      <w:marTop w:val="0"/>
      <w:marBottom w:val="0"/>
      <w:divBdr>
        <w:top w:val="none" w:sz="0" w:space="0" w:color="auto"/>
        <w:left w:val="none" w:sz="0" w:space="0" w:color="auto"/>
        <w:bottom w:val="none" w:sz="0" w:space="0" w:color="auto"/>
        <w:right w:val="none" w:sz="0" w:space="0" w:color="auto"/>
      </w:divBdr>
    </w:div>
    <w:div w:id="537741122">
      <w:bodyDiv w:val="1"/>
      <w:marLeft w:val="0"/>
      <w:marRight w:val="0"/>
      <w:marTop w:val="0"/>
      <w:marBottom w:val="0"/>
      <w:divBdr>
        <w:top w:val="none" w:sz="0" w:space="0" w:color="auto"/>
        <w:left w:val="none" w:sz="0" w:space="0" w:color="auto"/>
        <w:bottom w:val="none" w:sz="0" w:space="0" w:color="auto"/>
        <w:right w:val="none" w:sz="0" w:space="0" w:color="auto"/>
      </w:divBdr>
    </w:div>
    <w:div w:id="550505738">
      <w:bodyDiv w:val="1"/>
      <w:marLeft w:val="0"/>
      <w:marRight w:val="0"/>
      <w:marTop w:val="0"/>
      <w:marBottom w:val="0"/>
      <w:divBdr>
        <w:top w:val="none" w:sz="0" w:space="0" w:color="auto"/>
        <w:left w:val="none" w:sz="0" w:space="0" w:color="auto"/>
        <w:bottom w:val="none" w:sz="0" w:space="0" w:color="auto"/>
        <w:right w:val="none" w:sz="0" w:space="0" w:color="auto"/>
      </w:divBdr>
    </w:div>
    <w:div w:id="598833096">
      <w:bodyDiv w:val="1"/>
      <w:marLeft w:val="0"/>
      <w:marRight w:val="0"/>
      <w:marTop w:val="0"/>
      <w:marBottom w:val="0"/>
      <w:divBdr>
        <w:top w:val="none" w:sz="0" w:space="0" w:color="auto"/>
        <w:left w:val="none" w:sz="0" w:space="0" w:color="auto"/>
        <w:bottom w:val="none" w:sz="0" w:space="0" w:color="auto"/>
        <w:right w:val="none" w:sz="0" w:space="0" w:color="auto"/>
      </w:divBdr>
    </w:div>
    <w:div w:id="629676966">
      <w:bodyDiv w:val="1"/>
      <w:marLeft w:val="0"/>
      <w:marRight w:val="0"/>
      <w:marTop w:val="0"/>
      <w:marBottom w:val="0"/>
      <w:divBdr>
        <w:top w:val="none" w:sz="0" w:space="0" w:color="auto"/>
        <w:left w:val="none" w:sz="0" w:space="0" w:color="auto"/>
        <w:bottom w:val="none" w:sz="0" w:space="0" w:color="auto"/>
        <w:right w:val="none" w:sz="0" w:space="0" w:color="auto"/>
      </w:divBdr>
    </w:div>
    <w:div w:id="688871504">
      <w:bodyDiv w:val="1"/>
      <w:marLeft w:val="0"/>
      <w:marRight w:val="0"/>
      <w:marTop w:val="0"/>
      <w:marBottom w:val="0"/>
      <w:divBdr>
        <w:top w:val="none" w:sz="0" w:space="0" w:color="auto"/>
        <w:left w:val="none" w:sz="0" w:space="0" w:color="auto"/>
        <w:bottom w:val="none" w:sz="0" w:space="0" w:color="auto"/>
        <w:right w:val="none" w:sz="0" w:space="0" w:color="auto"/>
      </w:divBdr>
    </w:div>
    <w:div w:id="753747979">
      <w:bodyDiv w:val="1"/>
      <w:marLeft w:val="0"/>
      <w:marRight w:val="0"/>
      <w:marTop w:val="0"/>
      <w:marBottom w:val="0"/>
      <w:divBdr>
        <w:top w:val="none" w:sz="0" w:space="0" w:color="auto"/>
        <w:left w:val="none" w:sz="0" w:space="0" w:color="auto"/>
        <w:bottom w:val="none" w:sz="0" w:space="0" w:color="auto"/>
        <w:right w:val="none" w:sz="0" w:space="0" w:color="auto"/>
      </w:divBdr>
    </w:div>
    <w:div w:id="760370386">
      <w:bodyDiv w:val="1"/>
      <w:marLeft w:val="0"/>
      <w:marRight w:val="0"/>
      <w:marTop w:val="0"/>
      <w:marBottom w:val="0"/>
      <w:divBdr>
        <w:top w:val="none" w:sz="0" w:space="0" w:color="auto"/>
        <w:left w:val="none" w:sz="0" w:space="0" w:color="auto"/>
        <w:bottom w:val="none" w:sz="0" w:space="0" w:color="auto"/>
        <w:right w:val="none" w:sz="0" w:space="0" w:color="auto"/>
      </w:divBdr>
    </w:div>
    <w:div w:id="800878666">
      <w:bodyDiv w:val="1"/>
      <w:marLeft w:val="0"/>
      <w:marRight w:val="0"/>
      <w:marTop w:val="0"/>
      <w:marBottom w:val="0"/>
      <w:divBdr>
        <w:top w:val="none" w:sz="0" w:space="0" w:color="auto"/>
        <w:left w:val="none" w:sz="0" w:space="0" w:color="auto"/>
        <w:bottom w:val="none" w:sz="0" w:space="0" w:color="auto"/>
        <w:right w:val="none" w:sz="0" w:space="0" w:color="auto"/>
      </w:divBdr>
    </w:div>
    <w:div w:id="811365947">
      <w:bodyDiv w:val="1"/>
      <w:marLeft w:val="0"/>
      <w:marRight w:val="0"/>
      <w:marTop w:val="0"/>
      <w:marBottom w:val="0"/>
      <w:divBdr>
        <w:top w:val="none" w:sz="0" w:space="0" w:color="auto"/>
        <w:left w:val="none" w:sz="0" w:space="0" w:color="auto"/>
        <w:bottom w:val="none" w:sz="0" w:space="0" w:color="auto"/>
        <w:right w:val="none" w:sz="0" w:space="0" w:color="auto"/>
      </w:divBdr>
    </w:div>
    <w:div w:id="836919071">
      <w:bodyDiv w:val="1"/>
      <w:marLeft w:val="0"/>
      <w:marRight w:val="0"/>
      <w:marTop w:val="0"/>
      <w:marBottom w:val="0"/>
      <w:divBdr>
        <w:top w:val="none" w:sz="0" w:space="0" w:color="auto"/>
        <w:left w:val="none" w:sz="0" w:space="0" w:color="auto"/>
        <w:bottom w:val="none" w:sz="0" w:space="0" w:color="auto"/>
        <w:right w:val="none" w:sz="0" w:space="0" w:color="auto"/>
      </w:divBdr>
    </w:div>
    <w:div w:id="845435953">
      <w:bodyDiv w:val="1"/>
      <w:marLeft w:val="0"/>
      <w:marRight w:val="0"/>
      <w:marTop w:val="0"/>
      <w:marBottom w:val="0"/>
      <w:divBdr>
        <w:top w:val="none" w:sz="0" w:space="0" w:color="auto"/>
        <w:left w:val="none" w:sz="0" w:space="0" w:color="auto"/>
        <w:bottom w:val="none" w:sz="0" w:space="0" w:color="auto"/>
        <w:right w:val="none" w:sz="0" w:space="0" w:color="auto"/>
      </w:divBdr>
    </w:div>
    <w:div w:id="887455349">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918830105">
      <w:bodyDiv w:val="1"/>
      <w:marLeft w:val="0"/>
      <w:marRight w:val="0"/>
      <w:marTop w:val="0"/>
      <w:marBottom w:val="0"/>
      <w:divBdr>
        <w:top w:val="none" w:sz="0" w:space="0" w:color="auto"/>
        <w:left w:val="none" w:sz="0" w:space="0" w:color="auto"/>
        <w:bottom w:val="none" w:sz="0" w:space="0" w:color="auto"/>
        <w:right w:val="none" w:sz="0" w:space="0" w:color="auto"/>
      </w:divBdr>
    </w:div>
    <w:div w:id="919606335">
      <w:bodyDiv w:val="1"/>
      <w:marLeft w:val="0"/>
      <w:marRight w:val="0"/>
      <w:marTop w:val="0"/>
      <w:marBottom w:val="0"/>
      <w:divBdr>
        <w:top w:val="none" w:sz="0" w:space="0" w:color="auto"/>
        <w:left w:val="none" w:sz="0" w:space="0" w:color="auto"/>
        <w:bottom w:val="none" w:sz="0" w:space="0" w:color="auto"/>
        <w:right w:val="none" w:sz="0" w:space="0" w:color="auto"/>
      </w:divBdr>
    </w:div>
    <w:div w:id="927887878">
      <w:bodyDiv w:val="1"/>
      <w:marLeft w:val="0"/>
      <w:marRight w:val="0"/>
      <w:marTop w:val="0"/>
      <w:marBottom w:val="0"/>
      <w:divBdr>
        <w:top w:val="none" w:sz="0" w:space="0" w:color="auto"/>
        <w:left w:val="none" w:sz="0" w:space="0" w:color="auto"/>
        <w:bottom w:val="none" w:sz="0" w:space="0" w:color="auto"/>
        <w:right w:val="none" w:sz="0" w:space="0" w:color="auto"/>
      </w:divBdr>
    </w:div>
    <w:div w:id="957486090">
      <w:bodyDiv w:val="1"/>
      <w:marLeft w:val="0"/>
      <w:marRight w:val="0"/>
      <w:marTop w:val="0"/>
      <w:marBottom w:val="0"/>
      <w:divBdr>
        <w:top w:val="none" w:sz="0" w:space="0" w:color="auto"/>
        <w:left w:val="none" w:sz="0" w:space="0" w:color="auto"/>
        <w:bottom w:val="none" w:sz="0" w:space="0" w:color="auto"/>
        <w:right w:val="none" w:sz="0" w:space="0" w:color="auto"/>
      </w:divBdr>
    </w:div>
    <w:div w:id="981152391">
      <w:bodyDiv w:val="1"/>
      <w:marLeft w:val="0"/>
      <w:marRight w:val="0"/>
      <w:marTop w:val="0"/>
      <w:marBottom w:val="0"/>
      <w:divBdr>
        <w:top w:val="none" w:sz="0" w:space="0" w:color="auto"/>
        <w:left w:val="none" w:sz="0" w:space="0" w:color="auto"/>
        <w:bottom w:val="none" w:sz="0" w:space="0" w:color="auto"/>
        <w:right w:val="none" w:sz="0" w:space="0" w:color="auto"/>
      </w:divBdr>
    </w:div>
    <w:div w:id="1044938742">
      <w:bodyDiv w:val="1"/>
      <w:marLeft w:val="0"/>
      <w:marRight w:val="0"/>
      <w:marTop w:val="0"/>
      <w:marBottom w:val="0"/>
      <w:divBdr>
        <w:top w:val="none" w:sz="0" w:space="0" w:color="auto"/>
        <w:left w:val="none" w:sz="0" w:space="0" w:color="auto"/>
        <w:bottom w:val="none" w:sz="0" w:space="0" w:color="auto"/>
        <w:right w:val="none" w:sz="0" w:space="0" w:color="auto"/>
      </w:divBdr>
    </w:div>
    <w:div w:id="1073426428">
      <w:bodyDiv w:val="1"/>
      <w:marLeft w:val="0"/>
      <w:marRight w:val="0"/>
      <w:marTop w:val="0"/>
      <w:marBottom w:val="0"/>
      <w:divBdr>
        <w:top w:val="none" w:sz="0" w:space="0" w:color="auto"/>
        <w:left w:val="none" w:sz="0" w:space="0" w:color="auto"/>
        <w:bottom w:val="none" w:sz="0" w:space="0" w:color="auto"/>
        <w:right w:val="none" w:sz="0" w:space="0" w:color="auto"/>
      </w:divBdr>
    </w:div>
    <w:div w:id="1133401127">
      <w:bodyDiv w:val="1"/>
      <w:marLeft w:val="0"/>
      <w:marRight w:val="0"/>
      <w:marTop w:val="0"/>
      <w:marBottom w:val="0"/>
      <w:divBdr>
        <w:top w:val="none" w:sz="0" w:space="0" w:color="auto"/>
        <w:left w:val="none" w:sz="0" w:space="0" w:color="auto"/>
        <w:bottom w:val="none" w:sz="0" w:space="0" w:color="auto"/>
        <w:right w:val="none" w:sz="0" w:space="0" w:color="auto"/>
      </w:divBdr>
    </w:div>
    <w:div w:id="1208489506">
      <w:bodyDiv w:val="1"/>
      <w:marLeft w:val="0"/>
      <w:marRight w:val="0"/>
      <w:marTop w:val="0"/>
      <w:marBottom w:val="0"/>
      <w:divBdr>
        <w:top w:val="none" w:sz="0" w:space="0" w:color="auto"/>
        <w:left w:val="none" w:sz="0" w:space="0" w:color="auto"/>
        <w:bottom w:val="none" w:sz="0" w:space="0" w:color="auto"/>
        <w:right w:val="none" w:sz="0" w:space="0" w:color="auto"/>
      </w:divBdr>
    </w:div>
    <w:div w:id="1238779960">
      <w:bodyDiv w:val="1"/>
      <w:marLeft w:val="0"/>
      <w:marRight w:val="0"/>
      <w:marTop w:val="0"/>
      <w:marBottom w:val="0"/>
      <w:divBdr>
        <w:top w:val="none" w:sz="0" w:space="0" w:color="auto"/>
        <w:left w:val="none" w:sz="0" w:space="0" w:color="auto"/>
        <w:bottom w:val="none" w:sz="0" w:space="0" w:color="auto"/>
        <w:right w:val="none" w:sz="0" w:space="0" w:color="auto"/>
      </w:divBdr>
    </w:div>
    <w:div w:id="1267343319">
      <w:bodyDiv w:val="1"/>
      <w:marLeft w:val="0"/>
      <w:marRight w:val="0"/>
      <w:marTop w:val="0"/>
      <w:marBottom w:val="0"/>
      <w:divBdr>
        <w:top w:val="none" w:sz="0" w:space="0" w:color="auto"/>
        <w:left w:val="none" w:sz="0" w:space="0" w:color="auto"/>
        <w:bottom w:val="none" w:sz="0" w:space="0" w:color="auto"/>
        <w:right w:val="none" w:sz="0" w:space="0" w:color="auto"/>
      </w:divBdr>
    </w:div>
    <w:div w:id="1271736818">
      <w:bodyDiv w:val="1"/>
      <w:marLeft w:val="0"/>
      <w:marRight w:val="0"/>
      <w:marTop w:val="0"/>
      <w:marBottom w:val="0"/>
      <w:divBdr>
        <w:top w:val="none" w:sz="0" w:space="0" w:color="auto"/>
        <w:left w:val="none" w:sz="0" w:space="0" w:color="auto"/>
        <w:bottom w:val="none" w:sz="0" w:space="0" w:color="auto"/>
        <w:right w:val="none" w:sz="0" w:space="0" w:color="auto"/>
      </w:divBdr>
    </w:div>
    <w:div w:id="1273173774">
      <w:bodyDiv w:val="1"/>
      <w:marLeft w:val="0"/>
      <w:marRight w:val="0"/>
      <w:marTop w:val="0"/>
      <w:marBottom w:val="0"/>
      <w:divBdr>
        <w:top w:val="none" w:sz="0" w:space="0" w:color="auto"/>
        <w:left w:val="none" w:sz="0" w:space="0" w:color="auto"/>
        <w:bottom w:val="none" w:sz="0" w:space="0" w:color="auto"/>
        <w:right w:val="none" w:sz="0" w:space="0" w:color="auto"/>
      </w:divBdr>
    </w:div>
    <w:div w:id="1324550451">
      <w:bodyDiv w:val="1"/>
      <w:marLeft w:val="0"/>
      <w:marRight w:val="0"/>
      <w:marTop w:val="0"/>
      <w:marBottom w:val="0"/>
      <w:divBdr>
        <w:top w:val="none" w:sz="0" w:space="0" w:color="auto"/>
        <w:left w:val="none" w:sz="0" w:space="0" w:color="auto"/>
        <w:bottom w:val="none" w:sz="0" w:space="0" w:color="auto"/>
        <w:right w:val="none" w:sz="0" w:space="0" w:color="auto"/>
      </w:divBdr>
    </w:div>
    <w:div w:id="1408919828">
      <w:bodyDiv w:val="1"/>
      <w:marLeft w:val="0"/>
      <w:marRight w:val="0"/>
      <w:marTop w:val="0"/>
      <w:marBottom w:val="0"/>
      <w:divBdr>
        <w:top w:val="none" w:sz="0" w:space="0" w:color="auto"/>
        <w:left w:val="none" w:sz="0" w:space="0" w:color="auto"/>
        <w:bottom w:val="none" w:sz="0" w:space="0" w:color="auto"/>
        <w:right w:val="none" w:sz="0" w:space="0" w:color="auto"/>
      </w:divBdr>
    </w:div>
    <w:div w:id="1456486374">
      <w:bodyDiv w:val="1"/>
      <w:marLeft w:val="0"/>
      <w:marRight w:val="0"/>
      <w:marTop w:val="0"/>
      <w:marBottom w:val="0"/>
      <w:divBdr>
        <w:top w:val="none" w:sz="0" w:space="0" w:color="auto"/>
        <w:left w:val="none" w:sz="0" w:space="0" w:color="auto"/>
        <w:bottom w:val="none" w:sz="0" w:space="0" w:color="auto"/>
        <w:right w:val="none" w:sz="0" w:space="0" w:color="auto"/>
      </w:divBdr>
    </w:div>
    <w:div w:id="1495606646">
      <w:bodyDiv w:val="1"/>
      <w:marLeft w:val="0"/>
      <w:marRight w:val="0"/>
      <w:marTop w:val="0"/>
      <w:marBottom w:val="0"/>
      <w:divBdr>
        <w:top w:val="none" w:sz="0" w:space="0" w:color="auto"/>
        <w:left w:val="none" w:sz="0" w:space="0" w:color="auto"/>
        <w:bottom w:val="none" w:sz="0" w:space="0" w:color="auto"/>
        <w:right w:val="none" w:sz="0" w:space="0" w:color="auto"/>
      </w:divBdr>
    </w:div>
    <w:div w:id="1543589108">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 w:id="1738820121">
      <w:bodyDiv w:val="1"/>
      <w:marLeft w:val="0"/>
      <w:marRight w:val="0"/>
      <w:marTop w:val="0"/>
      <w:marBottom w:val="0"/>
      <w:divBdr>
        <w:top w:val="none" w:sz="0" w:space="0" w:color="auto"/>
        <w:left w:val="none" w:sz="0" w:space="0" w:color="auto"/>
        <w:bottom w:val="none" w:sz="0" w:space="0" w:color="auto"/>
        <w:right w:val="none" w:sz="0" w:space="0" w:color="auto"/>
      </w:divBdr>
    </w:div>
    <w:div w:id="1811703326">
      <w:bodyDiv w:val="1"/>
      <w:marLeft w:val="0"/>
      <w:marRight w:val="0"/>
      <w:marTop w:val="0"/>
      <w:marBottom w:val="0"/>
      <w:divBdr>
        <w:top w:val="none" w:sz="0" w:space="0" w:color="auto"/>
        <w:left w:val="none" w:sz="0" w:space="0" w:color="auto"/>
        <w:bottom w:val="none" w:sz="0" w:space="0" w:color="auto"/>
        <w:right w:val="none" w:sz="0" w:space="0" w:color="auto"/>
      </w:divBdr>
    </w:div>
    <w:div w:id="1835796444">
      <w:bodyDiv w:val="1"/>
      <w:marLeft w:val="0"/>
      <w:marRight w:val="0"/>
      <w:marTop w:val="0"/>
      <w:marBottom w:val="0"/>
      <w:divBdr>
        <w:top w:val="none" w:sz="0" w:space="0" w:color="auto"/>
        <w:left w:val="none" w:sz="0" w:space="0" w:color="auto"/>
        <w:bottom w:val="none" w:sz="0" w:space="0" w:color="auto"/>
        <w:right w:val="none" w:sz="0" w:space="0" w:color="auto"/>
      </w:divBdr>
    </w:div>
    <w:div w:id="1869492109">
      <w:bodyDiv w:val="1"/>
      <w:marLeft w:val="0"/>
      <w:marRight w:val="0"/>
      <w:marTop w:val="0"/>
      <w:marBottom w:val="0"/>
      <w:divBdr>
        <w:top w:val="none" w:sz="0" w:space="0" w:color="auto"/>
        <w:left w:val="none" w:sz="0" w:space="0" w:color="auto"/>
        <w:bottom w:val="none" w:sz="0" w:space="0" w:color="auto"/>
        <w:right w:val="none" w:sz="0" w:space="0" w:color="auto"/>
      </w:divBdr>
    </w:div>
    <w:div w:id="1980843735">
      <w:bodyDiv w:val="1"/>
      <w:marLeft w:val="0"/>
      <w:marRight w:val="0"/>
      <w:marTop w:val="0"/>
      <w:marBottom w:val="0"/>
      <w:divBdr>
        <w:top w:val="none" w:sz="0" w:space="0" w:color="auto"/>
        <w:left w:val="none" w:sz="0" w:space="0" w:color="auto"/>
        <w:bottom w:val="none" w:sz="0" w:space="0" w:color="auto"/>
        <w:right w:val="none" w:sz="0" w:space="0" w:color="auto"/>
      </w:divBdr>
    </w:div>
    <w:div w:id="1983074394">
      <w:bodyDiv w:val="1"/>
      <w:marLeft w:val="0"/>
      <w:marRight w:val="0"/>
      <w:marTop w:val="0"/>
      <w:marBottom w:val="0"/>
      <w:divBdr>
        <w:top w:val="none" w:sz="0" w:space="0" w:color="auto"/>
        <w:left w:val="none" w:sz="0" w:space="0" w:color="auto"/>
        <w:bottom w:val="none" w:sz="0" w:space="0" w:color="auto"/>
        <w:right w:val="none" w:sz="0" w:space="0" w:color="auto"/>
      </w:divBdr>
    </w:div>
    <w:div w:id="2074349223">
      <w:bodyDiv w:val="1"/>
      <w:marLeft w:val="0"/>
      <w:marRight w:val="0"/>
      <w:marTop w:val="0"/>
      <w:marBottom w:val="0"/>
      <w:divBdr>
        <w:top w:val="none" w:sz="0" w:space="0" w:color="auto"/>
        <w:left w:val="none" w:sz="0" w:space="0" w:color="auto"/>
        <w:bottom w:val="none" w:sz="0" w:space="0" w:color="auto"/>
        <w:right w:val="none" w:sz="0" w:space="0" w:color="auto"/>
      </w:divBdr>
    </w:div>
    <w:div w:id="2103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ypal.com/donate/?hosted_button_id=XTEQ73HM52QQ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ntonycc/diy-accounting/discussions" TargetMode="External"/><Relationship Id="rId4" Type="http://schemas.openxmlformats.org/officeDocument/2006/relationships/settings" Target="settings.xml"/><Relationship Id="rId9" Type="http://schemas.openxmlformats.org/officeDocument/2006/relationships/hyperlink" Target="http://www.diyaccounting.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9E270-7598-4057-B5C1-1857215F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5639</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Cartwright, Antony</cp:lastModifiedBy>
  <cp:revision>16</cp:revision>
  <cp:lastPrinted>2014-03-15T19:12:00Z</cp:lastPrinted>
  <dcterms:created xsi:type="dcterms:W3CDTF">2010-12-30T11:03:00Z</dcterms:created>
  <dcterms:modified xsi:type="dcterms:W3CDTF">2023-01-27T21:45:00Z</dcterms:modified>
</cp:coreProperties>
</file>