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t>Expand already exisisting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For exstensive,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lastRenderedPageBreak/>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lastRenderedPageBreak/>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lastRenderedPageBreak/>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r w:rsidRPr="0019077D">
        <w:rPr>
          <w:sz w:val="28"/>
          <w:szCs w:val="28"/>
        </w:rPr>
        <w:t>is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lastRenderedPageBreak/>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lastRenderedPageBreak/>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lastRenderedPageBreak/>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lastRenderedPageBreak/>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lastRenderedPageBreak/>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lastRenderedPageBreak/>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P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8D48E3" w:rsidRPr="008D48E3" w:rsidRDefault="008D48E3" w:rsidP="008D48E3">
      <w:pPr>
        <w:rPr>
          <w:sz w:val="28"/>
          <w:szCs w:val="28"/>
        </w:rPr>
      </w:pPr>
      <w:r w:rsidRPr="008D48E3">
        <w:rPr>
          <w:b/>
          <w:sz w:val="28"/>
          <w:szCs w:val="28"/>
        </w:rPr>
        <w:lastRenderedPageBreak/>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P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8D48E3" w:rsidRDefault="008D48E3" w:rsidP="008D48E3">
      <w:pPr>
        <w:rPr>
          <w:sz w:val="28"/>
          <w:szCs w:val="28"/>
        </w:rPr>
      </w:pPr>
      <w:r w:rsidRPr="008D48E3">
        <w:rPr>
          <w:sz w:val="28"/>
          <w:szCs w:val="28"/>
        </w:rPr>
        <w:t>Norm referenced test -- a test which is designed to measure how the performance of a particular student or group of students compares with the performance of another student or group of students whose scores are given as the norm.</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lastRenderedPageBreak/>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lastRenderedPageBreak/>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lastRenderedPageBreak/>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lastRenderedPageBreak/>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lastRenderedPageBreak/>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lastRenderedPageBreak/>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lastRenderedPageBreak/>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tab/>
        <w:t>- assumption and implications (in tamil arthathinpadi)</w:t>
      </w:r>
    </w:p>
    <w:p w:rsidR="00E1330A" w:rsidRPr="00E1330A" w:rsidRDefault="00E1330A" w:rsidP="00E1330A">
      <w:pPr>
        <w:rPr>
          <w:sz w:val="28"/>
          <w:szCs w:val="28"/>
        </w:rPr>
      </w:pPr>
      <w:r w:rsidRPr="00E1330A">
        <w:rPr>
          <w:sz w:val="28"/>
          <w:szCs w:val="28"/>
        </w:rPr>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eg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lastRenderedPageBreak/>
        <w:t xml:space="preserve">                                               </w:t>
      </w:r>
      <w:r w:rsidRPr="00E541C2">
        <w:rPr>
          <w:b/>
          <w:sz w:val="28"/>
          <w:szCs w:val="28"/>
        </w:rPr>
        <w:t>DATA INTERPRETATION</w:t>
      </w:r>
    </w:p>
    <w:p w:rsidR="00E541C2" w:rsidRDefault="00E541C2" w:rsidP="00E1330A">
      <w:pPr>
        <w:rPr>
          <w:sz w:val="28"/>
          <w:szCs w:val="28"/>
        </w:rPr>
      </w:pPr>
      <w:r>
        <w:rPr>
          <w:sz w:val="28"/>
          <w:szCs w:val="28"/>
        </w:rPr>
        <w:t>Let us assume that  A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r w:rsidR="005F2519">
        <w:rPr>
          <w:sz w:val="28"/>
          <w:szCs w:val="28"/>
        </w:rPr>
        <w:t>B ?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r>
        <w:rPr>
          <w:sz w:val="28"/>
          <w:szCs w:val="28"/>
        </w:rPr>
        <w:t>A ?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Pr="00E541C2" w:rsidRDefault="005F2519" w:rsidP="005F2519">
      <w:pPr>
        <w:pStyle w:val="ListParagraph"/>
        <w:rPr>
          <w:sz w:val="28"/>
          <w:szCs w:val="28"/>
        </w:rPr>
      </w:pPr>
      <w:r>
        <w:rPr>
          <w:sz w:val="28"/>
          <w:szCs w:val="28"/>
        </w:rPr>
        <w:t xml:space="preserve">Ref </w:t>
      </w:r>
      <w:r w:rsidRPr="005F2519">
        <w:rPr>
          <w:sz w:val="28"/>
          <w:szCs w:val="28"/>
        </w:rPr>
        <w:t>https://www.youtube.com/watch?v=5iNGew5hJDY</w:t>
      </w:r>
    </w:p>
    <w:sectPr w:rsidR="005F2519"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5CDA"/>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26</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576</cp:revision>
  <dcterms:created xsi:type="dcterms:W3CDTF">2016-12-29T05:10:00Z</dcterms:created>
  <dcterms:modified xsi:type="dcterms:W3CDTF">2021-07-30T12:41:00Z</dcterms:modified>
</cp:coreProperties>
</file>