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Pr="00066BC3" w:rsidRDefault="00DF0B07" w:rsidP="00DF0B07">
      <w:pPr>
        <w:rPr>
          <w:rFonts w:cstheme="minorHAnsi"/>
          <w:sz w:val="24"/>
          <w:szCs w:val="24"/>
        </w:rPr>
      </w:pPr>
      <w:r w:rsidRPr="008E1204">
        <w:rPr>
          <w:rFonts w:cstheme="minorHAnsi"/>
          <w:sz w:val="24"/>
          <w:szCs w:val="24"/>
        </w:rPr>
        <w:tab/>
        <w:t>- Synchronization</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lastRenderedPageBreak/>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lastRenderedPageBreak/>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lastRenderedPageBreak/>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lastRenderedPageBreak/>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lastRenderedPageBreak/>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lastRenderedPageBreak/>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w:t>
      </w:r>
      <w:proofErr w:type="gramStart"/>
      <w:r w:rsidRPr="00C62EFE">
        <w:rPr>
          <w:rFonts w:cstheme="minorHAnsi"/>
          <w:b/>
          <w:sz w:val="24"/>
          <w:szCs w:val="24"/>
        </w:rPr>
        <w:t>Theorem :</w:t>
      </w:r>
      <w:proofErr w:type="gramEnd"/>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Pr="00C62EFE"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2"/>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lastRenderedPageBreak/>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lastRenderedPageBreak/>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lastRenderedPageBreak/>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lastRenderedPageBreak/>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lastRenderedPageBreak/>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3"/>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4"/>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6D0D"/>
    <w:rsid w:val="001011AC"/>
    <w:rsid w:val="001030E9"/>
    <w:rsid w:val="00110B02"/>
    <w:rsid w:val="001124ED"/>
    <w:rsid w:val="0011542D"/>
    <w:rsid w:val="00120FCF"/>
    <w:rsid w:val="0012210A"/>
    <w:rsid w:val="00135165"/>
    <w:rsid w:val="00135A36"/>
    <w:rsid w:val="00137C6A"/>
    <w:rsid w:val="00162008"/>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6763E"/>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TotalTime>
  <Pages>27</Pages>
  <Words>4586</Words>
  <Characters>26143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490</cp:revision>
  <dcterms:created xsi:type="dcterms:W3CDTF">2016-10-21T07:14:00Z</dcterms:created>
  <dcterms:modified xsi:type="dcterms:W3CDTF">2021-08-30T18:11:00Z</dcterms:modified>
</cp:coreProperties>
</file>