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8EC" w:rsidRPr="00C058EC" w:rsidRDefault="00C058EC" w:rsidP="00C058EC">
      <w:pPr>
        <w:spacing w:after="0" w:line="240" w:lineRule="auto"/>
        <w:rPr>
          <w:b/>
          <w:lang w:val="en-US"/>
        </w:rPr>
      </w:pPr>
    </w:p>
    <w:p w:rsidR="0050251B" w:rsidRPr="00C058EC" w:rsidRDefault="00C058EC" w:rsidP="00C058EC">
      <w:pPr>
        <w:spacing w:after="0" w:line="240" w:lineRule="auto"/>
        <w:rPr>
          <w:b/>
        </w:rPr>
      </w:pPr>
      <w:r w:rsidRPr="00C058EC">
        <w:rPr>
          <w:b/>
        </w:rPr>
        <w:t>1</w:t>
      </w:r>
      <w:r w:rsidR="00834672">
        <w:rPr>
          <w:b/>
        </w:rPr>
        <w:t xml:space="preserve">  </w:t>
      </w:r>
      <w:bookmarkStart w:id="0" w:name="_GoBack"/>
      <w:bookmarkEnd w:id="0"/>
    </w:p>
    <w:p w:rsidR="0050251B" w:rsidRPr="00C058EC" w:rsidRDefault="0050251B" w:rsidP="00C058EC">
      <w:pPr>
        <w:numPr>
          <w:ilvl w:val="0"/>
          <w:numId w:val="3"/>
        </w:numPr>
        <w:spacing w:after="0" w:line="240" w:lineRule="auto"/>
        <w:rPr>
          <w:rFonts w:cs="Arial"/>
          <w:b/>
          <w:lang w:eastAsia="en-CA"/>
        </w:rPr>
      </w:pPr>
      <w:r w:rsidRPr="00C058EC">
        <w:rPr>
          <w:rFonts w:cs="Arial"/>
          <w:b/>
          <w:lang w:eastAsia="en-CA"/>
        </w:rPr>
        <w:t xml:space="preserve">Methods to estimate the (2016) value of the commercial fishing licences </w:t>
      </w:r>
    </w:p>
    <w:p w:rsidR="0050251B" w:rsidRPr="00C058EC" w:rsidRDefault="00004919" w:rsidP="00C058EC">
      <w:pPr>
        <w:spacing w:after="0" w:line="240" w:lineRule="auto"/>
        <w:ind w:left="720"/>
        <w:rPr>
          <w:rFonts w:cs="Arial"/>
          <w:lang w:eastAsia="en-CA"/>
        </w:rPr>
      </w:pPr>
      <w:r>
        <w:rPr>
          <w:rFonts w:cs="Arial"/>
          <w:lang w:eastAsia="en-CA"/>
        </w:rPr>
        <w:t>The</w:t>
      </w:r>
      <w:r w:rsidR="00C058EC" w:rsidRPr="00C058EC">
        <w:rPr>
          <w:rFonts w:cs="Arial"/>
          <w:lang w:eastAsia="en-CA"/>
        </w:rPr>
        <w:t xml:space="preserve"> </w:t>
      </w:r>
      <w:r>
        <w:rPr>
          <w:rFonts w:cs="Arial"/>
          <w:lang w:eastAsia="en-CA"/>
        </w:rPr>
        <w:t>three</w:t>
      </w:r>
      <w:r w:rsidR="00C058EC" w:rsidRPr="00C058EC">
        <w:rPr>
          <w:rFonts w:cs="Arial"/>
          <w:lang w:eastAsia="en-CA"/>
        </w:rPr>
        <w:t xml:space="preserve"> </w:t>
      </w:r>
      <w:r w:rsidR="0050251B" w:rsidRPr="00C058EC">
        <w:rPr>
          <w:rFonts w:cs="Arial"/>
          <w:lang w:eastAsia="en-CA"/>
        </w:rPr>
        <w:t xml:space="preserve">methods </w:t>
      </w:r>
      <w:r>
        <w:rPr>
          <w:rFonts w:cs="Arial"/>
          <w:lang w:eastAsia="en-CA"/>
        </w:rPr>
        <w:t>reference</w:t>
      </w:r>
      <w:r w:rsidR="0050251B" w:rsidRPr="00C058EC">
        <w:rPr>
          <w:rFonts w:cs="Arial"/>
          <w:lang w:eastAsia="en-CA"/>
        </w:rPr>
        <w:t xml:space="preserve"> the datasets in the </w:t>
      </w:r>
      <w:r w:rsidR="00C058EC" w:rsidRPr="00C058EC">
        <w:rPr>
          <w:rFonts w:cs="Arial"/>
          <w:lang w:eastAsia="en-CA"/>
        </w:rPr>
        <w:t>attached</w:t>
      </w:r>
      <w:r>
        <w:rPr>
          <w:rFonts w:cs="Arial"/>
          <w:lang w:eastAsia="en-CA"/>
        </w:rPr>
        <w:t xml:space="preserve"> excel</w:t>
      </w:r>
      <w:r w:rsidR="00C058EC" w:rsidRPr="00C058EC">
        <w:rPr>
          <w:rFonts w:cs="Arial"/>
          <w:lang w:eastAsia="en-CA"/>
        </w:rPr>
        <w:t xml:space="preserve"> </w:t>
      </w:r>
      <w:r w:rsidR="0050251B" w:rsidRPr="00C058EC">
        <w:rPr>
          <w:rFonts w:cs="Arial"/>
          <w:lang w:eastAsia="en-CA"/>
        </w:rPr>
        <w:t xml:space="preserve">worksheet: </w:t>
      </w:r>
    </w:p>
    <w:p w:rsidR="0050251B" w:rsidRPr="00C058EC" w:rsidRDefault="00C058EC" w:rsidP="00C058EC">
      <w:pPr>
        <w:numPr>
          <w:ilvl w:val="1"/>
          <w:numId w:val="5"/>
        </w:numPr>
        <w:spacing w:after="0" w:line="240" w:lineRule="auto"/>
        <w:rPr>
          <w:rFonts w:cs="Arial"/>
          <w:lang w:eastAsia="en-CA"/>
        </w:rPr>
      </w:pPr>
      <w:r w:rsidRPr="00C058EC">
        <w:rPr>
          <w:rFonts w:cs="Arial"/>
          <w:lang w:eastAsia="en-CA"/>
        </w:rPr>
        <w:t>It is the product of the</w:t>
      </w:r>
      <w:r w:rsidR="0050251B" w:rsidRPr="00C058EC">
        <w:rPr>
          <w:rFonts w:cs="Arial"/>
          <w:lang w:eastAsia="en-CA"/>
        </w:rPr>
        <w:t xml:space="preserve"> individual licenses in </w:t>
      </w:r>
      <w:r w:rsidRPr="00C058EC">
        <w:rPr>
          <w:rFonts w:cs="Arial"/>
          <w:lang w:eastAsia="en-CA"/>
        </w:rPr>
        <w:t>dataset 1, and</w:t>
      </w:r>
      <w:r w:rsidR="0050251B" w:rsidRPr="00C058EC">
        <w:rPr>
          <w:rFonts w:cs="Arial"/>
          <w:lang w:eastAsia="en-CA"/>
        </w:rPr>
        <w:t xml:space="preserve"> the respective sample value of catch for each holder shown on dataset 2</w:t>
      </w:r>
      <w:r w:rsidRPr="00C058EC">
        <w:rPr>
          <w:rFonts w:cs="Arial"/>
          <w:lang w:eastAsia="en-CA"/>
        </w:rPr>
        <w:t>;</w:t>
      </w:r>
    </w:p>
    <w:p w:rsidR="0050251B" w:rsidRPr="00C058EC" w:rsidRDefault="00C058EC" w:rsidP="00C058EC">
      <w:pPr>
        <w:numPr>
          <w:ilvl w:val="1"/>
          <w:numId w:val="5"/>
        </w:numPr>
        <w:spacing w:after="0" w:line="240" w:lineRule="auto"/>
        <w:rPr>
          <w:rFonts w:cs="Arial"/>
          <w:lang w:eastAsia="en-CA"/>
        </w:rPr>
      </w:pPr>
      <w:r w:rsidRPr="00C058EC">
        <w:rPr>
          <w:rFonts w:cs="Arial"/>
          <w:lang w:eastAsia="en-CA"/>
        </w:rPr>
        <w:t>It is the product of</w:t>
      </w:r>
      <w:r w:rsidR="0050251B" w:rsidRPr="00C058EC">
        <w:rPr>
          <w:rFonts w:cs="Arial"/>
          <w:lang w:eastAsia="en-CA"/>
        </w:rPr>
        <w:t xml:space="preserve"> data</w:t>
      </w:r>
      <w:r w:rsidRPr="00C058EC">
        <w:rPr>
          <w:rFonts w:cs="Arial"/>
          <w:lang w:eastAsia="en-CA"/>
        </w:rPr>
        <w:t xml:space="preserve">set 1, </w:t>
      </w:r>
      <w:r w:rsidR="0050251B" w:rsidRPr="00C058EC">
        <w:rPr>
          <w:rFonts w:cs="Arial"/>
          <w:lang w:eastAsia="en-CA"/>
        </w:rPr>
        <w:t>the 2016 average catch quantity per license</w:t>
      </w:r>
      <w:r w:rsidRPr="00C058EC">
        <w:rPr>
          <w:rFonts w:cs="Arial"/>
          <w:lang w:eastAsia="en-CA"/>
        </w:rPr>
        <w:t>, and the</w:t>
      </w:r>
      <w:r w:rsidR="0050251B" w:rsidRPr="00C058EC">
        <w:rPr>
          <w:rFonts w:cs="Arial"/>
          <w:lang w:eastAsia="en-CA"/>
        </w:rPr>
        <w:t xml:space="preserve"> 2016 price harvesters received, both shown on dataset 3.</w:t>
      </w:r>
      <w:r w:rsidRPr="00C058EC">
        <w:rPr>
          <w:rFonts w:cs="Arial"/>
          <w:lang w:eastAsia="en-CA"/>
        </w:rPr>
        <w:t xml:space="preserve">; </w:t>
      </w:r>
    </w:p>
    <w:p w:rsidR="0050251B" w:rsidRDefault="00C058EC" w:rsidP="00C058EC">
      <w:pPr>
        <w:numPr>
          <w:ilvl w:val="1"/>
          <w:numId w:val="5"/>
        </w:numPr>
        <w:spacing w:after="0" w:line="240" w:lineRule="auto"/>
        <w:rPr>
          <w:rFonts w:cs="Arial"/>
          <w:lang w:eastAsia="en-CA"/>
        </w:rPr>
      </w:pPr>
      <w:r w:rsidRPr="00C058EC">
        <w:rPr>
          <w:rFonts w:cs="Arial"/>
          <w:lang w:eastAsia="en-CA"/>
        </w:rPr>
        <w:t>It is the product of</w:t>
      </w:r>
      <w:r w:rsidR="0050251B" w:rsidRPr="00C058EC">
        <w:rPr>
          <w:rFonts w:cs="Arial"/>
          <w:lang w:eastAsia="en-CA"/>
        </w:rPr>
        <w:t xml:space="preserve"> dataset 1 </w:t>
      </w:r>
      <w:r w:rsidR="00451411">
        <w:rPr>
          <w:rFonts w:cs="Arial"/>
          <w:lang w:eastAsia="en-CA"/>
        </w:rPr>
        <w:t xml:space="preserve">and </w:t>
      </w:r>
      <w:r w:rsidR="0050251B" w:rsidRPr="00C058EC">
        <w:rPr>
          <w:rFonts w:cs="Arial"/>
          <w:lang w:eastAsia="en-CA"/>
        </w:rPr>
        <w:t xml:space="preserve">the average price per license </w:t>
      </w:r>
      <w:r w:rsidR="00497821">
        <w:rPr>
          <w:rFonts w:cs="Arial"/>
          <w:lang w:eastAsia="en-CA"/>
        </w:rPr>
        <w:t xml:space="preserve">for </w:t>
      </w:r>
      <w:r w:rsidR="0050251B" w:rsidRPr="00C058EC">
        <w:rPr>
          <w:rFonts w:cs="Arial"/>
          <w:lang w:eastAsia="en-CA"/>
        </w:rPr>
        <w:t>each year</w:t>
      </w:r>
      <w:r w:rsidRPr="00C058EC">
        <w:rPr>
          <w:rFonts w:cs="Arial"/>
          <w:lang w:eastAsia="en-CA"/>
        </w:rPr>
        <w:t xml:space="preserve"> on</w:t>
      </w:r>
      <w:r w:rsidR="0050251B" w:rsidRPr="00C058EC">
        <w:rPr>
          <w:rFonts w:cs="Arial"/>
          <w:lang w:eastAsia="en-CA"/>
        </w:rPr>
        <w:t xml:space="preserve"> dataset 6, </w:t>
      </w:r>
      <w:r w:rsidR="00451411">
        <w:rPr>
          <w:rFonts w:cs="Arial"/>
          <w:lang w:eastAsia="en-CA"/>
        </w:rPr>
        <w:t>divided by</w:t>
      </w:r>
      <w:r w:rsidR="0050251B" w:rsidRPr="00C058EC">
        <w:rPr>
          <w:rFonts w:cs="Arial"/>
          <w:lang w:eastAsia="en-CA"/>
        </w:rPr>
        <w:t xml:space="preserve"> the</w:t>
      </w:r>
      <w:r w:rsidRPr="00C058EC">
        <w:rPr>
          <w:rFonts w:cs="Arial"/>
          <w:lang w:eastAsia="en-CA"/>
        </w:rPr>
        <w:t xml:space="preserve"> deflation factors</w:t>
      </w:r>
      <w:r w:rsidR="0050251B" w:rsidRPr="00C058EC">
        <w:rPr>
          <w:rFonts w:cs="Arial"/>
          <w:lang w:eastAsia="en-CA"/>
        </w:rPr>
        <w:t xml:space="preserve"> </w:t>
      </w:r>
      <w:r w:rsidRPr="00C058EC">
        <w:rPr>
          <w:rFonts w:cs="Arial"/>
          <w:lang w:eastAsia="en-CA"/>
        </w:rPr>
        <w:t xml:space="preserve">in dataset 7 </w:t>
      </w:r>
      <w:r w:rsidR="0050251B" w:rsidRPr="00C058EC">
        <w:rPr>
          <w:rFonts w:cs="Arial"/>
          <w:lang w:eastAsia="en-CA"/>
        </w:rPr>
        <w:t>t</w:t>
      </w:r>
      <w:r w:rsidRPr="00C058EC">
        <w:rPr>
          <w:rFonts w:cs="Arial"/>
          <w:lang w:eastAsia="en-CA"/>
        </w:rPr>
        <w:t xml:space="preserve">o arrive at </w:t>
      </w:r>
      <w:r w:rsidR="00451411">
        <w:rPr>
          <w:rFonts w:cs="Arial"/>
          <w:lang w:eastAsia="en-CA"/>
        </w:rPr>
        <w:t>real</w:t>
      </w:r>
      <w:r w:rsidRPr="00C058EC">
        <w:rPr>
          <w:rFonts w:cs="Arial"/>
          <w:lang w:eastAsia="en-CA"/>
        </w:rPr>
        <w:t xml:space="preserve"> 2016 values.</w:t>
      </w:r>
    </w:p>
    <w:p w:rsidR="00274819" w:rsidRPr="00C058EC" w:rsidRDefault="00274819" w:rsidP="00274819">
      <w:pPr>
        <w:spacing w:after="0" w:line="240" w:lineRule="auto"/>
        <w:ind w:left="1440"/>
        <w:rPr>
          <w:rFonts w:cs="Arial"/>
          <w:lang w:eastAsia="en-CA"/>
        </w:rPr>
      </w:pPr>
    </w:p>
    <w:p w:rsidR="0050251B" w:rsidRPr="00C058EC" w:rsidRDefault="00C058EC" w:rsidP="00C058EC">
      <w:pPr>
        <w:numPr>
          <w:ilvl w:val="0"/>
          <w:numId w:val="3"/>
        </w:numPr>
        <w:spacing w:after="0" w:line="240" w:lineRule="auto"/>
        <w:rPr>
          <w:rFonts w:cs="Arial"/>
          <w:b/>
          <w:lang w:eastAsia="en-CA"/>
        </w:rPr>
      </w:pPr>
      <w:r w:rsidRPr="00C058EC">
        <w:rPr>
          <w:rFonts w:cs="Arial"/>
          <w:b/>
          <w:lang w:eastAsia="en-CA"/>
        </w:rPr>
        <w:t>The value of</w:t>
      </w:r>
      <w:r w:rsidR="0050251B" w:rsidRPr="00C058EC">
        <w:rPr>
          <w:rFonts w:cs="Arial"/>
          <w:b/>
          <w:lang w:eastAsia="en-CA"/>
        </w:rPr>
        <w:t xml:space="preserve"> licences distributed to each </w:t>
      </w:r>
      <w:proofErr w:type="gramStart"/>
      <w:r w:rsidR="0050251B" w:rsidRPr="00C058EC">
        <w:rPr>
          <w:rFonts w:cs="Arial"/>
          <w:b/>
          <w:lang w:eastAsia="en-CA"/>
        </w:rPr>
        <w:t>holder;,</w:t>
      </w:r>
      <w:proofErr w:type="gramEnd"/>
    </w:p>
    <w:p w:rsidR="00C058EC" w:rsidRDefault="0050251B" w:rsidP="00C058EC">
      <w:pPr>
        <w:spacing w:after="0" w:line="240" w:lineRule="auto"/>
        <w:ind w:left="720"/>
        <w:rPr>
          <w:rFonts w:cs="Arial"/>
          <w:lang w:eastAsia="en-CA"/>
        </w:rPr>
      </w:pPr>
      <w:r w:rsidRPr="00C058EC">
        <w:rPr>
          <w:rFonts w:cs="Arial"/>
          <w:lang w:eastAsia="en-CA"/>
        </w:rPr>
        <w:t xml:space="preserve">The values </w:t>
      </w:r>
      <w:r w:rsidR="00C058EC" w:rsidRPr="00C058EC">
        <w:rPr>
          <w:rFonts w:cs="Arial"/>
          <w:lang w:eastAsia="en-CA"/>
        </w:rPr>
        <w:t xml:space="preserve">on Fig.1 </w:t>
      </w:r>
      <w:r w:rsidRPr="00C058EC">
        <w:rPr>
          <w:rFonts w:cs="Arial"/>
          <w:lang w:eastAsia="en-CA"/>
        </w:rPr>
        <w:t>are based on methods 1 and 2</w:t>
      </w:r>
      <w:r w:rsidR="00497821">
        <w:rPr>
          <w:rFonts w:cs="Arial"/>
          <w:lang w:eastAsia="en-CA"/>
        </w:rPr>
        <w:t xml:space="preserve"> described</w:t>
      </w:r>
      <w:r w:rsidRPr="00C058EC">
        <w:rPr>
          <w:rFonts w:cs="Arial"/>
          <w:lang w:eastAsia="en-CA"/>
        </w:rPr>
        <w:t xml:space="preserve"> above. </w:t>
      </w:r>
    </w:p>
    <w:p w:rsidR="002834C6" w:rsidRPr="00C058EC" w:rsidRDefault="002834C6" w:rsidP="00C058EC">
      <w:pPr>
        <w:spacing w:after="0" w:line="240" w:lineRule="auto"/>
        <w:ind w:left="720"/>
        <w:rPr>
          <w:rFonts w:cs="Arial"/>
          <w:lang w:eastAsia="en-CA"/>
        </w:rPr>
      </w:pPr>
    </w:p>
    <w:p w:rsidR="0050251B" w:rsidRDefault="0050251B" w:rsidP="00C058EC">
      <w:pPr>
        <w:spacing w:after="0" w:line="240" w:lineRule="auto"/>
        <w:ind w:left="720"/>
        <w:rPr>
          <w:rFonts w:cs="Arial"/>
          <w:b/>
          <w:lang w:eastAsia="en-CA"/>
        </w:rPr>
      </w:pPr>
      <w:r w:rsidRPr="00C058EC">
        <w:rPr>
          <w:rFonts w:cs="Arial"/>
          <w:b/>
          <w:lang w:eastAsia="en-CA"/>
        </w:rPr>
        <w:t>Fig.1 Value of licences</w:t>
      </w:r>
      <w:r w:rsidR="006E35FB">
        <w:rPr>
          <w:rFonts w:cs="Arial"/>
          <w:b/>
          <w:lang w:eastAsia="en-CA"/>
        </w:rPr>
        <w:t xml:space="preserve"> </w:t>
      </w:r>
      <w:r w:rsidR="00451411">
        <w:rPr>
          <w:rFonts w:cs="Arial"/>
          <w:b/>
          <w:lang w:eastAsia="en-CA"/>
        </w:rPr>
        <w:t xml:space="preserve">(in 2016 </w:t>
      </w:r>
      <w:r w:rsidR="006E35FB">
        <w:rPr>
          <w:rFonts w:cs="Arial"/>
          <w:b/>
          <w:lang w:eastAsia="en-CA"/>
        </w:rPr>
        <w:t>dollars</w:t>
      </w:r>
      <w:r w:rsidR="00451411">
        <w:rPr>
          <w:rFonts w:cs="Arial"/>
          <w:b/>
          <w:lang w:eastAsia="en-CA"/>
        </w:rPr>
        <w:t>)</w:t>
      </w:r>
    </w:p>
    <w:p w:rsidR="002834C6" w:rsidRDefault="002834C6" w:rsidP="002834C6">
      <w:pPr>
        <w:spacing w:after="0" w:line="240" w:lineRule="auto"/>
        <w:ind w:left="720"/>
        <w:rPr>
          <w:rFonts w:cs="Arial"/>
          <w:lang w:eastAsia="en-CA"/>
        </w:rPr>
      </w:pPr>
      <w:r>
        <w:rPr>
          <w:rFonts w:cs="Arial"/>
          <w:noProof/>
          <w:lang w:val="en-US"/>
        </w:rPr>
        <w:drawing>
          <wp:inline distT="0" distB="0" distL="0" distR="0">
            <wp:extent cx="2467319" cy="361047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8EC" w:rsidRDefault="002834C6" w:rsidP="002834C6">
      <w:pPr>
        <w:spacing w:after="0" w:line="240" w:lineRule="auto"/>
        <w:ind w:left="720"/>
        <w:rPr>
          <w:rFonts w:cs="Arial"/>
          <w:lang w:eastAsia="en-CA"/>
        </w:rPr>
      </w:pPr>
      <w:r>
        <w:rPr>
          <w:rFonts w:cs="Arial"/>
          <w:lang w:eastAsia="en-CA"/>
        </w:rPr>
        <w:t xml:space="preserve"> </w:t>
      </w:r>
      <w:r w:rsidR="00004919">
        <w:rPr>
          <w:rFonts w:cs="Arial"/>
          <w:lang w:eastAsia="en-CA"/>
        </w:rPr>
        <w:t>(</w:t>
      </w:r>
      <w:r>
        <w:rPr>
          <w:rFonts w:cs="Arial"/>
          <w:lang w:eastAsia="en-CA"/>
        </w:rPr>
        <w:t>S</w:t>
      </w:r>
      <w:r w:rsidR="00004919">
        <w:rPr>
          <w:rFonts w:cs="Arial"/>
          <w:lang w:eastAsia="en-CA"/>
        </w:rPr>
        <w:t>ource: excel worksheet attached)</w:t>
      </w:r>
    </w:p>
    <w:p w:rsidR="00C058EC" w:rsidRDefault="00C058EC">
      <w:pPr>
        <w:rPr>
          <w:rFonts w:cs="Arial"/>
          <w:lang w:eastAsia="en-CA"/>
        </w:rPr>
      </w:pPr>
      <w:r>
        <w:rPr>
          <w:rFonts w:cs="Arial"/>
          <w:lang w:eastAsia="en-CA"/>
        </w:rPr>
        <w:br w:type="page"/>
      </w:r>
    </w:p>
    <w:p w:rsidR="0050251B" w:rsidRPr="00C058EC" w:rsidRDefault="0050251B" w:rsidP="00C058EC">
      <w:pPr>
        <w:spacing w:after="0" w:line="240" w:lineRule="auto"/>
        <w:rPr>
          <w:rFonts w:cs="Arial"/>
          <w:lang w:eastAsia="en-CA"/>
        </w:rPr>
      </w:pPr>
    </w:p>
    <w:p w:rsidR="0050251B" w:rsidRPr="00C058EC" w:rsidRDefault="0050251B" w:rsidP="00C058EC">
      <w:pPr>
        <w:numPr>
          <w:ilvl w:val="0"/>
          <w:numId w:val="3"/>
        </w:numPr>
        <w:spacing w:after="0" w:line="240" w:lineRule="auto"/>
        <w:rPr>
          <w:rFonts w:cs="Arial"/>
          <w:b/>
          <w:lang w:eastAsia="en-CA"/>
        </w:rPr>
      </w:pPr>
      <w:r w:rsidRPr="00C058EC">
        <w:rPr>
          <w:rFonts w:cs="Arial"/>
          <w:b/>
          <w:lang w:eastAsia="en-CA"/>
        </w:rPr>
        <w:t>Comparing</w:t>
      </w:r>
      <w:r w:rsidR="00C058EC" w:rsidRPr="00C058EC">
        <w:rPr>
          <w:rFonts w:cs="Arial"/>
          <w:b/>
          <w:lang w:eastAsia="en-CA"/>
        </w:rPr>
        <w:t xml:space="preserve"> the</w:t>
      </w:r>
      <w:r w:rsidRPr="00C058EC">
        <w:rPr>
          <w:rFonts w:cs="Arial"/>
          <w:b/>
          <w:lang w:eastAsia="en-CA"/>
        </w:rPr>
        <w:t xml:space="preserve"> methodologies and results </w:t>
      </w:r>
    </w:p>
    <w:p w:rsidR="0050251B" w:rsidRPr="00C058EC" w:rsidRDefault="00C058EC" w:rsidP="00C058EC">
      <w:pPr>
        <w:tabs>
          <w:tab w:val="center" w:pos="4320"/>
        </w:tabs>
        <w:spacing w:after="0" w:line="240" w:lineRule="auto"/>
        <w:rPr>
          <w:rFonts w:cs="Arial"/>
        </w:rPr>
      </w:pPr>
      <w:r w:rsidRPr="00C058EC">
        <w:rPr>
          <w:rFonts w:cs="Arial"/>
        </w:rPr>
        <w:t>As summarised on Fig1</w:t>
      </w:r>
      <w:r>
        <w:rPr>
          <w:rFonts w:cs="Arial"/>
        </w:rPr>
        <w:t xml:space="preserve"> above</w:t>
      </w:r>
      <w:r w:rsidRPr="00C058EC">
        <w:rPr>
          <w:rFonts w:cs="Arial"/>
        </w:rPr>
        <w:t xml:space="preserve">, the </w:t>
      </w:r>
      <w:r w:rsidR="0050251B" w:rsidRPr="00C058EC">
        <w:rPr>
          <w:rFonts w:cs="Arial"/>
        </w:rPr>
        <w:t xml:space="preserve">total values for </w:t>
      </w:r>
      <w:r w:rsidRPr="00C058EC">
        <w:rPr>
          <w:rFonts w:cs="Arial"/>
        </w:rPr>
        <w:t>m</w:t>
      </w:r>
      <w:r w:rsidR="0050251B" w:rsidRPr="00C058EC">
        <w:rPr>
          <w:rFonts w:cs="Arial"/>
        </w:rPr>
        <w:t xml:space="preserve">ethod 1 are twice as high as </w:t>
      </w:r>
      <w:r w:rsidRPr="00C058EC">
        <w:rPr>
          <w:rFonts w:cs="Arial"/>
        </w:rPr>
        <w:t>m</w:t>
      </w:r>
      <w:r w:rsidR="0050251B" w:rsidRPr="00C058EC">
        <w:rPr>
          <w:rFonts w:cs="Arial"/>
        </w:rPr>
        <w:t>ethod 2. Possible reasons for the differences may include:</w:t>
      </w:r>
    </w:p>
    <w:p w:rsidR="0050251B" w:rsidRPr="00C058EC" w:rsidRDefault="0050251B" w:rsidP="00C058EC">
      <w:pPr>
        <w:numPr>
          <w:ilvl w:val="0"/>
          <w:numId w:val="4"/>
        </w:numPr>
        <w:spacing w:after="0" w:line="240" w:lineRule="auto"/>
        <w:rPr>
          <w:rFonts w:cs="Arial"/>
        </w:rPr>
      </w:pPr>
      <w:r w:rsidRPr="00C058EC">
        <w:rPr>
          <w:rFonts w:cs="Arial"/>
        </w:rPr>
        <w:t xml:space="preserve">Method 1 could be an over-estimate if the </w:t>
      </w:r>
      <w:r w:rsidR="006E35FB">
        <w:rPr>
          <w:rFonts w:cs="Arial"/>
        </w:rPr>
        <w:t>sampled</w:t>
      </w:r>
      <w:r w:rsidRPr="00C058EC">
        <w:rPr>
          <w:rFonts w:cs="Arial"/>
        </w:rPr>
        <w:t xml:space="preserve"> catch values </w:t>
      </w:r>
      <w:r w:rsidR="006E35FB">
        <w:rPr>
          <w:rFonts w:cs="Arial"/>
        </w:rPr>
        <w:t>were more representative of</w:t>
      </w:r>
      <w:r w:rsidRPr="00C058EC">
        <w:rPr>
          <w:rFonts w:cs="Arial"/>
        </w:rPr>
        <w:t xml:space="preserve"> higher value licenses (as method 1 depends on sampling) </w:t>
      </w:r>
    </w:p>
    <w:p w:rsidR="0050251B" w:rsidRPr="00C058EC" w:rsidRDefault="0050251B" w:rsidP="00C058EC">
      <w:pPr>
        <w:numPr>
          <w:ilvl w:val="0"/>
          <w:numId w:val="4"/>
        </w:numPr>
        <w:spacing w:after="0" w:line="240" w:lineRule="auto"/>
        <w:rPr>
          <w:rFonts w:cs="Arial"/>
        </w:rPr>
      </w:pPr>
      <w:r w:rsidRPr="00C058EC">
        <w:rPr>
          <w:rFonts w:cs="Arial"/>
        </w:rPr>
        <w:t>Method 2 could be an under-estimate if the average catch per license in 2016</w:t>
      </w:r>
      <w:r w:rsidR="006E35FB">
        <w:rPr>
          <w:rFonts w:cs="Arial"/>
        </w:rPr>
        <w:t xml:space="preserve"> </w:t>
      </w:r>
      <w:r w:rsidRPr="00C058EC">
        <w:rPr>
          <w:rFonts w:cs="Arial"/>
        </w:rPr>
        <w:t>under-estimated the respective values for an average year</w:t>
      </w:r>
      <w:r w:rsidR="006E35FB">
        <w:rPr>
          <w:rFonts w:cs="Arial"/>
        </w:rPr>
        <w:t>. As well it could, be an under-estimate if the</w:t>
      </w:r>
      <w:r w:rsidR="006E35FB" w:rsidRPr="00C058EC">
        <w:rPr>
          <w:rFonts w:cs="Arial"/>
        </w:rPr>
        <w:t xml:space="preserve"> average price received in 2016 </w:t>
      </w:r>
      <w:r w:rsidR="006E35FB">
        <w:rPr>
          <w:rFonts w:cs="Arial"/>
        </w:rPr>
        <w:t>under estimated respective values for an average year</w:t>
      </w:r>
      <w:r w:rsidRPr="00C058EC">
        <w:rPr>
          <w:rFonts w:cs="Arial"/>
        </w:rPr>
        <w:t xml:space="preserve"> (method </w:t>
      </w:r>
      <w:r w:rsidR="00C058EC" w:rsidRPr="00C058EC">
        <w:rPr>
          <w:rFonts w:cs="Arial"/>
        </w:rPr>
        <w:t xml:space="preserve">2 </w:t>
      </w:r>
      <w:r w:rsidRPr="00C058EC">
        <w:rPr>
          <w:rFonts w:cs="Arial"/>
        </w:rPr>
        <w:t>extrapolate</w:t>
      </w:r>
      <w:r w:rsidR="00C058EC" w:rsidRPr="00C058EC">
        <w:rPr>
          <w:rFonts w:cs="Arial"/>
        </w:rPr>
        <w:t>s</w:t>
      </w:r>
      <w:r w:rsidRPr="00C058EC">
        <w:rPr>
          <w:rFonts w:cs="Arial"/>
        </w:rPr>
        <w:t xml:space="preserve"> </w:t>
      </w:r>
      <w:r w:rsidR="00C058EC" w:rsidRPr="00C058EC">
        <w:rPr>
          <w:rFonts w:cs="Arial"/>
        </w:rPr>
        <w:t>the</w:t>
      </w:r>
      <w:r w:rsidRPr="00C058EC">
        <w:rPr>
          <w:rFonts w:cs="Arial"/>
        </w:rPr>
        <w:t xml:space="preserve"> 2016 values on all the years.)</w:t>
      </w:r>
    </w:p>
    <w:p w:rsidR="0050251B" w:rsidRPr="00C058EC" w:rsidRDefault="0050251B" w:rsidP="00C058EC">
      <w:pPr>
        <w:numPr>
          <w:ilvl w:val="0"/>
          <w:numId w:val="4"/>
        </w:numPr>
        <w:spacing w:after="0" w:line="240" w:lineRule="auto"/>
        <w:rPr>
          <w:rFonts w:cs="Arial"/>
        </w:rPr>
      </w:pPr>
      <w:r w:rsidRPr="00C058EC">
        <w:rPr>
          <w:rFonts w:cs="Arial"/>
        </w:rPr>
        <w:t xml:space="preserve">Although method 3 was not used, it </w:t>
      </w:r>
      <w:r w:rsidR="00C058EC" w:rsidRPr="00C058EC">
        <w:rPr>
          <w:rFonts w:cs="Arial"/>
        </w:rPr>
        <w:t>would</w:t>
      </w:r>
      <w:r w:rsidRPr="00C058EC">
        <w:rPr>
          <w:rFonts w:cs="Arial"/>
        </w:rPr>
        <w:t xml:space="preserve"> better reflect the values of licenses for each year (</w:t>
      </w:r>
      <w:r w:rsidR="00004919">
        <w:rPr>
          <w:rFonts w:cs="Arial"/>
        </w:rPr>
        <w:t>as it</w:t>
      </w:r>
      <w:r w:rsidRPr="00C058EC">
        <w:rPr>
          <w:rFonts w:cs="Arial"/>
        </w:rPr>
        <w:t xml:space="preserve"> </w:t>
      </w:r>
      <w:r w:rsidR="00004919">
        <w:rPr>
          <w:rFonts w:cs="Arial"/>
        </w:rPr>
        <w:t xml:space="preserve">first </w:t>
      </w:r>
      <w:r w:rsidR="00C058EC" w:rsidRPr="00C058EC">
        <w:rPr>
          <w:rFonts w:cs="Arial"/>
        </w:rPr>
        <w:t>applies</w:t>
      </w:r>
      <w:r w:rsidRPr="00C058EC">
        <w:rPr>
          <w:rFonts w:cs="Arial"/>
        </w:rPr>
        <w:t xml:space="preserve"> the nominal values for </w:t>
      </w:r>
      <w:r w:rsidR="00004919">
        <w:rPr>
          <w:rFonts w:cs="Arial"/>
        </w:rPr>
        <w:t xml:space="preserve">licenses </w:t>
      </w:r>
      <w:r w:rsidRPr="00C058EC">
        <w:rPr>
          <w:rFonts w:cs="Arial"/>
        </w:rPr>
        <w:t>each year and</w:t>
      </w:r>
      <w:r w:rsidR="00004919">
        <w:rPr>
          <w:rFonts w:cs="Arial"/>
        </w:rPr>
        <w:t xml:space="preserve"> then</w:t>
      </w:r>
      <w:r w:rsidRPr="00C058EC">
        <w:rPr>
          <w:rFonts w:cs="Arial"/>
        </w:rPr>
        <w:t xml:space="preserve"> bring</w:t>
      </w:r>
      <w:r w:rsidR="00004919">
        <w:rPr>
          <w:rFonts w:cs="Arial"/>
        </w:rPr>
        <w:t>s</w:t>
      </w:r>
      <w:r w:rsidRPr="00C058EC">
        <w:rPr>
          <w:rFonts w:cs="Arial"/>
        </w:rPr>
        <w:t xml:space="preserve"> them to 2016 values).</w:t>
      </w:r>
    </w:p>
    <w:p w:rsidR="0050251B" w:rsidRPr="00C058EC" w:rsidRDefault="0050251B" w:rsidP="00C058EC">
      <w:pPr>
        <w:spacing w:after="0" w:line="240" w:lineRule="auto"/>
        <w:ind w:left="360"/>
        <w:rPr>
          <w:rFonts w:cs="Arial"/>
        </w:rPr>
      </w:pPr>
      <w:r w:rsidRPr="00C058EC">
        <w:rPr>
          <w:rFonts w:cs="Arial"/>
        </w:rPr>
        <w:t xml:space="preserve"> </w:t>
      </w:r>
    </w:p>
    <w:p w:rsidR="0050251B" w:rsidRPr="00C058EC" w:rsidRDefault="00C058EC" w:rsidP="00C058EC">
      <w:pPr>
        <w:spacing w:after="0" w:line="240" w:lineRule="auto"/>
        <w:rPr>
          <w:b/>
        </w:rPr>
      </w:pPr>
      <w:r w:rsidRPr="00C058EC">
        <w:rPr>
          <w:b/>
        </w:rPr>
        <w:br w:type="page"/>
      </w:r>
      <w:r w:rsidRPr="00C058EC">
        <w:rPr>
          <w:b/>
        </w:rPr>
        <w:lastRenderedPageBreak/>
        <w:t xml:space="preserve"> 2.</w:t>
      </w:r>
    </w:p>
    <w:p w:rsidR="0050251B" w:rsidRPr="00C058EC" w:rsidRDefault="0050251B" w:rsidP="00C058EC">
      <w:pPr>
        <w:numPr>
          <w:ilvl w:val="0"/>
          <w:numId w:val="6"/>
        </w:numPr>
        <w:spacing w:after="0" w:line="240" w:lineRule="auto"/>
        <w:rPr>
          <w:rFonts w:cs="Arial"/>
          <w:b/>
          <w:lang w:eastAsia="en-CA"/>
        </w:rPr>
      </w:pPr>
      <w:r w:rsidRPr="00C058EC">
        <w:rPr>
          <w:rFonts w:cs="Arial"/>
          <w:b/>
          <w:lang w:eastAsia="en-CA"/>
        </w:rPr>
        <w:t>The long term trend and monthly variation in landed value</w:t>
      </w:r>
      <w:r w:rsidR="00497821">
        <w:rPr>
          <w:rFonts w:cs="Arial"/>
          <w:b/>
          <w:lang w:eastAsia="en-CA"/>
        </w:rPr>
        <w:t>:</w:t>
      </w:r>
      <w:r w:rsidRPr="00C058EC">
        <w:rPr>
          <w:rFonts w:cs="Arial"/>
          <w:b/>
          <w:lang w:eastAsia="en-CA"/>
        </w:rPr>
        <w:t xml:space="preserve"> </w:t>
      </w:r>
    </w:p>
    <w:p w:rsidR="00C058EC" w:rsidRPr="00C058EC" w:rsidRDefault="0050251B" w:rsidP="00C058EC">
      <w:pPr>
        <w:spacing w:after="0" w:line="240" w:lineRule="auto"/>
        <w:ind w:left="562"/>
        <w:rPr>
          <w:rFonts w:cs="Arial"/>
          <w:lang w:eastAsia="en-CA"/>
        </w:rPr>
      </w:pPr>
      <w:r w:rsidRPr="00C058EC">
        <w:rPr>
          <w:rFonts w:cs="Arial"/>
          <w:lang w:eastAsia="en-CA"/>
        </w:rPr>
        <w:t xml:space="preserve">The </w:t>
      </w:r>
      <w:r w:rsidR="006E35FB">
        <w:rPr>
          <w:rFonts w:cs="Arial"/>
          <w:lang w:eastAsia="en-CA"/>
        </w:rPr>
        <w:t>top panel</w:t>
      </w:r>
      <w:r w:rsidRPr="00C058EC">
        <w:rPr>
          <w:rFonts w:cs="Arial"/>
          <w:lang w:eastAsia="en-CA"/>
        </w:rPr>
        <w:t xml:space="preserve"> on Fig 2</w:t>
      </w:r>
      <w:r w:rsidR="006E35FB">
        <w:rPr>
          <w:rFonts w:cs="Arial"/>
          <w:lang w:eastAsia="en-CA"/>
        </w:rPr>
        <w:t xml:space="preserve"> </w:t>
      </w:r>
      <w:r w:rsidRPr="00C058EC">
        <w:rPr>
          <w:rFonts w:cs="Arial"/>
          <w:lang w:eastAsia="en-CA"/>
        </w:rPr>
        <w:t>show</w:t>
      </w:r>
      <w:r w:rsidR="006E35FB">
        <w:rPr>
          <w:rFonts w:cs="Arial"/>
          <w:lang w:eastAsia="en-CA"/>
        </w:rPr>
        <w:t>s</w:t>
      </w:r>
      <w:r w:rsidRPr="00C058EC">
        <w:rPr>
          <w:rFonts w:cs="Arial"/>
          <w:lang w:eastAsia="en-CA"/>
        </w:rPr>
        <w:t xml:space="preserve"> the values</w:t>
      </w:r>
      <w:r w:rsidR="006E35FB" w:rsidRPr="006E35FB">
        <w:rPr>
          <w:rFonts w:cs="Arial"/>
          <w:lang w:eastAsia="en-CA"/>
        </w:rPr>
        <w:t xml:space="preserve"> </w:t>
      </w:r>
      <w:r w:rsidR="006E35FB">
        <w:rPr>
          <w:rFonts w:cs="Arial"/>
          <w:lang w:eastAsia="en-CA"/>
        </w:rPr>
        <w:t xml:space="preserve">for </w:t>
      </w:r>
      <w:r w:rsidR="006E35FB" w:rsidRPr="00C058EC">
        <w:rPr>
          <w:rFonts w:cs="Arial"/>
          <w:lang w:eastAsia="en-CA"/>
        </w:rPr>
        <w:t>licence</w:t>
      </w:r>
      <w:r w:rsidR="006E35FB">
        <w:rPr>
          <w:rFonts w:cs="Arial"/>
          <w:lang w:eastAsia="en-CA"/>
        </w:rPr>
        <w:t>s</w:t>
      </w:r>
      <w:r w:rsidR="006E35FB" w:rsidRPr="00C058EC">
        <w:rPr>
          <w:rFonts w:cs="Arial"/>
          <w:lang w:eastAsia="en-CA"/>
        </w:rPr>
        <w:t xml:space="preserve"> between 2010-2019</w:t>
      </w:r>
      <w:r w:rsidR="00315AB6">
        <w:rPr>
          <w:rFonts w:cs="Arial"/>
          <w:lang w:eastAsia="en-CA"/>
        </w:rPr>
        <w:t xml:space="preserve"> </w:t>
      </w:r>
      <w:r w:rsidR="00315AB6" w:rsidRPr="00C058EC">
        <w:rPr>
          <w:rFonts w:cs="Arial"/>
          <w:lang w:eastAsia="en-CA"/>
        </w:rPr>
        <w:t>(in nominal dollars with respective exponents)</w:t>
      </w:r>
      <w:r w:rsidR="00E223EB">
        <w:rPr>
          <w:rFonts w:cs="Arial"/>
          <w:lang w:eastAsia="en-CA"/>
        </w:rPr>
        <w:t xml:space="preserve">. The middle and </w:t>
      </w:r>
      <w:r w:rsidR="006E35FB">
        <w:rPr>
          <w:rFonts w:cs="Arial"/>
          <w:lang w:eastAsia="en-CA"/>
        </w:rPr>
        <w:t>bottom panels disaggregate the values into the</w:t>
      </w:r>
      <w:r w:rsidRPr="00C058EC">
        <w:rPr>
          <w:rFonts w:cs="Arial"/>
          <w:lang w:eastAsia="en-CA"/>
        </w:rPr>
        <w:t xml:space="preserve"> long-</w:t>
      </w:r>
      <w:r w:rsidR="006E35FB" w:rsidRPr="00C058EC">
        <w:rPr>
          <w:rFonts w:cs="Arial"/>
          <w:lang w:eastAsia="en-CA"/>
        </w:rPr>
        <w:t>term trend</w:t>
      </w:r>
      <w:r w:rsidRPr="00C058EC">
        <w:rPr>
          <w:rFonts w:cs="Arial"/>
          <w:lang w:eastAsia="en-CA"/>
        </w:rPr>
        <w:t xml:space="preserve"> and </w:t>
      </w:r>
      <w:r w:rsidR="006E35FB">
        <w:rPr>
          <w:rFonts w:cs="Arial"/>
          <w:lang w:eastAsia="en-CA"/>
        </w:rPr>
        <w:t>monthly</w:t>
      </w:r>
      <w:r w:rsidRPr="00C058EC">
        <w:rPr>
          <w:rFonts w:cs="Arial"/>
          <w:lang w:eastAsia="en-CA"/>
        </w:rPr>
        <w:t xml:space="preserve"> variations</w:t>
      </w:r>
      <w:r w:rsidR="006E35FB">
        <w:rPr>
          <w:rFonts w:cs="Arial"/>
          <w:lang w:eastAsia="en-CA"/>
        </w:rPr>
        <w:t>,</w:t>
      </w:r>
      <w:r w:rsidR="00E223EB">
        <w:rPr>
          <w:rFonts w:cs="Arial"/>
          <w:lang w:eastAsia="en-CA"/>
        </w:rPr>
        <w:t xml:space="preserve"> respectively:</w:t>
      </w:r>
    </w:p>
    <w:p w:rsidR="00C058EC" w:rsidRPr="00C058EC" w:rsidRDefault="00C058EC" w:rsidP="00C058EC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lang w:eastAsia="en-CA"/>
        </w:rPr>
      </w:pPr>
      <w:r w:rsidRPr="00C058EC">
        <w:rPr>
          <w:rFonts w:cs="Arial"/>
          <w:lang w:eastAsia="en-CA"/>
        </w:rPr>
        <w:t>T</w:t>
      </w:r>
      <w:r w:rsidR="0050251B" w:rsidRPr="00C058EC">
        <w:rPr>
          <w:rFonts w:cs="Arial"/>
          <w:lang w:eastAsia="en-CA"/>
        </w:rPr>
        <w:t>he long-term trend appears to be stationary, with the exception of three increases in 2011</w:t>
      </w:r>
      <w:r w:rsidR="00315AB6">
        <w:rPr>
          <w:rFonts w:cs="Arial"/>
          <w:lang w:eastAsia="en-CA"/>
        </w:rPr>
        <w:t>, 2015 and 2018 (middle panel).</w:t>
      </w:r>
      <w:r w:rsidR="0050251B" w:rsidRPr="00C058EC">
        <w:rPr>
          <w:rFonts w:cs="Arial"/>
          <w:lang w:eastAsia="en-CA"/>
        </w:rPr>
        <w:t xml:space="preserve"> </w:t>
      </w:r>
    </w:p>
    <w:p w:rsidR="0050251B" w:rsidRDefault="0050251B" w:rsidP="00C058EC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lang w:eastAsia="en-CA"/>
        </w:rPr>
      </w:pPr>
      <w:r w:rsidRPr="00C058EC">
        <w:rPr>
          <w:rFonts w:cs="Arial"/>
          <w:lang w:eastAsia="en-CA"/>
        </w:rPr>
        <w:t xml:space="preserve">Monthly variation rises in the summer and ebbs in winter </w:t>
      </w:r>
      <w:r w:rsidR="00C058EC" w:rsidRPr="00C058EC">
        <w:rPr>
          <w:rFonts w:cs="Arial"/>
          <w:lang w:eastAsia="en-CA"/>
        </w:rPr>
        <w:t xml:space="preserve">consistently </w:t>
      </w:r>
      <w:r w:rsidRPr="00C058EC">
        <w:rPr>
          <w:rFonts w:cs="Arial"/>
          <w:lang w:eastAsia="en-CA"/>
        </w:rPr>
        <w:t xml:space="preserve">(bottom panel) </w:t>
      </w:r>
    </w:p>
    <w:p w:rsidR="00C058EC" w:rsidRPr="00C058EC" w:rsidRDefault="00C058EC" w:rsidP="00C058EC">
      <w:pPr>
        <w:pStyle w:val="ListParagraph"/>
        <w:spacing w:after="0" w:line="240" w:lineRule="auto"/>
        <w:ind w:left="1282"/>
        <w:rPr>
          <w:rFonts w:cs="Arial"/>
          <w:lang w:eastAsia="en-CA"/>
        </w:rPr>
      </w:pPr>
    </w:p>
    <w:p w:rsidR="0050251B" w:rsidRPr="00C058EC" w:rsidRDefault="0050251B" w:rsidP="00C058EC">
      <w:pPr>
        <w:spacing w:after="0" w:line="240" w:lineRule="auto"/>
        <w:ind w:left="562"/>
        <w:rPr>
          <w:rFonts w:cs="Arial"/>
          <w:b/>
          <w:lang w:eastAsia="en-CA"/>
        </w:rPr>
      </w:pPr>
      <w:r w:rsidRPr="00C058EC">
        <w:rPr>
          <w:rFonts w:cs="Arial"/>
          <w:b/>
          <w:lang w:eastAsia="en-CA"/>
        </w:rPr>
        <w:t xml:space="preserve">Fig2. Landed value (in nominal dollars with respective exponents) </w:t>
      </w:r>
    </w:p>
    <w:p w:rsidR="0050251B" w:rsidRPr="00C058EC" w:rsidRDefault="0050251B" w:rsidP="00C058EC">
      <w:pPr>
        <w:spacing w:after="0" w:line="240" w:lineRule="auto"/>
        <w:ind w:left="562"/>
        <w:rPr>
          <w:rFonts w:cs="Arial"/>
          <w:lang w:eastAsia="en-CA"/>
        </w:rPr>
      </w:pPr>
      <w:r w:rsidRPr="00C058EC">
        <w:rPr>
          <w:rFonts w:cs="Arial"/>
          <w:noProof/>
          <w:lang w:val="en-US"/>
        </w:rPr>
        <w:drawing>
          <wp:inline distT="0" distB="0" distL="0" distR="0">
            <wp:extent cx="3731631" cy="2275367"/>
            <wp:effectExtent l="0" t="0" r="2540" b="0"/>
            <wp:docPr id="4" name="Picture 4" descr="C:\Users\antony.samarawickrem\Downloads\tren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y.samarawickrem\Downloads\trend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433" cy="228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51B" w:rsidRDefault="00004919" w:rsidP="00C058EC">
      <w:pPr>
        <w:spacing w:after="0" w:line="240" w:lineRule="auto"/>
        <w:ind w:left="562"/>
        <w:rPr>
          <w:rFonts w:cs="Arial"/>
          <w:lang w:eastAsia="en-CA"/>
        </w:rPr>
      </w:pPr>
      <w:r>
        <w:rPr>
          <w:rFonts w:cs="Arial"/>
          <w:lang w:eastAsia="en-CA"/>
        </w:rPr>
        <w:t>(Source: python notebook</w:t>
      </w:r>
      <w:r w:rsidRPr="00004919">
        <w:rPr>
          <w:rFonts w:cs="Arial"/>
          <w:lang w:eastAsia="en-CA"/>
        </w:rPr>
        <w:t xml:space="preserve"> </w:t>
      </w:r>
      <w:r>
        <w:rPr>
          <w:rFonts w:cs="Arial"/>
          <w:lang w:eastAsia="en-CA"/>
        </w:rPr>
        <w:t>attached)</w:t>
      </w:r>
    </w:p>
    <w:p w:rsidR="00004919" w:rsidRPr="00C058EC" w:rsidRDefault="00004919" w:rsidP="00C058EC">
      <w:pPr>
        <w:spacing w:after="0" w:line="240" w:lineRule="auto"/>
        <w:ind w:left="562"/>
        <w:rPr>
          <w:rFonts w:cs="Arial"/>
          <w:lang w:eastAsia="en-CA"/>
        </w:rPr>
      </w:pPr>
    </w:p>
    <w:p w:rsidR="0050251B" w:rsidRPr="00C058EC" w:rsidRDefault="0050251B" w:rsidP="00C058EC">
      <w:pPr>
        <w:spacing w:after="0" w:line="240" w:lineRule="auto"/>
        <w:ind w:left="562"/>
        <w:rPr>
          <w:rFonts w:cs="Arial"/>
          <w:b/>
          <w:lang w:eastAsia="en-CA"/>
        </w:rPr>
      </w:pPr>
      <w:r w:rsidRPr="00C058EC">
        <w:rPr>
          <w:rFonts w:cs="Arial"/>
          <w:b/>
          <w:lang w:eastAsia="en-CA"/>
        </w:rPr>
        <w:t xml:space="preserve">The </w:t>
      </w:r>
      <w:r w:rsidR="00C058EC" w:rsidRPr="00C058EC">
        <w:rPr>
          <w:rFonts w:cs="Arial"/>
          <w:b/>
          <w:lang w:eastAsia="en-CA"/>
        </w:rPr>
        <w:t>impact of the (</w:t>
      </w:r>
      <w:r w:rsidRPr="00C058EC">
        <w:rPr>
          <w:rFonts w:cs="Arial"/>
          <w:b/>
          <w:lang w:eastAsia="en-CA"/>
        </w:rPr>
        <w:t>2019</w:t>
      </w:r>
      <w:r w:rsidR="00C058EC" w:rsidRPr="00C058EC">
        <w:rPr>
          <w:rFonts w:cs="Arial"/>
          <w:b/>
          <w:lang w:eastAsia="en-CA"/>
        </w:rPr>
        <w:t>)</w:t>
      </w:r>
      <w:r w:rsidRPr="00C058EC">
        <w:rPr>
          <w:rFonts w:cs="Arial"/>
          <w:b/>
          <w:lang w:eastAsia="en-CA"/>
        </w:rPr>
        <w:t xml:space="preserve"> restrictions </w:t>
      </w:r>
      <w:r w:rsidR="00C058EC" w:rsidRPr="00C058EC">
        <w:rPr>
          <w:rFonts w:cs="Arial"/>
          <w:b/>
          <w:lang w:eastAsia="en-CA"/>
        </w:rPr>
        <w:t xml:space="preserve">on </w:t>
      </w:r>
      <w:r w:rsidRPr="00C058EC">
        <w:rPr>
          <w:rFonts w:cs="Arial"/>
          <w:b/>
          <w:lang w:eastAsia="en-CA"/>
        </w:rPr>
        <w:t>landed value for gears and areas</w:t>
      </w:r>
      <w:r w:rsidR="00C058EC">
        <w:rPr>
          <w:rFonts w:cs="Arial"/>
          <w:b/>
          <w:lang w:eastAsia="en-CA"/>
        </w:rPr>
        <w:t>:</w:t>
      </w:r>
    </w:p>
    <w:p w:rsidR="00C058EC" w:rsidRPr="00C058EC" w:rsidRDefault="00C058EC" w:rsidP="00C058EC">
      <w:pPr>
        <w:pStyle w:val="ListParagraph"/>
        <w:numPr>
          <w:ilvl w:val="0"/>
          <w:numId w:val="11"/>
        </w:numPr>
        <w:spacing w:after="0" w:line="240" w:lineRule="auto"/>
        <w:rPr>
          <w:rFonts w:cs="Arial"/>
          <w:lang w:eastAsia="en-CA"/>
        </w:rPr>
      </w:pPr>
      <w:r w:rsidRPr="00C058EC">
        <w:rPr>
          <w:rFonts w:cs="Arial"/>
          <w:lang w:eastAsia="en-CA"/>
        </w:rPr>
        <w:t>Based on gear, t</w:t>
      </w:r>
      <w:r w:rsidR="0050251B" w:rsidRPr="00C058EC">
        <w:rPr>
          <w:rFonts w:cs="Arial"/>
          <w:lang w:eastAsia="en-CA"/>
        </w:rPr>
        <w:t>he steepest declines</w:t>
      </w:r>
      <w:r w:rsidRPr="00C058EC">
        <w:rPr>
          <w:rFonts w:cs="Arial"/>
          <w:lang w:eastAsia="en-CA"/>
        </w:rPr>
        <w:t xml:space="preserve"> in landed values</w:t>
      </w:r>
      <w:r w:rsidR="0050251B" w:rsidRPr="00C058EC">
        <w:rPr>
          <w:rFonts w:cs="Arial"/>
          <w:lang w:eastAsia="en-CA"/>
        </w:rPr>
        <w:t xml:space="preserve"> were in </w:t>
      </w:r>
      <w:r w:rsidR="00004919">
        <w:rPr>
          <w:rFonts w:cs="Arial"/>
          <w:lang w:eastAsia="en-CA"/>
        </w:rPr>
        <w:t>‘</w:t>
      </w:r>
      <w:r w:rsidR="0050251B" w:rsidRPr="00C058EC">
        <w:rPr>
          <w:rFonts w:cs="Arial"/>
          <w:lang w:eastAsia="en-CA"/>
        </w:rPr>
        <w:t>seines</w:t>
      </w:r>
      <w:r w:rsidR="00004919">
        <w:rPr>
          <w:rFonts w:cs="Arial"/>
          <w:lang w:eastAsia="en-CA"/>
        </w:rPr>
        <w:t>’</w:t>
      </w:r>
      <w:r w:rsidR="0050251B" w:rsidRPr="00C058EC">
        <w:rPr>
          <w:rFonts w:cs="Arial"/>
          <w:lang w:eastAsia="en-CA"/>
        </w:rPr>
        <w:t xml:space="preserve"> (Fig 3) </w:t>
      </w:r>
    </w:p>
    <w:p w:rsidR="0050251B" w:rsidRPr="00C058EC" w:rsidRDefault="00C058EC" w:rsidP="00C058EC">
      <w:pPr>
        <w:pStyle w:val="ListParagraph"/>
        <w:numPr>
          <w:ilvl w:val="0"/>
          <w:numId w:val="11"/>
        </w:numPr>
        <w:spacing w:after="0" w:line="240" w:lineRule="auto"/>
        <w:rPr>
          <w:rFonts w:cs="Arial"/>
          <w:lang w:eastAsia="en-CA"/>
        </w:rPr>
      </w:pPr>
      <w:r w:rsidRPr="00C058EC">
        <w:rPr>
          <w:rFonts w:cs="Arial"/>
          <w:lang w:eastAsia="en-CA"/>
        </w:rPr>
        <w:t>Based on area, the steepest declines were in</w:t>
      </w:r>
      <w:r w:rsidR="0050251B" w:rsidRPr="00C058EC">
        <w:rPr>
          <w:rFonts w:cs="Arial"/>
          <w:lang w:eastAsia="en-CA"/>
        </w:rPr>
        <w:t xml:space="preserve"> B</w:t>
      </w:r>
      <w:r w:rsidRPr="00C058EC">
        <w:rPr>
          <w:rFonts w:cs="Arial"/>
          <w:lang w:eastAsia="en-CA"/>
        </w:rPr>
        <w:t xml:space="preserve"> and D. There were no values for E and H in 2019 (Fig 4)</w:t>
      </w:r>
    </w:p>
    <w:p w:rsidR="0050251B" w:rsidRPr="00C058EC" w:rsidRDefault="0050251B" w:rsidP="00C058EC">
      <w:pPr>
        <w:spacing w:after="0" w:line="240" w:lineRule="auto"/>
        <w:ind w:left="562"/>
        <w:rPr>
          <w:rFonts w:cs="Arial"/>
          <w:b/>
          <w:lang w:eastAsia="en-CA"/>
        </w:rPr>
      </w:pPr>
    </w:p>
    <w:p w:rsidR="0050251B" w:rsidRPr="00C058EC" w:rsidRDefault="0050251B" w:rsidP="00C058EC">
      <w:pPr>
        <w:spacing w:after="0" w:line="240" w:lineRule="auto"/>
        <w:ind w:left="720"/>
        <w:rPr>
          <w:rFonts w:cs="Arial"/>
          <w:b/>
          <w:lang w:eastAsia="en-CA"/>
        </w:rPr>
      </w:pPr>
      <w:r w:rsidRPr="00C058EC">
        <w:rPr>
          <w:rFonts w:cs="Arial"/>
          <w:b/>
          <w:lang w:eastAsia="en-CA"/>
        </w:rPr>
        <w:t xml:space="preserve">Fig. 3 </w:t>
      </w:r>
      <w:r w:rsidR="00A35940" w:rsidRPr="00C058EC">
        <w:rPr>
          <w:rFonts w:cs="Arial"/>
          <w:b/>
          <w:lang w:eastAsia="en-CA"/>
        </w:rPr>
        <w:t>L</w:t>
      </w:r>
      <w:r w:rsidRPr="00C058EC">
        <w:rPr>
          <w:rFonts w:cs="Arial"/>
          <w:b/>
          <w:lang w:eastAsia="en-CA"/>
        </w:rPr>
        <w:t>anded values based on gear</w:t>
      </w:r>
      <w:r w:rsidR="00451411">
        <w:rPr>
          <w:rFonts w:cs="Arial"/>
          <w:b/>
          <w:lang w:eastAsia="en-CA"/>
        </w:rPr>
        <w:t xml:space="preserve"> </w:t>
      </w:r>
      <w:r w:rsidR="00315AB6">
        <w:rPr>
          <w:rFonts w:cs="Arial"/>
          <w:b/>
          <w:lang w:eastAsia="en-CA"/>
        </w:rPr>
        <w:t>(nominal $)</w:t>
      </w:r>
    </w:p>
    <w:p w:rsidR="0050251B" w:rsidRPr="00C058EC" w:rsidRDefault="00A35940" w:rsidP="00C058EC">
      <w:pPr>
        <w:spacing w:after="0" w:line="240" w:lineRule="auto"/>
        <w:ind w:left="720"/>
        <w:rPr>
          <w:rFonts w:cs="Arial"/>
          <w:lang w:eastAsia="en-CA"/>
        </w:rPr>
      </w:pPr>
      <w:r w:rsidRPr="00C058EC">
        <w:rPr>
          <w:rFonts w:cs="Arial"/>
          <w:noProof/>
          <w:lang w:val="en-US"/>
        </w:rPr>
        <w:drawing>
          <wp:inline distT="0" distB="0" distL="0" distR="0" wp14:anchorId="2E2EB326">
            <wp:extent cx="3350525" cy="223368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854" cy="22392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58EC" w:rsidRPr="00004919" w:rsidRDefault="00004919">
      <w:pPr>
        <w:rPr>
          <w:rFonts w:cs="Arial"/>
          <w:lang w:eastAsia="en-CA"/>
        </w:rPr>
      </w:pPr>
      <w:r w:rsidRPr="00004919">
        <w:rPr>
          <w:rFonts w:cs="Arial"/>
          <w:lang w:eastAsia="en-CA"/>
        </w:rPr>
        <w:tab/>
        <w:t>(</w:t>
      </w:r>
      <w:r>
        <w:rPr>
          <w:rFonts w:cs="Arial"/>
          <w:lang w:eastAsia="en-CA"/>
        </w:rPr>
        <w:t>S</w:t>
      </w:r>
      <w:r w:rsidRPr="00004919">
        <w:rPr>
          <w:rFonts w:cs="Arial"/>
          <w:lang w:eastAsia="en-CA"/>
        </w:rPr>
        <w:t>ource: excel worksheet attached)</w:t>
      </w:r>
    </w:p>
    <w:p w:rsidR="00004919" w:rsidRDefault="00004919">
      <w:pPr>
        <w:rPr>
          <w:rFonts w:cs="Arial"/>
          <w:b/>
          <w:lang w:eastAsia="en-CA"/>
        </w:rPr>
      </w:pPr>
      <w:r>
        <w:rPr>
          <w:rFonts w:cs="Arial"/>
          <w:b/>
          <w:lang w:eastAsia="en-CA"/>
        </w:rPr>
        <w:br w:type="page"/>
      </w:r>
    </w:p>
    <w:p w:rsidR="0050251B" w:rsidRPr="00C058EC" w:rsidRDefault="0050251B" w:rsidP="00C058EC">
      <w:pPr>
        <w:spacing w:after="0" w:line="240" w:lineRule="auto"/>
        <w:ind w:left="720"/>
        <w:rPr>
          <w:rFonts w:cs="Arial"/>
          <w:b/>
          <w:lang w:eastAsia="en-CA"/>
        </w:rPr>
      </w:pPr>
      <w:r w:rsidRPr="00C058EC">
        <w:rPr>
          <w:rFonts w:cs="Arial"/>
          <w:b/>
          <w:lang w:eastAsia="en-CA"/>
        </w:rPr>
        <w:lastRenderedPageBreak/>
        <w:t xml:space="preserve">Fig. 4 </w:t>
      </w:r>
      <w:r w:rsidR="00A35940" w:rsidRPr="00C058EC">
        <w:rPr>
          <w:rFonts w:cs="Arial"/>
          <w:b/>
          <w:lang w:eastAsia="en-CA"/>
        </w:rPr>
        <w:t>L</w:t>
      </w:r>
      <w:r w:rsidRPr="00C058EC">
        <w:rPr>
          <w:rFonts w:cs="Arial"/>
          <w:b/>
          <w:lang w:eastAsia="en-CA"/>
        </w:rPr>
        <w:t>anded values based on area</w:t>
      </w:r>
      <w:r w:rsidR="00315AB6">
        <w:rPr>
          <w:rFonts w:cs="Arial"/>
          <w:b/>
          <w:lang w:eastAsia="en-CA"/>
        </w:rPr>
        <w:t xml:space="preserve"> (nominal $)</w:t>
      </w:r>
    </w:p>
    <w:p w:rsidR="0050251B" w:rsidRDefault="00A35940" w:rsidP="00C058EC">
      <w:pPr>
        <w:spacing w:after="0" w:line="240" w:lineRule="auto"/>
        <w:ind w:left="720"/>
        <w:rPr>
          <w:rFonts w:cs="Arial"/>
          <w:lang w:eastAsia="en-CA"/>
        </w:rPr>
      </w:pPr>
      <w:r w:rsidRPr="00C058EC">
        <w:rPr>
          <w:rFonts w:cs="Arial"/>
          <w:noProof/>
          <w:lang w:val="en-US"/>
        </w:rPr>
        <w:drawing>
          <wp:inline distT="0" distB="0" distL="0" distR="0" wp14:anchorId="73193566">
            <wp:extent cx="3350260" cy="2013869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94" cy="2028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58EC" w:rsidRDefault="00004919" w:rsidP="00C058EC">
      <w:pPr>
        <w:spacing w:after="0" w:line="240" w:lineRule="auto"/>
        <w:ind w:left="720"/>
        <w:rPr>
          <w:rFonts w:cs="Arial"/>
          <w:lang w:eastAsia="en-CA"/>
        </w:rPr>
      </w:pPr>
      <w:r>
        <w:rPr>
          <w:rFonts w:cs="Arial"/>
          <w:lang w:eastAsia="en-CA"/>
        </w:rPr>
        <w:t>(Source: excel worksheet attached)</w:t>
      </w:r>
    </w:p>
    <w:p w:rsidR="00004919" w:rsidRPr="00C058EC" w:rsidRDefault="00004919" w:rsidP="00C058EC">
      <w:pPr>
        <w:spacing w:after="0" w:line="240" w:lineRule="auto"/>
        <w:ind w:left="720"/>
        <w:rPr>
          <w:rFonts w:cs="Arial"/>
          <w:lang w:eastAsia="en-CA"/>
        </w:rPr>
      </w:pPr>
    </w:p>
    <w:p w:rsidR="0050251B" w:rsidRPr="00C058EC" w:rsidRDefault="0050251B" w:rsidP="00C058EC">
      <w:pPr>
        <w:numPr>
          <w:ilvl w:val="0"/>
          <w:numId w:val="6"/>
        </w:numPr>
        <w:spacing w:after="0" w:line="240" w:lineRule="auto"/>
        <w:rPr>
          <w:rFonts w:cs="Arial"/>
          <w:b/>
          <w:lang w:eastAsia="en-CA"/>
        </w:rPr>
      </w:pPr>
      <w:r w:rsidRPr="00C058EC">
        <w:rPr>
          <w:rFonts w:cs="Arial"/>
          <w:b/>
          <w:lang w:eastAsia="en-CA"/>
        </w:rPr>
        <w:t xml:space="preserve">Participation rate of the commercial vessels </w:t>
      </w:r>
    </w:p>
    <w:p w:rsidR="0050251B" w:rsidRPr="00C058EC" w:rsidRDefault="0050251B" w:rsidP="00C058EC">
      <w:pPr>
        <w:spacing w:after="0" w:line="240" w:lineRule="auto"/>
        <w:ind w:left="562"/>
        <w:rPr>
          <w:rFonts w:cs="Arial"/>
          <w:lang w:eastAsia="en-CA"/>
        </w:rPr>
      </w:pPr>
      <w:r w:rsidRPr="00C058EC">
        <w:rPr>
          <w:rFonts w:cs="Arial"/>
          <w:lang w:eastAsia="en-CA"/>
        </w:rPr>
        <w:t xml:space="preserve">Based on Fig </w:t>
      </w:r>
      <w:r w:rsidR="002834C6">
        <w:rPr>
          <w:rFonts w:cs="Arial"/>
          <w:lang w:eastAsia="en-CA"/>
        </w:rPr>
        <w:t>5</w:t>
      </w:r>
      <w:r w:rsidRPr="00C058EC">
        <w:rPr>
          <w:rFonts w:cs="Arial"/>
          <w:lang w:eastAsia="en-CA"/>
        </w:rPr>
        <w:t>, annual participation declined by 30 per cent between 2018 and 2019</w:t>
      </w:r>
    </w:p>
    <w:p w:rsidR="0050251B" w:rsidRDefault="0050251B" w:rsidP="00C058EC">
      <w:pPr>
        <w:spacing w:after="0" w:line="240" w:lineRule="auto"/>
        <w:ind w:left="562"/>
        <w:rPr>
          <w:rFonts w:cs="Arial"/>
          <w:b/>
          <w:lang w:eastAsia="en-CA"/>
        </w:rPr>
      </w:pPr>
      <w:r w:rsidRPr="00C058EC">
        <w:rPr>
          <w:rFonts w:cs="Arial"/>
          <w:b/>
          <w:lang w:eastAsia="en-CA"/>
        </w:rPr>
        <w:t xml:space="preserve">Fig </w:t>
      </w:r>
      <w:proofErr w:type="gramStart"/>
      <w:r w:rsidR="002834C6">
        <w:rPr>
          <w:rFonts w:cs="Arial"/>
          <w:b/>
          <w:lang w:eastAsia="en-CA"/>
        </w:rPr>
        <w:t>5</w:t>
      </w:r>
      <w:r w:rsidRPr="00C058EC">
        <w:rPr>
          <w:rFonts w:cs="Arial"/>
          <w:b/>
          <w:lang w:eastAsia="en-CA"/>
        </w:rPr>
        <w:t>.Annual</w:t>
      </w:r>
      <w:proofErr w:type="gramEnd"/>
      <w:r w:rsidRPr="00C058EC">
        <w:rPr>
          <w:rFonts w:cs="Arial"/>
          <w:b/>
          <w:lang w:eastAsia="en-CA"/>
        </w:rPr>
        <w:t xml:space="preserve"> participation of commercial vessels</w:t>
      </w:r>
    </w:p>
    <w:p w:rsidR="002834C6" w:rsidRDefault="002834C6" w:rsidP="00C058EC">
      <w:pPr>
        <w:spacing w:after="0" w:line="240" w:lineRule="auto"/>
        <w:ind w:left="562"/>
        <w:rPr>
          <w:rFonts w:cs="Arial"/>
          <w:lang w:eastAsia="en-CA"/>
        </w:rPr>
      </w:pPr>
      <w:r>
        <w:rPr>
          <w:rFonts w:cs="Arial"/>
          <w:noProof/>
          <w:lang w:val="en-US"/>
        </w:rPr>
        <w:drawing>
          <wp:inline distT="0" distB="0" distL="0" distR="0">
            <wp:extent cx="5372850" cy="44773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1B" w:rsidRDefault="002834C6" w:rsidP="00C058EC">
      <w:pPr>
        <w:spacing w:after="0" w:line="240" w:lineRule="auto"/>
        <w:ind w:left="562"/>
        <w:rPr>
          <w:rFonts w:cs="Arial"/>
          <w:lang w:eastAsia="en-CA"/>
        </w:rPr>
      </w:pPr>
      <w:r>
        <w:rPr>
          <w:rFonts w:cs="Arial"/>
          <w:lang w:eastAsia="en-CA"/>
        </w:rPr>
        <w:t xml:space="preserve"> </w:t>
      </w:r>
      <w:r w:rsidR="00004919">
        <w:rPr>
          <w:rFonts w:cs="Arial"/>
          <w:lang w:eastAsia="en-CA"/>
        </w:rPr>
        <w:t>(Source: python notebook attached)</w:t>
      </w:r>
    </w:p>
    <w:p w:rsidR="00004919" w:rsidRPr="00C058EC" w:rsidRDefault="00004919" w:rsidP="00C058EC">
      <w:pPr>
        <w:spacing w:after="0" w:line="240" w:lineRule="auto"/>
        <w:ind w:left="562"/>
        <w:rPr>
          <w:rFonts w:cs="Arial"/>
        </w:rPr>
      </w:pPr>
    </w:p>
    <w:p w:rsidR="0050251B" w:rsidRPr="00C058EC" w:rsidRDefault="0050251B" w:rsidP="00C058EC">
      <w:pPr>
        <w:numPr>
          <w:ilvl w:val="0"/>
          <w:numId w:val="6"/>
        </w:numPr>
        <w:spacing w:after="0" w:line="240" w:lineRule="auto"/>
        <w:rPr>
          <w:rFonts w:cs="Arial"/>
          <w:b/>
          <w:lang w:eastAsia="en-CA"/>
        </w:rPr>
      </w:pPr>
      <w:r w:rsidRPr="00C058EC">
        <w:rPr>
          <w:rFonts w:cs="Arial"/>
          <w:b/>
          <w:lang w:eastAsia="en-CA"/>
        </w:rPr>
        <w:t xml:space="preserve">Changes in economic impacts (GDP, Employment and household Income) </w:t>
      </w:r>
    </w:p>
    <w:p w:rsidR="00C058EC" w:rsidRPr="00C058EC" w:rsidRDefault="00C058EC" w:rsidP="009E2BCE">
      <w:pPr>
        <w:spacing w:after="0" w:line="240" w:lineRule="auto"/>
        <w:ind w:left="562"/>
        <w:rPr>
          <w:rFonts w:cs="Arial"/>
          <w:lang w:eastAsia="en-CA"/>
        </w:rPr>
      </w:pPr>
      <w:r>
        <w:rPr>
          <w:rFonts w:cs="Arial"/>
          <w:lang w:eastAsia="en-CA"/>
        </w:rPr>
        <w:t>H</w:t>
      </w:r>
      <w:r w:rsidR="0050251B" w:rsidRPr="00C058EC">
        <w:rPr>
          <w:rFonts w:cs="Arial"/>
          <w:lang w:eastAsia="en-CA"/>
        </w:rPr>
        <w:t>arvesting and processing</w:t>
      </w:r>
      <w:r>
        <w:rPr>
          <w:rFonts w:cs="Arial"/>
          <w:lang w:eastAsia="en-CA"/>
        </w:rPr>
        <w:t xml:space="preserve"> </w:t>
      </w:r>
      <w:r w:rsidR="009E2BCE">
        <w:rPr>
          <w:rFonts w:cs="Arial"/>
          <w:lang w:eastAsia="en-CA"/>
        </w:rPr>
        <w:t>between 2010-2019</w:t>
      </w:r>
      <w:r w:rsidR="0050251B" w:rsidRPr="00C058EC">
        <w:rPr>
          <w:rFonts w:cs="Arial"/>
          <w:lang w:eastAsia="en-CA"/>
        </w:rPr>
        <w:t xml:space="preserve"> </w:t>
      </w:r>
      <w:r w:rsidR="009E2BCE">
        <w:rPr>
          <w:rFonts w:cs="Arial"/>
          <w:lang w:eastAsia="en-CA"/>
        </w:rPr>
        <w:t>generated</w:t>
      </w:r>
      <w:r w:rsidR="00A35940" w:rsidRPr="00C058EC">
        <w:rPr>
          <w:rFonts w:cs="Arial"/>
          <w:lang w:eastAsia="en-CA"/>
        </w:rPr>
        <w:t xml:space="preserve"> </w:t>
      </w:r>
      <w:r w:rsidR="0050251B" w:rsidRPr="00C058EC">
        <w:rPr>
          <w:rFonts w:cs="Arial"/>
          <w:lang w:eastAsia="en-CA"/>
        </w:rPr>
        <w:t>3</w:t>
      </w:r>
      <w:r w:rsidR="00A35940" w:rsidRPr="00C058EC">
        <w:rPr>
          <w:rFonts w:cs="Arial"/>
          <w:lang w:eastAsia="en-CA"/>
        </w:rPr>
        <w:t>7</w:t>
      </w:r>
      <w:r w:rsidR="009E2BCE">
        <w:rPr>
          <w:rFonts w:cs="Arial"/>
          <w:lang w:eastAsia="en-CA"/>
        </w:rPr>
        <w:t xml:space="preserve">50 jobs, </w:t>
      </w:r>
      <w:r w:rsidRPr="00C058EC">
        <w:rPr>
          <w:rFonts w:cs="Arial"/>
          <w:lang w:eastAsia="en-CA"/>
        </w:rPr>
        <w:t>$2</w:t>
      </w:r>
      <w:r w:rsidR="00315AB6">
        <w:rPr>
          <w:rFonts w:cs="Arial"/>
          <w:lang w:eastAsia="en-CA"/>
        </w:rPr>
        <w:t>86</w:t>
      </w:r>
      <w:r w:rsidRPr="00C058EC">
        <w:rPr>
          <w:rFonts w:cs="Arial"/>
          <w:lang w:eastAsia="en-CA"/>
        </w:rPr>
        <w:t xml:space="preserve"> million </w:t>
      </w:r>
      <w:r>
        <w:rPr>
          <w:rFonts w:cs="Arial"/>
          <w:lang w:eastAsia="en-CA"/>
        </w:rPr>
        <w:t xml:space="preserve">in </w:t>
      </w:r>
      <w:r w:rsidR="0050251B" w:rsidRPr="00C058EC">
        <w:rPr>
          <w:rFonts w:cs="Arial"/>
          <w:lang w:eastAsia="en-CA"/>
        </w:rPr>
        <w:t>household income</w:t>
      </w:r>
      <w:r w:rsidR="00315AB6">
        <w:rPr>
          <w:rFonts w:cs="Arial"/>
          <w:lang w:eastAsia="en-CA"/>
        </w:rPr>
        <w:t xml:space="preserve"> (real terms)</w:t>
      </w:r>
      <w:r w:rsidR="0050251B" w:rsidRPr="00C058EC">
        <w:rPr>
          <w:rFonts w:cs="Arial"/>
          <w:lang w:eastAsia="en-CA"/>
        </w:rPr>
        <w:t>, and $3</w:t>
      </w:r>
      <w:r w:rsidR="00315AB6">
        <w:rPr>
          <w:rFonts w:cs="Arial"/>
          <w:lang w:eastAsia="en-CA"/>
        </w:rPr>
        <w:t>93</w:t>
      </w:r>
      <w:r>
        <w:rPr>
          <w:rFonts w:cs="Arial"/>
          <w:lang w:eastAsia="en-CA"/>
        </w:rPr>
        <w:t xml:space="preserve"> million </w:t>
      </w:r>
      <w:r w:rsidR="00A4225A">
        <w:rPr>
          <w:rFonts w:cs="Arial"/>
          <w:lang w:eastAsia="en-CA"/>
        </w:rPr>
        <w:t>in</w:t>
      </w:r>
      <w:r w:rsidR="00A4225A" w:rsidRPr="00C058EC">
        <w:rPr>
          <w:rFonts w:cs="Arial"/>
          <w:lang w:eastAsia="en-CA"/>
        </w:rPr>
        <w:t xml:space="preserve"> </w:t>
      </w:r>
      <w:r w:rsidR="00A4225A">
        <w:rPr>
          <w:rFonts w:cs="Arial"/>
          <w:lang w:eastAsia="en-CA"/>
        </w:rPr>
        <w:t>(</w:t>
      </w:r>
      <w:r w:rsidR="00A4225A" w:rsidRPr="00C058EC">
        <w:rPr>
          <w:rFonts w:cs="Arial"/>
          <w:lang w:eastAsia="en-CA"/>
        </w:rPr>
        <w:t>real</w:t>
      </w:r>
      <w:r w:rsidR="00A4225A">
        <w:rPr>
          <w:rFonts w:cs="Arial"/>
          <w:lang w:eastAsia="en-CA"/>
        </w:rPr>
        <w:t>)</w:t>
      </w:r>
      <w:r w:rsidR="00A4225A" w:rsidRPr="00C058EC">
        <w:rPr>
          <w:rFonts w:cs="Arial"/>
          <w:lang w:eastAsia="en-CA"/>
        </w:rPr>
        <w:t xml:space="preserve"> GDP </w:t>
      </w:r>
      <w:r>
        <w:rPr>
          <w:rFonts w:cs="Arial"/>
          <w:lang w:eastAsia="en-CA"/>
        </w:rPr>
        <w:t xml:space="preserve">(Fig </w:t>
      </w:r>
      <w:r w:rsidR="00E223EB">
        <w:rPr>
          <w:rFonts w:cs="Arial"/>
          <w:lang w:eastAsia="en-CA"/>
        </w:rPr>
        <w:t>6</w:t>
      </w:r>
      <w:r w:rsidR="009E2BCE">
        <w:rPr>
          <w:rFonts w:cs="Arial"/>
          <w:lang w:eastAsia="en-CA"/>
        </w:rPr>
        <w:t>.</w:t>
      </w:r>
      <w:r w:rsidRPr="00C058EC">
        <w:rPr>
          <w:rFonts w:cs="Arial"/>
          <w:lang w:eastAsia="en-CA"/>
        </w:rPr>
        <w:t>)</w:t>
      </w:r>
    </w:p>
    <w:p w:rsidR="0050251B" w:rsidRDefault="0050251B" w:rsidP="009E2BCE">
      <w:pPr>
        <w:spacing w:after="0" w:line="240" w:lineRule="auto"/>
        <w:ind w:left="562"/>
        <w:rPr>
          <w:rFonts w:cs="Arial"/>
          <w:b/>
          <w:lang w:eastAsia="en-CA"/>
        </w:rPr>
      </w:pPr>
      <w:r w:rsidRPr="00C058EC">
        <w:rPr>
          <w:rFonts w:cs="Arial"/>
          <w:b/>
          <w:lang w:eastAsia="en-CA"/>
        </w:rPr>
        <w:t>Fig.</w:t>
      </w:r>
      <w:r w:rsidR="002834C6">
        <w:rPr>
          <w:rFonts w:cs="Arial"/>
          <w:b/>
          <w:lang w:eastAsia="en-CA"/>
        </w:rPr>
        <w:t>6</w:t>
      </w:r>
      <w:r w:rsidRPr="00C058EC">
        <w:rPr>
          <w:rFonts w:cs="Arial"/>
          <w:b/>
          <w:lang w:eastAsia="en-CA"/>
        </w:rPr>
        <w:t xml:space="preserve"> Employment</w:t>
      </w:r>
      <w:r w:rsidR="00E223EB">
        <w:rPr>
          <w:rFonts w:cs="Arial"/>
          <w:b/>
          <w:lang w:eastAsia="en-CA"/>
        </w:rPr>
        <w:t>,</w:t>
      </w:r>
      <w:r w:rsidRPr="00C058EC">
        <w:rPr>
          <w:rFonts w:cs="Arial"/>
          <w:b/>
          <w:lang w:eastAsia="en-CA"/>
        </w:rPr>
        <w:t xml:space="preserve"> household Income</w:t>
      </w:r>
      <w:r w:rsidR="00E223EB">
        <w:rPr>
          <w:rFonts w:cs="Arial"/>
          <w:b/>
          <w:lang w:eastAsia="en-CA"/>
        </w:rPr>
        <w:t>,</w:t>
      </w:r>
      <w:r w:rsidR="00451411" w:rsidRPr="00451411">
        <w:rPr>
          <w:rFonts w:cs="Arial"/>
          <w:b/>
          <w:lang w:eastAsia="en-CA"/>
        </w:rPr>
        <w:t xml:space="preserve"> </w:t>
      </w:r>
      <w:r w:rsidR="00451411" w:rsidRPr="00C058EC">
        <w:rPr>
          <w:rFonts w:cs="Arial"/>
          <w:b/>
          <w:lang w:eastAsia="en-CA"/>
        </w:rPr>
        <w:t>and</w:t>
      </w:r>
      <w:r w:rsidR="00451411">
        <w:rPr>
          <w:rFonts w:cs="Arial"/>
          <w:b/>
          <w:lang w:eastAsia="en-CA"/>
        </w:rPr>
        <w:t xml:space="preserve"> GDP </w:t>
      </w:r>
      <w:r w:rsidR="009E2BCE">
        <w:rPr>
          <w:rFonts w:cs="Arial"/>
          <w:b/>
          <w:lang w:eastAsia="en-CA"/>
        </w:rPr>
        <w:t>(</w:t>
      </w:r>
      <w:r w:rsidR="00E223EB">
        <w:rPr>
          <w:rFonts w:cs="Arial"/>
          <w:b/>
          <w:lang w:eastAsia="en-CA"/>
        </w:rPr>
        <w:t xml:space="preserve">both </w:t>
      </w:r>
      <w:r w:rsidR="009E2BCE">
        <w:rPr>
          <w:rFonts w:cs="Arial"/>
          <w:b/>
          <w:lang w:eastAsia="en-CA"/>
        </w:rPr>
        <w:t>in real terms)</w:t>
      </w:r>
    </w:p>
    <w:p w:rsidR="002834C6" w:rsidRDefault="002834C6" w:rsidP="009E2BCE">
      <w:pPr>
        <w:spacing w:after="0" w:line="240" w:lineRule="auto"/>
        <w:ind w:left="562"/>
        <w:rPr>
          <w:rFonts w:cs="Arial"/>
          <w:lang w:eastAsia="en-CA"/>
        </w:rPr>
      </w:pPr>
      <w:r>
        <w:rPr>
          <w:rFonts w:cs="Arial"/>
          <w:noProof/>
          <w:lang w:val="en-US"/>
        </w:rPr>
        <w:drawing>
          <wp:inline distT="0" distB="0" distL="0" distR="0">
            <wp:extent cx="3629532" cy="343900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1B" w:rsidRDefault="002834C6" w:rsidP="009E2BCE">
      <w:pPr>
        <w:spacing w:after="0" w:line="240" w:lineRule="auto"/>
        <w:ind w:left="562"/>
        <w:rPr>
          <w:rFonts w:cs="Arial"/>
          <w:lang w:eastAsia="en-CA"/>
        </w:rPr>
      </w:pPr>
      <w:r>
        <w:rPr>
          <w:rFonts w:cs="Arial"/>
          <w:lang w:eastAsia="en-CA"/>
        </w:rPr>
        <w:t xml:space="preserve"> </w:t>
      </w:r>
      <w:r w:rsidR="009E2BCE">
        <w:rPr>
          <w:rFonts w:cs="Arial"/>
          <w:lang w:eastAsia="en-CA"/>
        </w:rPr>
        <w:t>(Source: excel worksheet attached)</w:t>
      </w:r>
    </w:p>
    <w:p w:rsidR="009E2BCE" w:rsidRPr="00C058EC" w:rsidRDefault="009E2BCE" w:rsidP="009E2BCE">
      <w:pPr>
        <w:spacing w:after="0" w:line="240" w:lineRule="auto"/>
        <w:ind w:left="562"/>
        <w:rPr>
          <w:rFonts w:cs="Arial"/>
          <w:lang w:eastAsia="en-CA"/>
        </w:rPr>
      </w:pPr>
    </w:p>
    <w:p w:rsidR="0050251B" w:rsidRPr="00C058EC" w:rsidRDefault="0050251B" w:rsidP="00C058EC">
      <w:pPr>
        <w:numPr>
          <w:ilvl w:val="0"/>
          <w:numId w:val="6"/>
        </w:numPr>
        <w:spacing w:after="0" w:line="240" w:lineRule="auto"/>
        <w:rPr>
          <w:rFonts w:cs="Arial"/>
          <w:b/>
          <w:lang w:eastAsia="en-CA"/>
        </w:rPr>
      </w:pPr>
      <w:r w:rsidRPr="00C058EC">
        <w:rPr>
          <w:rFonts w:cs="Arial"/>
          <w:b/>
          <w:lang w:eastAsia="en-CA"/>
        </w:rPr>
        <w:t>Area</w:t>
      </w:r>
      <w:r w:rsidR="00A4225A">
        <w:rPr>
          <w:rFonts w:cs="Arial"/>
          <w:b/>
          <w:lang w:eastAsia="en-CA"/>
        </w:rPr>
        <w:t>s in which</w:t>
      </w:r>
      <w:r w:rsidRPr="00C058EC">
        <w:rPr>
          <w:rFonts w:cs="Arial"/>
          <w:b/>
          <w:lang w:eastAsia="en-CA"/>
        </w:rPr>
        <w:t xml:space="preserve"> restrictions </w:t>
      </w:r>
      <w:r w:rsidR="00A4225A">
        <w:rPr>
          <w:rFonts w:cs="Arial"/>
          <w:b/>
          <w:lang w:eastAsia="en-CA"/>
        </w:rPr>
        <w:t>could be eased (</w:t>
      </w:r>
      <w:r w:rsidRPr="00C058EC">
        <w:rPr>
          <w:rFonts w:cs="Arial"/>
          <w:b/>
          <w:lang w:eastAsia="en-CA"/>
        </w:rPr>
        <w:t>and rationale</w:t>
      </w:r>
      <w:r w:rsidR="00A4225A">
        <w:rPr>
          <w:rFonts w:cs="Arial"/>
          <w:b/>
          <w:lang w:eastAsia="en-CA"/>
        </w:rPr>
        <w:t>):</w:t>
      </w:r>
      <w:r w:rsidRPr="00C058EC">
        <w:rPr>
          <w:rFonts w:cs="Arial"/>
          <w:b/>
          <w:bCs/>
          <w:color w:val="212121"/>
        </w:rPr>
        <w:t xml:space="preserve"> </w:t>
      </w:r>
    </w:p>
    <w:p w:rsidR="00451411" w:rsidRDefault="0050251B" w:rsidP="00C058EC">
      <w:pPr>
        <w:spacing w:after="0" w:line="240" w:lineRule="auto"/>
        <w:ind w:left="202"/>
        <w:rPr>
          <w:rFonts w:cs="Arial"/>
          <w:bCs/>
          <w:color w:val="212121"/>
        </w:rPr>
      </w:pPr>
      <w:r w:rsidRPr="00C058EC">
        <w:rPr>
          <w:rFonts w:cs="Arial"/>
          <w:bCs/>
          <w:color w:val="212121"/>
        </w:rPr>
        <w:t xml:space="preserve">Consider </w:t>
      </w:r>
      <w:r w:rsidR="00C058EC" w:rsidRPr="00C058EC">
        <w:rPr>
          <w:rFonts w:cs="Arial"/>
          <w:bCs/>
          <w:color w:val="212121"/>
        </w:rPr>
        <w:t xml:space="preserve">easing restrictions in </w:t>
      </w:r>
      <w:r w:rsidRPr="00C058EC">
        <w:rPr>
          <w:rFonts w:cs="Arial"/>
          <w:bCs/>
          <w:color w:val="212121"/>
        </w:rPr>
        <w:t>areas D,</w:t>
      </w:r>
      <w:r w:rsidR="00315AB6">
        <w:rPr>
          <w:rFonts w:cs="Arial"/>
          <w:bCs/>
          <w:color w:val="212121"/>
        </w:rPr>
        <w:t xml:space="preserve"> </w:t>
      </w:r>
      <w:r w:rsidRPr="00C058EC">
        <w:rPr>
          <w:rFonts w:cs="Arial"/>
          <w:bCs/>
          <w:color w:val="212121"/>
        </w:rPr>
        <w:t>B and C</w:t>
      </w:r>
      <w:r w:rsidR="00451411">
        <w:rPr>
          <w:rFonts w:cs="Arial"/>
          <w:bCs/>
          <w:color w:val="212121"/>
        </w:rPr>
        <w:t xml:space="preserve"> based on the following:</w:t>
      </w:r>
    </w:p>
    <w:p w:rsidR="00451411" w:rsidRPr="00451411" w:rsidRDefault="00451411" w:rsidP="00451411">
      <w:pPr>
        <w:pStyle w:val="ListParagraph"/>
        <w:numPr>
          <w:ilvl w:val="0"/>
          <w:numId w:val="15"/>
        </w:numPr>
        <w:spacing w:after="0" w:line="240" w:lineRule="auto"/>
        <w:rPr>
          <w:rFonts w:cs="Arial"/>
          <w:bCs/>
          <w:color w:val="212121"/>
        </w:rPr>
      </w:pPr>
      <w:r w:rsidRPr="00451411">
        <w:rPr>
          <w:rFonts w:cs="Arial"/>
          <w:bCs/>
          <w:color w:val="212121"/>
        </w:rPr>
        <w:t>Areas D,</w:t>
      </w:r>
      <w:r w:rsidR="00315AB6">
        <w:rPr>
          <w:rFonts w:cs="Arial"/>
          <w:bCs/>
          <w:color w:val="212121"/>
        </w:rPr>
        <w:t xml:space="preserve"> </w:t>
      </w:r>
      <w:r w:rsidRPr="00451411">
        <w:rPr>
          <w:rFonts w:cs="Arial"/>
          <w:bCs/>
          <w:color w:val="212121"/>
        </w:rPr>
        <w:t>B,</w:t>
      </w:r>
      <w:r w:rsidR="00497821">
        <w:rPr>
          <w:rFonts w:cs="Arial"/>
          <w:bCs/>
          <w:color w:val="212121"/>
        </w:rPr>
        <w:t xml:space="preserve"> and </w:t>
      </w:r>
      <w:r w:rsidRPr="00451411">
        <w:rPr>
          <w:rFonts w:cs="Arial"/>
          <w:bCs/>
          <w:color w:val="212121"/>
        </w:rPr>
        <w:t>C</w:t>
      </w:r>
      <w:r w:rsidR="0050251B" w:rsidRPr="00451411">
        <w:rPr>
          <w:rFonts w:cs="Arial"/>
          <w:bCs/>
          <w:color w:val="212121"/>
        </w:rPr>
        <w:t xml:space="preserve"> show the greatest declines in vessel participation </w:t>
      </w:r>
      <w:r w:rsidRPr="00451411">
        <w:rPr>
          <w:rFonts w:cs="Arial"/>
          <w:bCs/>
          <w:color w:val="212121"/>
        </w:rPr>
        <w:t xml:space="preserve">numbers </w:t>
      </w:r>
      <w:r w:rsidR="0050251B" w:rsidRPr="00451411">
        <w:rPr>
          <w:rFonts w:cs="Arial"/>
          <w:bCs/>
          <w:color w:val="212121"/>
        </w:rPr>
        <w:t>(Fig. 6).</w:t>
      </w:r>
      <w:r w:rsidRPr="00451411">
        <w:rPr>
          <w:rFonts w:cs="Arial"/>
          <w:bCs/>
          <w:color w:val="212121"/>
        </w:rPr>
        <w:t xml:space="preserve"> </w:t>
      </w:r>
    </w:p>
    <w:p w:rsidR="00451411" w:rsidRDefault="00451411" w:rsidP="00451411">
      <w:pPr>
        <w:pStyle w:val="ListParagraph"/>
        <w:numPr>
          <w:ilvl w:val="0"/>
          <w:numId w:val="15"/>
        </w:numPr>
        <w:spacing w:after="0" w:line="240" w:lineRule="auto"/>
        <w:rPr>
          <w:rFonts w:cs="Arial"/>
          <w:bCs/>
          <w:color w:val="212121"/>
        </w:rPr>
      </w:pPr>
      <w:r w:rsidRPr="00451411">
        <w:rPr>
          <w:rFonts w:cs="Arial"/>
          <w:bCs/>
          <w:color w:val="212121"/>
        </w:rPr>
        <w:t>As mentioned in a section ‘a’ above</w:t>
      </w:r>
      <w:r w:rsidR="00C058EC" w:rsidRPr="00451411">
        <w:rPr>
          <w:rFonts w:cs="Arial"/>
          <w:bCs/>
          <w:color w:val="212121"/>
        </w:rPr>
        <w:t xml:space="preserve">, </w:t>
      </w:r>
      <w:r w:rsidRPr="00451411">
        <w:rPr>
          <w:rFonts w:cs="Arial"/>
          <w:bCs/>
          <w:color w:val="212121"/>
        </w:rPr>
        <w:t xml:space="preserve">areas </w:t>
      </w:r>
      <w:r w:rsidR="00C058EC" w:rsidRPr="00451411">
        <w:rPr>
          <w:rFonts w:cs="Arial"/>
          <w:bCs/>
          <w:color w:val="212121"/>
        </w:rPr>
        <w:t>D and B showed the steepest declines in landed values</w:t>
      </w:r>
      <w:r>
        <w:rPr>
          <w:rFonts w:cs="Arial"/>
          <w:bCs/>
          <w:color w:val="212121"/>
        </w:rPr>
        <w:t xml:space="preserve"> (Fig. 4</w:t>
      </w:r>
      <w:r w:rsidR="00315AB6">
        <w:rPr>
          <w:rFonts w:cs="Arial"/>
          <w:bCs/>
          <w:color w:val="212121"/>
        </w:rPr>
        <w:t xml:space="preserve"> above</w:t>
      </w:r>
      <w:r>
        <w:rPr>
          <w:rFonts w:cs="Arial"/>
          <w:bCs/>
          <w:color w:val="212121"/>
        </w:rPr>
        <w:t>)</w:t>
      </w:r>
      <w:r w:rsidR="00A4225A" w:rsidRPr="00451411">
        <w:rPr>
          <w:rFonts w:cs="Arial"/>
          <w:bCs/>
          <w:color w:val="212121"/>
        </w:rPr>
        <w:t>.</w:t>
      </w:r>
      <w:r w:rsidR="00C058EC" w:rsidRPr="00451411">
        <w:rPr>
          <w:rFonts w:cs="Arial"/>
          <w:bCs/>
          <w:color w:val="212121"/>
        </w:rPr>
        <w:t xml:space="preserve"> </w:t>
      </w:r>
    </w:p>
    <w:p w:rsidR="0050251B" w:rsidRPr="00451411" w:rsidRDefault="0050251B" w:rsidP="00451411">
      <w:pPr>
        <w:pStyle w:val="ListParagraph"/>
        <w:numPr>
          <w:ilvl w:val="0"/>
          <w:numId w:val="15"/>
        </w:numPr>
        <w:spacing w:after="0" w:line="240" w:lineRule="auto"/>
        <w:rPr>
          <w:rFonts w:cs="Arial"/>
          <w:bCs/>
          <w:color w:val="212121"/>
        </w:rPr>
      </w:pPr>
      <w:r w:rsidRPr="00451411">
        <w:rPr>
          <w:rFonts w:cs="Arial"/>
          <w:bCs/>
          <w:color w:val="212121"/>
        </w:rPr>
        <w:t xml:space="preserve">Easing restrictions in these areas will result in the most beneficial outcome in terms of sustaining long-term fisheries stocks. </w:t>
      </w:r>
    </w:p>
    <w:p w:rsidR="00022A67" w:rsidRPr="00C058EC" w:rsidRDefault="00022A67" w:rsidP="00C058EC">
      <w:pPr>
        <w:spacing w:after="0" w:line="240" w:lineRule="auto"/>
        <w:ind w:left="202"/>
        <w:rPr>
          <w:rFonts w:cs="Arial"/>
          <w:lang w:eastAsia="en-CA"/>
        </w:rPr>
      </w:pPr>
    </w:p>
    <w:p w:rsidR="0050251B" w:rsidRPr="009E2BCE" w:rsidRDefault="00022A67" w:rsidP="009E2BCE">
      <w:pPr>
        <w:spacing w:after="0" w:line="240" w:lineRule="auto"/>
        <w:rPr>
          <w:rFonts w:cs="Arial"/>
          <w:lang w:eastAsia="en-CA"/>
        </w:rPr>
      </w:pPr>
      <w:r>
        <w:rPr>
          <w:rFonts w:cs="Arial"/>
          <w:b/>
          <w:lang w:eastAsia="en-CA"/>
        </w:rPr>
        <w:t xml:space="preserve">    </w:t>
      </w:r>
      <w:r w:rsidR="0050251B" w:rsidRPr="00C058EC">
        <w:rPr>
          <w:rFonts w:cs="Arial"/>
          <w:b/>
          <w:lang w:eastAsia="en-CA"/>
        </w:rPr>
        <w:t xml:space="preserve">Fig 6. Vessel participation </w:t>
      </w:r>
      <w:r w:rsidR="00451411">
        <w:rPr>
          <w:rFonts w:cs="Arial"/>
          <w:b/>
          <w:lang w:eastAsia="en-CA"/>
        </w:rPr>
        <w:t>numbers by area</w:t>
      </w:r>
    </w:p>
    <w:p w:rsidR="00022A67" w:rsidRPr="00C058EC" w:rsidRDefault="00022A67" w:rsidP="00022A67">
      <w:pPr>
        <w:spacing w:after="0" w:line="240" w:lineRule="auto"/>
        <w:ind w:left="360"/>
        <w:rPr>
          <w:rFonts w:cs="Arial"/>
          <w:b/>
          <w:i/>
        </w:rPr>
      </w:pPr>
      <w:r w:rsidRPr="00C058EC">
        <w:rPr>
          <w:rFonts w:cs="Arial"/>
          <w:noProof/>
          <w:lang w:val="en-US"/>
        </w:rPr>
        <w:drawing>
          <wp:inline distT="0" distB="0" distL="0" distR="0" wp14:anchorId="3D67785B" wp14:editId="45810D68">
            <wp:extent cx="4666891" cy="3095965"/>
            <wp:effectExtent l="0" t="0" r="635" b="9525"/>
            <wp:docPr id="1" name="Picture 1" descr="D32F37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32F375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153" cy="31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A67" w:rsidRPr="009E2BCE" w:rsidRDefault="009E2BCE">
      <w:r w:rsidRPr="009E2BCE">
        <w:tab/>
        <w:t xml:space="preserve">   (Source: python notebook attached)</w:t>
      </w:r>
    </w:p>
    <w:p w:rsidR="009E2BCE" w:rsidRDefault="009E2BCE">
      <w:pPr>
        <w:rPr>
          <w:b/>
        </w:rPr>
      </w:pPr>
      <w:r>
        <w:rPr>
          <w:b/>
        </w:rPr>
        <w:br w:type="page"/>
      </w:r>
    </w:p>
    <w:p w:rsidR="0050251B" w:rsidRDefault="00C058EC" w:rsidP="00C058EC">
      <w:pPr>
        <w:spacing w:after="0" w:line="240" w:lineRule="auto"/>
        <w:rPr>
          <w:b/>
        </w:rPr>
      </w:pPr>
      <w:r w:rsidRPr="00C058EC">
        <w:rPr>
          <w:b/>
        </w:rPr>
        <w:lastRenderedPageBreak/>
        <w:t xml:space="preserve">QUESTION. </w:t>
      </w:r>
      <w:r w:rsidR="0050251B" w:rsidRPr="00C058EC">
        <w:rPr>
          <w:b/>
        </w:rPr>
        <w:t>3</w:t>
      </w:r>
    </w:p>
    <w:p w:rsidR="00022A67" w:rsidRPr="00C058EC" w:rsidRDefault="00022A67" w:rsidP="00C058EC">
      <w:pPr>
        <w:spacing w:after="0" w:line="240" w:lineRule="auto"/>
        <w:rPr>
          <w:b/>
        </w:rPr>
      </w:pPr>
    </w:p>
    <w:p w:rsidR="0050251B" w:rsidRPr="00C058EC" w:rsidRDefault="00E223EB" w:rsidP="00C058EC">
      <w:pPr>
        <w:numPr>
          <w:ilvl w:val="0"/>
          <w:numId w:val="7"/>
        </w:numPr>
        <w:spacing w:after="0" w:line="240" w:lineRule="auto"/>
        <w:rPr>
          <w:rFonts w:cs="Arial"/>
          <w:b/>
        </w:rPr>
      </w:pPr>
      <w:r>
        <w:rPr>
          <w:rFonts w:cs="Arial"/>
          <w:b/>
          <w:color w:val="333333"/>
          <w:shd w:val="clear" w:color="auto" w:fill="FFFFFF"/>
        </w:rPr>
        <w:t xml:space="preserve">Describing </w:t>
      </w:r>
      <w:r w:rsidR="0050251B" w:rsidRPr="00C058EC">
        <w:rPr>
          <w:rFonts w:cs="Arial"/>
          <w:b/>
          <w:color w:val="333333"/>
          <w:shd w:val="clear" w:color="auto" w:fill="FFFFFF"/>
        </w:rPr>
        <w:t>Indivi</w:t>
      </w:r>
      <w:r w:rsidR="00022A67">
        <w:rPr>
          <w:rFonts w:cs="Arial"/>
          <w:b/>
          <w:color w:val="333333"/>
          <w:shd w:val="clear" w:color="auto" w:fill="FFFFFF"/>
        </w:rPr>
        <w:t>dual transferable quotas (ITQs</w:t>
      </w:r>
      <w:r>
        <w:rPr>
          <w:rFonts w:cs="Arial"/>
          <w:b/>
          <w:color w:val="333333"/>
          <w:shd w:val="clear" w:color="auto" w:fill="FFFFFF"/>
        </w:rPr>
        <w:t>)</w:t>
      </w:r>
      <w:r w:rsidR="00022A67">
        <w:rPr>
          <w:rFonts w:cs="Arial"/>
          <w:b/>
          <w:color w:val="333333"/>
          <w:shd w:val="clear" w:color="auto" w:fill="FFFFFF"/>
        </w:rPr>
        <w:t>:</w:t>
      </w:r>
    </w:p>
    <w:p w:rsidR="00597746" w:rsidRDefault="009E2BCE" w:rsidP="00C058EC">
      <w:pPr>
        <w:spacing w:after="0" w:line="240" w:lineRule="auto"/>
        <w:ind w:left="810"/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 xml:space="preserve">ITQs </w:t>
      </w:r>
      <w:r w:rsidR="004C7EFF">
        <w:rPr>
          <w:rFonts w:cs="Arial"/>
          <w:color w:val="333333"/>
          <w:shd w:val="clear" w:color="auto" w:fill="FFFFFF"/>
        </w:rPr>
        <w:t>are</w:t>
      </w:r>
      <w:r w:rsidR="0050251B" w:rsidRPr="00C058EC">
        <w:rPr>
          <w:rFonts w:cs="Arial"/>
          <w:color w:val="333333"/>
          <w:shd w:val="clear" w:color="auto" w:fill="FFFFFF"/>
        </w:rPr>
        <w:t xml:space="preserve"> policy instrument</w:t>
      </w:r>
      <w:r>
        <w:rPr>
          <w:rFonts w:cs="Arial"/>
          <w:color w:val="333333"/>
          <w:shd w:val="clear" w:color="auto" w:fill="FFFFFF"/>
        </w:rPr>
        <w:t>s</w:t>
      </w:r>
      <w:r w:rsidR="0050251B" w:rsidRPr="00C058EC">
        <w:rPr>
          <w:rFonts w:cs="Arial"/>
          <w:color w:val="333333"/>
          <w:shd w:val="clear" w:color="auto" w:fill="FFFFFF"/>
        </w:rPr>
        <w:t xml:space="preserve"> that enable</w:t>
      </w:r>
      <w:r w:rsidR="004C7EFF">
        <w:rPr>
          <w:rFonts w:cs="Arial"/>
          <w:color w:val="333333"/>
          <w:shd w:val="clear" w:color="auto" w:fill="FFFFFF"/>
        </w:rPr>
        <w:t xml:space="preserve"> </w:t>
      </w:r>
      <w:r w:rsidR="0050251B" w:rsidRPr="00C058EC">
        <w:rPr>
          <w:rFonts w:cs="Arial"/>
          <w:color w:val="333333"/>
          <w:shd w:val="clear" w:color="auto" w:fill="FFFFFF"/>
        </w:rPr>
        <w:t xml:space="preserve">fishing </w:t>
      </w:r>
      <w:r w:rsidR="004C7EFF">
        <w:rPr>
          <w:rFonts w:cs="Arial"/>
          <w:color w:val="333333"/>
          <w:shd w:val="clear" w:color="auto" w:fill="FFFFFF"/>
        </w:rPr>
        <w:t>capacity to be</w:t>
      </w:r>
      <w:r w:rsidR="0050251B" w:rsidRPr="00C058EC">
        <w:rPr>
          <w:rFonts w:cs="Arial"/>
          <w:color w:val="333333"/>
          <w:shd w:val="clear" w:color="auto" w:fill="FFFFFF"/>
        </w:rPr>
        <w:t xml:space="preserve"> </w:t>
      </w:r>
      <w:r w:rsidR="004C7EFF" w:rsidRPr="00C058EC">
        <w:rPr>
          <w:rFonts w:cs="Arial"/>
          <w:color w:val="333333"/>
          <w:shd w:val="clear" w:color="auto" w:fill="FFFFFF"/>
        </w:rPr>
        <w:t xml:space="preserve">transferable </w:t>
      </w:r>
      <w:r w:rsidR="004C7EFF">
        <w:rPr>
          <w:rFonts w:cs="Arial"/>
          <w:color w:val="333333"/>
          <w:shd w:val="clear" w:color="auto" w:fill="FFFFFF"/>
        </w:rPr>
        <w:t>from fishers that have high costs (poor profitability) to those with lower costs (greater profitability)</w:t>
      </w:r>
      <w:r w:rsidR="004C7EFF">
        <w:rPr>
          <w:rStyle w:val="FootnoteReference"/>
          <w:rFonts w:cs="Arial"/>
          <w:color w:val="333333"/>
          <w:shd w:val="clear" w:color="auto" w:fill="FFFFFF"/>
        </w:rPr>
        <w:footnoteReference w:id="1"/>
      </w:r>
      <w:r w:rsidR="0050251B" w:rsidRPr="00C058EC">
        <w:rPr>
          <w:rFonts w:cs="Arial"/>
          <w:color w:val="333333"/>
          <w:shd w:val="clear" w:color="auto" w:fill="FFFFFF"/>
        </w:rPr>
        <w:t xml:space="preserve">. </w:t>
      </w:r>
      <w:r w:rsidR="00597746">
        <w:rPr>
          <w:rFonts w:cs="Arial"/>
          <w:color w:val="333333"/>
          <w:shd w:val="clear" w:color="auto" w:fill="FFFFFF"/>
        </w:rPr>
        <w:t>The following help</w:t>
      </w:r>
      <w:r w:rsidR="00F6358D">
        <w:rPr>
          <w:rFonts w:cs="Arial"/>
          <w:color w:val="333333"/>
          <w:shd w:val="clear" w:color="auto" w:fill="FFFFFF"/>
        </w:rPr>
        <w:t>s</w:t>
      </w:r>
      <w:r w:rsidR="00597746">
        <w:rPr>
          <w:rFonts w:cs="Arial"/>
          <w:color w:val="333333"/>
          <w:shd w:val="clear" w:color="auto" w:fill="FFFFFF"/>
        </w:rPr>
        <w:t xml:space="preserve"> distinguish ITQs from open access fisheries systems or other regulated systems:</w:t>
      </w:r>
    </w:p>
    <w:p w:rsidR="0002636A" w:rsidRDefault="004C7EFF" w:rsidP="005420AA">
      <w:pPr>
        <w:pStyle w:val="ListParagraph"/>
        <w:numPr>
          <w:ilvl w:val="0"/>
          <w:numId w:val="16"/>
        </w:numPr>
        <w:spacing w:after="0" w:line="240" w:lineRule="auto"/>
        <w:rPr>
          <w:rFonts w:cs="Arial"/>
          <w:color w:val="333333"/>
          <w:shd w:val="clear" w:color="auto" w:fill="FFFFFF"/>
        </w:rPr>
      </w:pPr>
      <w:r w:rsidRPr="0002636A">
        <w:rPr>
          <w:rFonts w:cs="Arial"/>
          <w:color w:val="333333"/>
          <w:shd w:val="clear" w:color="auto" w:fill="FFFFFF"/>
        </w:rPr>
        <w:t xml:space="preserve">ITQs divide the total annual catch into small individual transferable portions, enabling fishers to sell/lease their ITQ </w:t>
      </w:r>
      <w:r w:rsidR="00DC505C">
        <w:rPr>
          <w:rFonts w:cs="Arial"/>
          <w:color w:val="333333"/>
          <w:shd w:val="clear" w:color="auto" w:fill="FFFFFF"/>
        </w:rPr>
        <w:t>assets</w:t>
      </w:r>
      <w:r w:rsidRPr="0002636A">
        <w:rPr>
          <w:rFonts w:cs="Arial"/>
          <w:color w:val="333333"/>
          <w:shd w:val="clear" w:color="auto" w:fill="FFFFFF"/>
        </w:rPr>
        <w:t xml:space="preserve"> or buy. </w:t>
      </w:r>
    </w:p>
    <w:p w:rsidR="00597746" w:rsidRPr="00597746" w:rsidRDefault="0050251B" w:rsidP="00597746">
      <w:pPr>
        <w:pStyle w:val="ListParagraph"/>
        <w:numPr>
          <w:ilvl w:val="0"/>
          <w:numId w:val="16"/>
        </w:numPr>
        <w:spacing w:after="0" w:line="240" w:lineRule="auto"/>
        <w:rPr>
          <w:rFonts w:cs="Arial"/>
        </w:rPr>
      </w:pPr>
      <w:r w:rsidRPr="00597746">
        <w:rPr>
          <w:rFonts w:cs="Arial"/>
          <w:color w:val="333333"/>
          <w:shd w:val="clear" w:color="auto" w:fill="FFFFFF"/>
        </w:rPr>
        <w:t>The ITQ</w:t>
      </w:r>
      <w:r w:rsidR="00A4225A" w:rsidRPr="00597746">
        <w:rPr>
          <w:rFonts w:cs="Arial"/>
          <w:color w:val="333333"/>
          <w:shd w:val="clear" w:color="auto" w:fill="FFFFFF"/>
        </w:rPr>
        <w:t>s</w:t>
      </w:r>
      <w:r w:rsidRPr="00597746">
        <w:rPr>
          <w:rFonts w:cs="Arial"/>
          <w:color w:val="333333"/>
          <w:shd w:val="clear" w:color="auto" w:fill="FFFFFF"/>
        </w:rPr>
        <w:t xml:space="preserve"> create the incentive</w:t>
      </w:r>
      <w:r w:rsidR="009E2BCE" w:rsidRPr="00597746">
        <w:rPr>
          <w:rFonts w:cs="Arial"/>
          <w:color w:val="333333"/>
          <w:shd w:val="clear" w:color="auto" w:fill="FFFFFF"/>
        </w:rPr>
        <w:t>s for the fishers to adjust harvest</w:t>
      </w:r>
      <w:r w:rsidRPr="00597746">
        <w:rPr>
          <w:rFonts w:cs="Arial"/>
          <w:color w:val="333333"/>
          <w:shd w:val="clear" w:color="auto" w:fill="FFFFFF"/>
        </w:rPr>
        <w:t xml:space="preserve"> to changing biological and economic environments. </w:t>
      </w:r>
    </w:p>
    <w:p w:rsidR="00022A67" w:rsidRDefault="00597746" w:rsidP="00597746">
      <w:pPr>
        <w:pStyle w:val="ListParagraph"/>
        <w:numPr>
          <w:ilvl w:val="0"/>
          <w:numId w:val="16"/>
        </w:numPr>
        <w:spacing w:after="0" w:line="240" w:lineRule="auto"/>
        <w:rPr>
          <w:rFonts w:cs="Arial"/>
        </w:rPr>
      </w:pPr>
      <w:r w:rsidRPr="00597746">
        <w:rPr>
          <w:rFonts w:cs="Arial"/>
        </w:rPr>
        <w:t xml:space="preserve">The </w:t>
      </w:r>
      <w:r w:rsidR="00764CF5">
        <w:rPr>
          <w:rFonts w:cs="Arial"/>
        </w:rPr>
        <w:t>ITQ</w:t>
      </w:r>
      <w:r w:rsidR="00DC505C">
        <w:rPr>
          <w:rFonts w:cs="Arial"/>
        </w:rPr>
        <w:t xml:space="preserve"> assets</w:t>
      </w:r>
      <w:r w:rsidR="00764CF5" w:rsidRPr="00597746">
        <w:rPr>
          <w:rFonts w:cs="Arial"/>
        </w:rPr>
        <w:t xml:space="preserve"> </w:t>
      </w:r>
      <w:r w:rsidR="00764CF5">
        <w:rPr>
          <w:rFonts w:cs="Arial"/>
        </w:rPr>
        <w:t xml:space="preserve">are </w:t>
      </w:r>
      <w:r w:rsidRPr="00597746">
        <w:rPr>
          <w:rFonts w:cs="Arial"/>
        </w:rPr>
        <w:t>initial</w:t>
      </w:r>
      <w:r w:rsidR="00764CF5">
        <w:rPr>
          <w:rFonts w:cs="Arial"/>
        </w:rPr>
        <w:t>ly</w:t>
      </w:r>
      <w:r w:rsidRPr="00597746">
        <w:rPr>
          <w:rFonts w:cs="Arial"/>
        </w:rPr>
        <w:t xml:space="preserve"> a</w:t>
      </w:r>
      <w:r>
        <w:rPr>
          <w:rFonts w:cs="Arial"/>
        </w:rPr>
        <w:t>llocat</w:t>
      </w:r>
      <w:r w:rsidR="00764CF5">
        <w:rPr>
          <w:rFonts w:cs="Arial"/>
        </w:rPr>
        <w:t xml:space="preserve">ed </w:t>
      </w:r>
      <w:r>
        <w:rPr>
          <w:rFonts w:cs="Arial"/>
        </w:rPr>
        <w:t xml:space="preserve">by </w:t>
      </w:r>
      <w:r w:rsidR="00764CF5">
        <w:rPr>
          <w:rFonts w:cs="Arial"/>
        </w:rPr>
        <w:t xml:space="preserve">the </w:t>
      </w:r>
      <w:r>
        <w:rPr>
          <w:rFonts w:cs="Arial"/>
        </w:rPr>
        <w:t>administrator of fisheries management</w:t>
      </w:r>
      <w:r w:rsidR="00497821">
        <w:rPr>
          <w:rFonts w:cs="Arial"/>
        </w:rPr>
        <w:t>.</w:t>
      </w:r>
      <w:r>
        <w:rPr>
          <w:rFonts w:cs="Arial"/>
        </w:rPr>
        <w:t xml:space="preserve"> </w:t>
      </w:r>
      <w:r w:rsidR="00497821">
        <w:rPr>
          <w:rFonts w:cs="Arial"/>
        </w:rPr>
        <w:t xml:space="preserve">Allocation </w:t>
      </w:r>
      <w:r>
        <w:rPr>
          <w:rFonts w:cs="Arial"/>
        </w:rPr>
        <w:t xml:space="preserve">is usually based on historic catch. </w:t>
      </w:r>
      <w:r w:rsidR="00DC505C">
        <w:rPr>
          <w:rFonts w:cs="Arial"/>
        </w:rPr>
        <w:t>(</w:t>
      </w:r>
      <w:r>
        <w:rPr>
          <w:rFonts w:cs="Arial"/>
        </w:rPr>
        <w:t xml:space="preserve">ITQs have </w:t>
      </w:r>
      <w:r w:rsidR="00764CF5">
        <w:rPr>
          <w:rFonts w:cs="Arial"/>
        </w:rPr>
        <w:t>a history</w:t>
      </w:r>
      <w:r>
        <w:rPr>
          <w:rFonts w:cs="Arial"/>
        </w:rPr>
        <w:t xml:space="preserve"> in New Zealand, US, Canada, Iceland, Italy, the Netherlands and South Africa</w:t>
      </w:r>
      <w:r w:rsidR="0002636A">
        <w:rPr>
          <w:rStyle w:val="FootnoteReference"/>
          <w:rFonts w:cs="Arial"/>
        </w:rPr>
        <w:footnoteReference w:id="2"/>
      </w:r>
      <w:r w:rsidR="00DC505C">
        <w:rPr>
          <w:rFonts w:cs="Arial"/>
        </w:rPr>
        <w:t>)</w:t>
      </w:r>
    </w:p>
    <w:p w:rsidR="00F6358D" w:rsidRPr="00597746" w:rsidRDefault="00F6358D" w:rsidP="00F6358D">
      <w:pPr>
        <w:pStyle w:val="ListParagraph"/>
        <w:spacing w:after="0" w:line="240" w:lineRule="auto"/>
        <w:ind w:left="1530"/>
        <w:rPr>
          <w:rFonts w:cs="Arial"/>
        </w:rPr>
      </w:pPr>
    </w:p>
    <w:p w:rsidR="0050251B" w:rsidRPr="00C058EC" w:rsidRDefault="0050251B" w:rsidP="00C058EC">
      <w:pPr>
        <w:numPr>
          <w:ilvl w:val="0"/>
          <w:numId w:val="7"/>
        </w:numPr>
        <w:spacing w:after="0" w:line="240" w:lineRule="auto"/>
        <w:rPr>
          <w:rFonts w:cs="Arial"/>
          <w:b/>
        </w:rPr>
      </w:pPr>
      <w:r w:rsidRPr="00C058EC">
        <w:rPr>
          <w:rFonts w:cs="Arial"/>
          <w:b/>
          <w:lang w:eastAsia="en-CA"/>
        </w:rPr>
        <w:t>ITQs improve economic efficiency</w:t>
      </w:r>
      <w:r w:rsidR="009E2BCE">
        <w:rPr>
          <w:rFonts w:cs="Arial"/>
          <w:b/>
          <w:lang w:eastAsia="en-CA"/>
        </w:rPr>
        <w:t xml:space="preserve"> due to the following</w:t>
      </w:r>
      <w:r w:rsidR="00022A67">
        <w:rPr>
          <w:rFonts w:cs="Arial"/>
          <w:b/>
          <w:lang w:eastAsia="en-CA"/>
        </w:rPr>
        <w:t>:</w:t>
      </w:r>
    </w:p>
    <w:p w:rsidR="0002636A" w:rsidRPr="0002636A" w:rsidRDefault="0002636A" w:rsidP="0002636A">
      <w:pPr>
        <w:spacing w:after="0" w:line="240" w:lineRule="auto"/>
        <w:ind w:left="720"/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>Evidence from places like New Zealand have shown that ITQs have enabled structural change among fishers</w:t>
      </w:r>
      <w:r>
        <w:rPr>
          <w:rStyle w:val="FootnoteReference"/>
          <w:rFonts w:cs="Arial"/>
          <w:color w:val="333333"/>
          <w:shd w:val="clear" w:color="auto" w:fill="FFFFFF"/>
        </w:rPr>
        <w:footnoteReference w:id="3"/>
      </w:r>
      <w:r>
        <w:rPr>
          <w:rFonts w:cs="Arial"/>
          <w:color w:val="333333"/>
          <w:shd w:val="clear" w:color="auto" w:fill="FFFFFF"/>
        </w:rPr>
        <w:t>. The changes include minimization of costs, maximization of price received for their catch. The</w:t>
      </w:r>
      <w:r w:rsidR="00DF21E6">
        <w:rPr>
          <w:rFonts w:cs="Arial"/>
          <w:color w:val="333333"/>
          <w:shd w:val="clear" w:color="auto" w:fill="FFFFFF"/>
        </w:rPr>
        <w:t xml:space="preserve"> changes</w:t>
      </w:r>
      <w:r>
        <w:rPr>
          <w:rFonts w:cs="Arial"/>
          <w:color w:val="333333"/>
          <w:shd w:val="clear" w:color="auto" w:fill="FFFFFF"/>
        </w:rPr>
        <w:t xml:space="preserve"> helped reduce competition </w:t>
      </w:r>
      <w:r w:rsidR="00764CF5">
        <w:rPr>
          <w:rFonts w:cs="Arial"/>
          <w:color w:val="333333"/>
          <w:shd w:val="clear" w:color="auto" w:fill="FFFFFF"/>
        </w:rPr>
        <w:t xml:space="preserve">between fishers </w:t>
      </w:r>
      <w:r>
        <w:rPr>
          <w:rFonts w:cs="Arial"/>
          <w:color w:val="333333"/>
          <w:shd w:val="clear" w:color="auto" w:fill="FFFFFF"/>
        </w:rPr>
        <w:t>and improved conservation</w:t>
      </w:r>
      <w:r w:rsidR="00764CF5">
        <w:rPr>
          <w:rFonts w:cs="Arial"/>
          <w:color w:val="333333"/>
          <w:shd w:val="clear" w:color="auto" w:fill="FFFFFF"/>
        </w:rPr>
        <w:t xml:space="preserve">. </w:t>
      </w:r>
      <w:r w:rsidR="00DC505C">
        <w:rPr>
          <w:rFonts w:cs="Arial"/>
          <w:color w:val="333333"/>
          <w:shd w:val="clear" w:color="auto" w:fill="FFFFFF"/>
        </w:rPr>
        <w:t>ITQs</w:t>
      </w:r>
      <w:r>
        <w:rPr>
          <w:rFonts w:cs="Arial"/>
          <w:color w:val="333333"/>
          <w:shd w:val="clear" w:color="auto" w:fill="FFFFFF"/>
        </w:rPr>
        <w:t xml:space="preserve"> reduced risk for fishers by improving the ability to plan. The following helps descri</w:t>
      </w:r>
      <w:r w:rsidR="00DC505C">
        <w:rPr>
          <w:rFonts w:cs="Arial"/>
          <w:color w:val="333333"/>
          <w:shd w:val="clear" w:color="auto" w:fill="FFFFFF"/>
        </w:rPr>
        <w:t>be specific gains in efficiency:</w:t>
      </w:r>
    </w:p>
    <w:p w:rsidR="00381E3F" w:rsidRDefault="006777FD" w:rsidP="00A4225A">
      <w:pPr>
        <w:pStyle w:val="ListParagraph"/>
        <w:numPr>
          <w:ilvl w:val="0"/>
          <w:numId w:val="14"/>
        </w:numPr>
        <w:spacing w:after="0" w:line="240" w:lineRule="auto"/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>F</w:t>
      </w:r>
      <w:r w:rsidR="0050251B" w:rsidRPr="00A4225A">
        <w:rPr>
          <w:rFonts w:cs="Arial"/>
          <w:color w:val="333333"/>
          <w:shd w:val="clear" w:color="auto" w:fill="FFFFFF"/>
        </w:rPr>
        <w:t>ishers benefit as ITQ</w:t>
      </w:r>
      <w:r w:rsidR="00A4225A" w:rsidRPr="00A4225A">
        <w:rPr>
          <w:rFonts w:cs="Arial"/>
          <w:color w:val="333333"/>
          <w:shd w:val="clear" w:color="auto" w:fill="FFFFFF"/>
        </w:rPr>
        <w:t>s have</w:t>
      </w:r>
      <w:r w:rsidR="0050251B" w:rsidRPr="00A4225A">
        <w:rPr>
          <w:rFonts w:cs="Arial"/>
          <w:color w:val="333333"/>
          <w:shd w:val="clear" w:color="auto" w:fill="FFFFFF"/>
        </w:rPr>
        <w:t xml:space="preserve"> led to viability of the industry.  </w:t>
      </w:r>
      <w:r>
        <w:rPr>
          <w:rFonts w:cs="Arial"/>
          <w:color w:val="333333"/>
          <w:shd w:val="clear" w:color="auto" w:fill="FFFFFF"/>
        </w:rPr>
        <w:t>This</w:t>
      </w:r>
      <w:r w:rsidR="0050251B" w:rsidRPr="00A4225A">
        <w:rPr>
          <w:rFonts w:cs="Arial"/>
          <w:color w:val="333333"/>
          <w:shd w:val="clear" w:color="auto" w:fill="FFFFFF"/>
        </w:rPr>
        <w:t xml:space="preserve"> </w:t>
      </w:r>
      <w:r w:rsidR="00E223EB">
        <w:rPr>
          <w:rFonts w:cs="Arial"/>
          <w:color w:val="333333"/>
          <w:shd w:val="clear" w:color="auto" w:fill="FFFFFF"/>
        </w:rPr>
        <w:t xml:space="preserve">fact </w:t>
      </w:r>
      <w:r w:rsidR="0050251B" w:rsidRPr="00A4225A">
        <w:rPr>
          <w:rFonts w:cs="Arial"/>
          <w:color w:val="333333"/>
          <w:shd w:val="clear" w:color="auto" w:fill="FFFFFF"/>
        </w:rPr>
        <w:t xml:space="preserve">is </w:t>
      </w:r>
      <w:r>
        <w:rPr>
          <w:rFonts w:cs="Arial"/>
          <w:color w:val="333333"/>
          <w:shd w:val="clear" w:color="auto" w:fill="FFFFFF"/>
        </w:rPr>
        <w:t>underscored</w:t>
      </w:r>
      <w:r w:rsidR="0050251B" w:rsidRPr="00A4225A">
        <w:rPr>
          <w:rFonts w:cs="Arial"/>
          <w:color w:val="333333"/>
          <w:shd w:val="clear" w:color="auto" w:fill="FFFFFF"/>
        </w:rPr>
        <w:t xml:space="preserve"> </w:t>
      </w:r>
      <w:r w:rsidR="00A4225A" w:rsidRPr="00A4225A">
        <w:rPr>
          <w:rFonts w:cs="Arial"/>
          <w:color w:val="333333"/>
          <w:shd w:val="clear" w:color="auto" w:fill="FFFFFF"/>
        </w:rPr>
        <w:t xml:space="preserve">by </w:t>
      </w:r>
      <w:r>
        <w:rPr>
          <w:rFonts w:cs="Arial"/>
          <w:color w:val="333333"/>
          <w:shd w:val="clear" w:color="auto" w:fill="FFFFFF"/>
        </w:rPr>
        <w:t>the most efficient</w:t>
      </w:r>
      <w:r w:rsidR="0050251B" w:rsidRPr="00A4225A">
        <w:rPr>
          <w:rFonts w:cs="Arial"/>
          <w:color w:val="333333"/>
          <w:shd w:val="clear" w:color="auto" w:fill="FFFFFF"/>
        </w:rPr>
        <w:t xml:space="preserve"> fishers </w:t>
      </w:r>
      <w:r w:rsidR="00F6358D">
        <w:rPr>
          <w:rFonts w:cs="Arial"/>
          <w:color w:val="333333"/>
          <w:shd w:val="clear" w:color="auto" w:fill="FFFFFF"/>
        </w:rPr>
        <w:t>(e.g., low</w:t>
      </w:r>
      <w:r>
        <w:rPr>
          <w:rFonts w:cs="Arial"/>
          <w:color w:val="333333"/>
          <w:shd w:val="clear" w:color="auto" w:fill="FFFFFF"/>
        </w:rPr>
        <w:t xml:space="preserve"> cost</w:t>
      </w:r>
      <w:r w:rsidR="00F6358D">
        <w:rPr>
          <w:rFonts w:cs="Arial"/>
          <w:color w:val="333333"/>
          <w:shd w:val="clear" w:color="auto" w:fill="FFFFFF"/>
        </w:rPr>
        <w:t xml:space="preserve"> or more profitable</w:t>
      </w:r>
      <w:r>
        <w:rPr>
          <w:rFonts w:cs="Arial"/>
          <w:color w:val="333333"/>
          <w:shd w:val="clear" w:color="auto" w:fill="FFFFFF"/>
        </w:rPr>
        <w:t>)</w:t>
      </w:r>
      <w:r w:rsidR="0050251B" w:rsidRPr="00A4225A">
        <w:rPr>
          <w:rFonts w:cs="Arial"/>
          <w:color w:val="333333"/>
          <w:shd w:val="clear" w:color="auto" w:fill="FFFFFF"/>
        </w:rPr>
        <w:t xml:space="preserve"> </w:t>
      </w:r>
      <w:r>
        <w:rPr>
          <w:rFonts w:cs="Arial"/>
          <w:color w:val="333333"/>
          <w:shd w:val="clear" w:color="auto" w:fill="FFFFFF"/>
        </w:rPr>
        <w:t>being able to compensate less efficient fishers (</w:t>
      </w:r>
      <w:proofErr w:type="spellStart"/>
      <w:r>
        <w:rPr>
          <w:rFonts w:cs="Arial"/>
          <w:color w:val="333333"/>
          <w:shd w:val="clear" w:color="auto" w:fill="FFFFFF"/>
        </w:rPr>
        <w:t>eg</w:t>
      </w:r>
      <w:proofErr w:type="spellEnd"/>
      <w:r>
        <w:rPr>
          <w:rFonts w:cs="Arial"/>
          <w:color w:val="333333"/>
          <w:shd w:val="clear" w:color="auto" w:fill="FFFFFF"/>
        </w:rPr>
        <w:t xml:space="preserve">. </w:t>
      </w:r>
      <w:r w:rsidR="00381E3F">
        <w:rPr>
          <w:rFonts w:cs="Arial"/>
          <w:color w:val="333333"/>
          <w:shd w:val="clear" w:color="auto" w:fill="FFFFFF"/>
        </w:rPr>
        <w:t>h</w:t>
      </w:r>
      <w:r>
        <w:rPr>
          <w:rFonts w:cs="Arial"/>
          <w:color w:val="333333"/>
          <w:shd w:val="clear" w:color="auto" w:fill="FFFFFF"/>
        </w:rPr>
        <w:t>igh cost</w:t>
      </w:r>
      <w:r w:rsidR="00F6358D">
        <w:rPr>
          <w:rFonts w:cs="Arial"/>
          <w:color w:val="333333"/>
          <w:shd w:val="clear" w:color="auto" w:fill="FFFFFF"/>
        </w:rPr>
        <w:t xml:space="preserve"> or less profitable</w:t>
      </w:r>
      <w:r>
        <w:rPr>
          <w:rFonts w:cs="Arial"/>
          <w:color w:val="333333"/>
          <w:shd w:val="clear" w:color="auto" w:fill="FFFFFF"/>
        </w:rPr>
        <w:t xml:space="preserve">) in return for </w:t>
      </w:r>
      <w:r w:rsidR="00DC505C">
        <w:rPr>
          <w:rFonts w:cs="Arial"/>
          <w:color w:val="333333"/>
          <w:shd w:val="clear" w:color="auto" w:fill="FFFFFF"/>
        </w:rPr>
        <w:t>ITQ assets</w:t>
      </w:r>
      <w:r w:rsidR="00F6358D">
        <w:rPr>
          <w:rFonts w:cs="Arial"/>
          <w:color w:val="333333"/>
          <w:shd w:val="clear" w:color="auto" w:fill="FFFFFF"/>
        </w:rPr>
        <w:t>.</w:t>
      </w:r>
      <w:r>
        <w:rPr>
          <w:rFonts w:cs="Arial"/>
          <w:color w:val="333333"/>
          <w:shd w:val="clear" w:color="auto" w:fill="FFFFFF"/>
        </w:rPr>
        <w:t xml:space="preserve"> </w:t>
      </w:r>
      <w:r w:rsidR="0050251B" w:rsidRPr="00A4225A">
        <w:rPr>
          <w:rFonts w:cs="Arial"/>
          <w:color w:val="333333"/>
          <w:shd w:val="clear" w:color="auto" w:fill="FFFFFF"/>
        </w:rPr>
        <w:t xml:space="preserve"> </w:t>
      </w:r>
    </w:p>
    <w:p w:rsidR="0050251B" w:rsidRPr="00A4225A" w:rsidRDefault="00764CF5" w:rsidP="00A4225A">
      <w:pPr>
        <w:pStyle w:val="ListParagraph"/>
        <w:numPr>
          <w:ilvl w:val="0"/>
          <w:numId w:val="14"/>
        </w:numPr>
        <w:spacing w:after="0" w:line="240" w:lineRule="auto"/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>C</w:t>
      </w:r>
      <w:r w:rsidR="006777FD">
        <w:rPr>
          <w:rFonts w:cs="Arial"/>
          <w:color w:val="333333"/>
          <w:shd w:val="clear" w:color="auto" w:fill="FFFFFF"/>
        </w:rPr>
        <w:t>onservation goal</w:t>
      </w:r>
      <w:r w:rsidR="00381E3F">
        <w:rPr>
          <w:rFonts w:cs="Arial"/>
          <w:color w:val="333333"/>
          <w:shd w:val="clear" w:color="auto" w:fill="FFFFFF"/>
        </w:rPr>
        <w:t>s</w:t>
      </w:r>
      <w:r w:rsidR="006777FD">
        <w:rPr>
          <w:rFonts w:cs="Arial"/>
          <w:color w:val="333333"/>
          <w:shd w:val="clear" w:color="auto" w:fill="FFFFFF"/>
        </w:rPr>
        <w:t xml:space="preserve"> are </w:t>
      </w:r>
      <w:r w:rsidR="00DF21E6">
        <w:rPr>
          <w:rFonts w:cs="Arial"/>
          <w:color w:val="333333"/>
          <w:shd w:val="clear" w:color="auto" w:fill="FFFFFF"/>
        </w:rPr>
        <w:t>m</w:t>
      </w:r>
      <w:r w:rsidR="00F6358D">
        <w:rPr>
          <w:rFonts w:cs="Arial"/>
          <w:color w:val="333333"/>
          <w:shd w:val="clear" w:color="auto" w:fill="FFFFFF"/>
        </w:rPr>
        <w:t>et</w:t>
      </w:r>
      <w:r w:rsidR="00DF21E6">
        <w:rPr>
          <w:rFonts w:cs="Arial"/>
          <w:color w:val="333333"/>
          <w:shd w:val="clear" w:color="auto" w:fill="FFFFFF"/>
        </w:rPr>
        <w:t xml:space="preserve">  as</w:t>
      </w:r>
      <w:r w:rsidR="00F6358D">
        <w:rPr>
          <w:rFonts w:cs="Arial"/>
          <w:color w:val="333333"/>
          <w:shd w:val="clear" w:color="auto" w:fill="FFFFFF"/>
        </w:rPr>
        <w:t xml:space="preserve"> the f</w:t>
      </w:r>
      <w:r w:rsidR="00DF21E6">
        <w:rPr>
          <w:rFonts w:cs="Arial"/>
          <w:color w:val="333333"/>
          <w:shd w:val="clear" w:color="auto" w:fill="FFFFFF"/>
        </w:rPr>
        <w:t>isheries administrator set</w:t>
      </w:r>
      <w:r w:rsidR="00F6358D">
        <w:rPr>
          <w:rFonts w:cs="Arial"/>
          <w:color w:val="333333"/>
          <w:shd w:val="clear" w:color="auto" w:fill="FFFFFF"/>
        </w:rPr>
        <w:t xml:space="preserve"> the total allowable catch</w:t>
      </w:r>
      <w:r w:rsidR="00DF21E6">
        <w:rPr>
          <w:rFonts w:cs="Arial"/>
          <w:color w:val="333333"/>
          <w:shd w:val="clear" w:color="auto" w:fill="FFFFFF"/>
        </w:rPr>
        <w:t xml:space="preserve"> at the outset</w:t>
      </w:r>
      <w:r w:rsidR="006777FD">
        <w:rPr>
          <w:rFonts w:cs="Arial"/>
          <w:color w:val="333333"/>
          <w:shd w:val="clear" w:color="auto" w:fill="FFFFFF"/>
        </w:rPr>
        <w:t>.</w:t>
      </w:r>
      <w:r w:rsidR="00381E3F">
        <w:rPr>
          <w:rStyle w:val="FootnoteReference"/>
          <w:rFonts w:cs="Arial"/>
          <w:color w:val="333333"/>
          <w:shd w:val="clear" w:color="auto" w:fill="FFFFFF"/>
        </w:rPr>
        <w:footnoteReference w:id="4"/>
      </w:r>
      <w:r w:rsidR="00F6358D">
        <w:rPr>
          <w:rFonts w:cs="Arial"/>
          <w:color w:val="333333"/>
          <w:shd w:val="clear" w:color="auto" w:fill="FFFFFF"/>
        </w:rPr>
        <w:t xml:space="preserve"> </w:t>
      </w:r>
    </w:p>
    <w:p w:rsidR="0050251B" w:rsidRPr="00A4225A" w:rsidRDefault="00764CF5" w:rsidP="00A4225A">
      <w:pPr>
        <w:pStyle w:val="ListParagraph"/>
        <w:numPr>
          <w:ilvl w:val="0"/>
          <w:numId w:val="14"/>
        </w:numPr>
        <w:spacing w:after="0" w:line="240" w:lineRule="auto"/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>Fisheries</w:t>
      </w:r>
      <w:r w:rsidR="00597746">
        <w:rPr>
          <w:rFonts w:cs="Arial"/>
          <w:color w:val="333333"/>
          <w:shd w:val="clear" w:color="auto" w:fill="FFFFFF"/>
        </w:rPr>
        <w:t xml:space="preserve"> </w:t>
      </w:r>
      <w:proofErr w:type="gramStart"/>
      <w:r w:rsidR="00F6358D">
        <w:rPr>
          <w:rFonts w:cs="Arial"/>
          <w:color w:val="333333"/>
          <w:shd w:val="clear" w:color="auto" w:fill="FFFFFF"/>
        </w:rPr>
        <w:t>a</w:t>
      </w:r>
      <w:r w:rsidR="0050251B" w:rsidRPr="00A4225A">
        <w:rPr>
          <w:rFonts w:cs="Arial"/>
          <w:color w:val="333333"/>
          <w:shd w:val="clear" w:color="auto" w:fill="FFFFFF"/>
        </w:rPr>
        <w:t>dministrator</w:t>
      </w:r>
      <w:r>
        <w:rPr>
          <w:rFonts w:cs="Arial"/>
          <w:color w:val="333333"/>
          <w:shd w:val="clear" w:color="auto" w:fill="FFFFFF"/>
        </w:rPr>
        <w:t>s</w:t>
      </w:r>
      <w:proofErr w:type="gramEnd"/>
      <w:r w:rsidR="0050251B" w:rsidRPr="00A4225A">
        <w:rPr>
          <w:rFonts w:cs="Arial"/>
          <w:color w:val="333333"/>
          <w:shd w:val="clear" w:color="auto" w:fill="FFFFFF"/>
        </w:rPr>
        <w:t xml:space="preserve"> benefits as the ITQ</w:t>
      </w:r>
      <w:r w:rsidR="00A4225A">
        <w:rPr>
          <w:rFonts w:cs="Arial"/>
          <w:color w:val="333333"/>
          <w:shd w:val="clear" w:color="auto" w:fill="FFFFFF"/>
        </w:rPr>
        <w:t>s</w:t>
      </w:r>
      <w:r w:rsidR="0050251B" w:rsidRPr="00A4225A">
        <w:rPr>
          <w:rFonts w:cs="Arial"/>
          <w:color w:val="333333"/>
          <w:shd w:val="clear" w:color="auto" w:fill="FFFFFF"/>
        </w:rPr>
        <w:t xml:space="preserve"> reduce the compliance and enforcement costs. </w:t>
      </w:r>
      <w:r w:rsidR="00C227E3">
        <w:rPr>
          <w:rFonts w:cs="Arial"/>
          <w:color w:val="333333"/>
          <w:shd w:val="clear" w:color="auto" w:fill="FFFFFF"/>
        </w:rPr>
        <w:t>T</w:t>
      </w:r>
      <w:r w:rsidR="0050251B" w:rsidRPr="00A4225A">
        <w:rPr>
          <w:rFonts w:cs="Arial"/>
          <w:color w:val="333333"/>
          <w:shd w:val="clear" w:color="auto" w:fill="FFFFFF"/>
        </w:rPr>
        <w:t xml:space="preserve">he quota administrator </w:t>
      </w:r>
      <w:r w:rsidR="00A4225A">
        <w:rPr>
          <w:rFonts w:cs="Arial"/>
          <w:color w:val="333333"/>
          <w:shd w:val="clear" w:color="auto" w:fill="FFFFFF"/>
        </w:rPr>
        <w:t>does not have to</w:t>
      </w:r>
      <w:r w:rsidR="0050251B" w:rsidRPr="00A4225A">
        <w:rPr>
          <w:rFonts w:cs="Arial"/>
          <w:color w:val="333333"/>
          <w:shd w:val="clear" w:color="auto" w:fill="FFFFFF"/>
        </w:rPr>
        <w:t xml:space="preserve"> actively manage or enforce the reduction of harvest</w:t>
      </w:r>
      <w:r w:rsidR="00381E3F">
        <w:rPr>
          <w:rStyle w:val="FootnoteReference"/>
          <w:rFonts w:cs="Arial"/>
          <w:color w:val="333333"/>
          <w:shd w:val="clear" w:color="auto" w:fill="FFFFFF"/>
        </w:rPr>
        <w:footnoteReference w:id="5"/>
      </w:r>
      <w:r w:rsidR="00C058EC" w:rsidRPr="00A4225A">
        <w:rPr>
          <w:rFonts w:cs="Arial"/>
          <w:color w:val="333333"/>
          <w:shd w:val="clear" w:color="auto" w:fill="FFFFFF"/>
        </w:rPr>
        <w:t xml:space="preserve">. </w:t>
      </w:r>
    </w:p>
    <w:p w:rsidR="00022A67" w:rsidRPr="00C058EC" w:rsidRDefault="00022A67" w:rsidP="00C058EC">
      <w:pPr>
        <w:spacing w:after="0" w:line="240" w:lineRule="auto"/>
        <w:ind w:left="720"/>
        <w:rPr>
          <w:rFonts w:cs="Arial"/>
          <w:color w:val="333333"/>
          <w:shd w:val="clear" w:color="auto" w:fill="FFFFFF"/>
        </w:rPr>
      </w:pPr>
    </w:p>
    <w:p w:rsidR="0050251B" w:rsidRDefault="0050251B" w:rsidP="00C058EC">
      <w:pPr>
        <w:numPr>
          <w:ilvl w:val="0"/>
          <w:numId w:val="7"/>
        </w:numPr>
        <w:spacing w:after="0" w:line="240" w:lineRule="auto"/>
        <w:rPr>
          <w:rFonts w:cs="Arial"/>
          <w:b/>
        </w:rPr>
      </w:pPr>
      <w:r w:rsidRPr="00C058EC">
        <w:rPr>
          <w:rFonts w:cs="Arial"/>
          <w:b/>
          <w:lang w:eastAsia="en-CA"/>
        </w:rPr>
        <w:t>The potential factors that could contribute to the rise in asset valuation.</w:t>
      </w:r>
    </w:p>
    <w:p w:rsidR="00F6358D" w:rsidRPr="00DF21E6" w:rsidRDefault="00764CF5" w:rsidP="00F6358D">
      <w:pPr>
        <w:spacing w:after="0" w:line="240" w:lineRule="auto"/>
        <w:ind w:left="810"/>
        <w:rPr>
          <w:rFonts w:cs="Arial"/>
        </w:rPr>
      </w:pPr>
      <w:r>
        <w:rPr>
          <w:rFonts w:cs="Arial"/>
          <w:lang w:eastAsia="en-CA"/>
        </w:rPr>
        <w:t>The price paid for ITQ</w:t>
      </w:r>
      <w:r w:rsidR="00F6358D" w:rsidRPr="00DF21E6">
        <w:rPr>
          <w:rFonts w:cs="Arial"/>
          <w:lang w:eastAsia="en-CA"/>
        </w:rPr>
        <w:t xml:space="preserve"> </w:t>
      </w:r>
      <w:r>
        <w:rPr>
          <w:rFonts w:cs="Arial"/>
          <w:lang w:eastAsia="en-CA"/>
        </w:rPr>
        <w:t>asset</w:t>
      </w:r>
      <w:r w:rsidRPr="00DF21E6">
        <w:rPr>
          <w:rFonts w:cs="Arial"/>
          <w:lang w:eastAsia="en-CA"/>
        </w:rPr>
        <w:t xml:space="preserve"> </w:t>
      </w:r>
      <w:r w:rsidR="00F6358D" w:rsidRPr="00DF21E6">
        <w:rPr>
          <w:rFonts w:cs="Arial"/>
          <w:lang w:eastAsia="en-CA"/>
        </w:rPr>
        <w:t>are an important signal to fishers and administrators of ITQ:</w:t>
      </w:r>
    </w:p>
    <w:p w:rsidR="0050251B" w:rsidRPr="00C058EC" w:rsidRDefault="0050251B" w:rsidP="00DF21E6">
      <w:pPr>
        <w:numPr>
          <w:ilvl w:val="0"/>
          <w:numId w:val="17"/>
        </w:numPr>
        <w:spacing w:after="0" w:line="240" w:lineRule="auto"/>
        <w:rPr>
          <w:rFonts w:cs="Arial"/>
        </w:rPr>
      </w:pPr>
      <w:r w:rsidRPr="00C058EC">
        <w:rPr>
          <w:rFonts w:cs="Arial"/>
          <w:lang w:eastAsia="en-CA"/>
        </w:rPr>
        <w:t xml:space="preserve">Economic shifts, such as increase in demand for fish could lead to greater demand for </w:t>
      </w:r>
      <w:r w:rsidR="00DC505C">
        <w:rPr>
          <w:rFonts w:cs="Arial"/>
          <w:lang w:eastAsia="en-CA"/>
        </w:rPr>
        <w:t xml:space="preserve">ITQ assets </w:t>
      </w:r>
      <w:r w:rsidRPr="00C058EC">
        <w:rPr>
          <w:rFonts w:cs="Arial"/>
          <w:lang w:eastAsia="en-CA"/>
        </w:rPr>
        <w:t xml:space="preserve">and </w:t>
      </w:r>
      <w:r w:rsidR="00DC505C">
        <w:rPr>
          <w:rFonts w:cs="Arial"/>
          <w:lang w:eastAsia="en-CA"/>
        </w:rPr>
        <w:t>drive asset prices higher;</w:t>
      </w:r>
    </w:p>
    <w:p w:rsidR="0050251B" w:rsidRDefault="0050251B" w:rsidP="00DF21E6">
      <w:pPr>
        <w:numPr>
          <w:ilvl w:val="0"/>
          <w:numId w:val="17"/>
        </w:numPr>
        <w:spacing w:after="0" w:line="240" w:lineRule="auto"/>
        <w:rPr>
          <w:rFonts w:cs="Arial"/>
        </w:rPr>
      </w:pPr>
      <w:r w:rsidRPr="00C058EC">
        <w:rPr>
          <w:rFonts w:cs="Arial"/>
          <w:lang w:eastAsia="en-CA"/>
        </w:rPr>
        <w:t>Biological shifts</w:t>
      </w:r>
      <w:r w:rsidR="00C227E3">
        <w:rPr>
          <w:rFonts w:cs="Arial"/>
          <w:lang w:eastAsia="en-CA"/>
        </w:rPr>
        <w:t>,</w:t>
      </w:r>
      <w:r w:rsidRPr="00C058EC">
        <w:rPr>
          <w:rFonts w:cs="Arial"/>
          <w:lang w:eastAsia="en-CA"/>
        </w:rPr>
        <w:t xml:space="preserve"> </w:t>
      </w:r>
      <w:r w:rsidR="00DF21E6">
        <w:rPr>
          <w:rFonts w:cs="Arial"/>
          <w:lang w:eastAsia="en-CA"/>
        </w:rPr>
        <w:t>which</w:t>
      </w:r>
      <w:r w:rsidRPr="00C058EC">
        <w:rPr>
          <w:rFonts w:cs="Arial"/>
          <w:lang w:eastAsia="en-CA"/>
        </w:rPr>
        <w:t xml:space="preserve"> lead to restricted supply of fishing stock could lead to reduced supply, and </w:t>
      </w:r>
      <w:r w:rsidR="00764CF5">
        <w:rPr>
          <w:rFonts w:cs="Arial"/>
          <w:lang w:eastAsia="en-CA"/>
        </w:rPr>
        <w:t xml:space="preserve">drive </w:t>
      </w:r>
      <w:r w:rsidR="00DC505C">
        <w:rPr>
          <w:rFonts w:cs="Arial"/>
          <w:lang w:eastAsia="en-CA"/>
        </w:rPr>
        <w:t xml:space="preserve">asset </w:t>
      </w:r>
      <w:r w:rsidRPr="00C058EC">
        <w:rPr>
          <w:rFonts w:cs="Arial"/>
          <w:lang w:eastAsia="en-CA"/>
        </w:rPr>
        <w:t xml:space="preserve">prices </w:t>
      </w:r>
      <w:r w:rsidR="00DC505C">
        <w:rPr>
          <w:rFonts w:cs="Arial"/>
          <w:lang w:eastAsia="en-CA"/>
        </w:rPr>
        <w:t>higher; and</w:t>
      </w:r>
    </w:p>
    <w:p w:rsidR="005B277A" w:rsidRPr="00C058EC" w:rsidRDefault="005B277A" w:rsidP="00DF21E6">
      <w:pPr>
        <w:numPr>
          <w:ilvl w:val="0"/>
          <w:numId w:val="17"/>
        </w:numPr>
        <w:spacing w:after="0" w:line="240" w:lineRule="auto"/>
        <w:rPr>
          <w:rFonts w:cs="Arial"/>
        </w:rPr>
      </w:pPr>
      <w:r>
        <w:rPr>
          <w:rFonts w:cs="Arial"/>
          <w:lang w:eastAsia="en-CA"/>
        </w:rPr>
        <w:t xml:space="preserve">If fishers </w:t>
      </w:r>
      <w:r w:rsidR="00DF21E6">
        <w:rPr>
          <w:rFonts w:cs="Arial"/>
          <w:lang w:eastAsia="en-CA"/>
        </w:rPr>
        <w:t>are confident about</w:t>
      </w:r>
      <w:r>
        <w:rPr>
          <w:rFonts w:cs="Arial"/>
          <w:lang w:eastAsia="en-CA"/>
        </w:rPr>
        <w:t xml:space="preserve"> higher profitability in the future they could </w:t>
      </w:r>
      <w:r w:rsidR="00DF21E6">
        <w:rPr>
          <w:rFonts w:cs="Arial"/>
          <w:lang w:eastAsia="en-CA"/>
        </w:rPr>
        <w:t xml:space="preserve">bid the ITQ </w:t>
      </w:r>
      <w:r w:rsidR="00764CF5">
        <w:rPr>
          <w:rFonts w:cs="Arial"/>
          <w:lang w:eastAsia="en-CA"/>
        </w:rPr>
        <w:t xml:space="preserve">asset </w:t>
      </w:r>
      <w:r w:rsidR="00DF21E6">
        <w:rPr>
          <w:rFonts w:cs="Arial"/>
          <w:lang w:eastAsia="en-CA"/>
        </w:rPr>
        <w:t>price upward</w:t>
      </w:r>
      <w:r w:rsidR="00DF21E6">
        <w:rPr>
          <w:rStyle w:val="FootnoteReference"/>
          <w:rFonts w:cs="Arial"/>
          <w:lang w:eastAsia="en-CA"/>
        </w:rPr>
        <w:footnoteReference w:id="6"/>
      </w:r>
      <w:r w:rsidR="00DF21E6">
        <w:rPr>
          <w:rFonts w:cs="Arial"/>
          <w:lang w:eastAsia="en-CA"/>
        </w:rPr>
        <w:t>.</w:t>
      </w:r>
      <w:r>
        <w:rPr>
          <w:rFonts w:cs="Arial"/>
          <w:lang w:eastAsia="en-CA"/>
        </w:rPr>
        <w:t xml:space="preserve"> </w:t>
      </w:r>
    </w:p>
    <w:p w:rsidR="00C058EC" w:rsidRPr="00C058EC" w:rsidRDefault="00C058EC" w:rsidP="00C058EC">
      <w:pPr>
        <w:spacing w:after="0" w:line="240" w:lineRule="auto"/>
        <w:rPr>
          <w:b/>
        </w:rPr>
      </w:pPr>
      <w:r w:rsidRPr="00C058EC">
        <w:rPr>
          <w:b/>
        </w:rPr>
        <w:br w:type="page"/>
      </w:r>
    </w:p>
    <w:p w:rsidR="00C058EC" w:rsidRDefault="0050251B" w:rsidP="00C058EC">
      <w:pPr>
        <w:spacing w:after="0" w:line="240" w:lineRule="auto"/>
        <w:rPr>
          <w:b/>
        </w:rPr>
      </w:pPr>
      <w:r w:rsidRPr="00C058EC">
        <w:rPr>
          <w:b/>
        </w:rPr>
        <w:lastRenderedPageBreak/>
        <w:t>Q</w:t>
      </w:r>
      <w:r w:rsidR="00C058EC" w:rsidRPr="00C058EC">
        <w:rPr>
          <w:b/>
        </w:rPr>
        <w:t xml:space="preserve">UESTION </w:t>
      </w:r>
      <w:r w:rsidRPr="00C058EC">
        <w:rPr>
          <w:b/>
        </w:rPr>
        <w:t>4</w:t>
      </w:r>
    </w:p>
    <w:p w:rsidR="00022A67" w:rsidRPr="00C058EC" w:rsidRDefault="00022A67" w:rsidP="00C058EC">
      <w:pPr>
        <w:spacing w:after="0" w:line="240" w:lineRule="auto"/>
        <w:rPr>
          <w:b/>
        </w:rPr>
      </w:pPr>
    </w:p>
    <w:p w:rsidR="00022A67" w:rsidRDefault="00E71CB1" w:rsidP="00C058EC">
      <w:pPr>
        <w:spacing w:after="0" w:line="240" w:lineRule="auto"/>
        <w:rPr>
          <w:rFonts w:cs="Arial"/>
          <w:b/>
        </w:rPr>
      </w:pPr>
      <w:r w:rsidRPr="00C058EC">
        <w:rPr>
          <w:rFonts w:cs="Arial"/>
          <w:b/>
        </w:rPr>
        <w:t>I</w:t>
      </w:r>
      <w:r w:rsidR="0050251B" w:rsidRPr="00C058EC">
        <w:rPr>
          <w:rFonts w:cs="Arial"/>
          <w:b/>
        </w:rPr>
        <w:t xml:space="preserve">ssues related to Aboriginal fisheries in </w:t>
      </w:r>
      <w:r w:rsidR="00274819">
        <w:rPr>
          <w:rFonts w:cs="Arial"/>
          <w:b/>
        </w:rPr>
        <w:t xml:space="preserve">the </w:t>
      </w:r>
      <w:r w:rsidR="0050251B" w:rsidRPr="00C058EC">
        <w:rPr>
          <w:rFonts w:cs="Arial"/>
          <w:b/>
        </w:rPr>
        <w:t>Pacific region</w:t>
      </w:r>
      <w:r w:rsidR="00022A67">
        <w:rPr>
          <w:rFonts w:cs="Arial"/>
          <w:b/>
        </w:rPr>
        <w:t>:</w:t>
      </w:r>
    </w:p>
    <w:p w:rsidR="005B1D45" w:rsidRDefault="005B1D45" w:rsidP="00C058EC">
      <w:pPr>
        <w:spacing w:after="0" w:line="240" w:lineRule="auto"/>
        <w:rPr>
          <w:rFonts w:cs="Arial"/>
          <w:b/>
        </w:rPr>
      </w:pPr>
    </w:p>
    <w:p w:rsidR="005B1D45" w:rsidRDefault="005B1D45" w:rsidP="00C058EC">
      <w:pPr>
        <w:spacing w:after="0" w:line="240" w:lineRule="auto"/>
        <w:rPr>
          <w:rFonts w:cs="Arial"/>
          <w:b/>
        </w:rPr>
      </w:pPr>
      <w:r>
        <w:rPr>
          <w:lang w:eastAsia="en-CA"/>
        </w:rPr>
        <w:t>Very broadly it is important to consider the context of</w:t>
      </w:r>
      <w:r w:rsidRPr="00C058EC">
        <w:rPr>
          <w:lang w:eastAsia="en-CA"/>
        </w:rPr>
        <w:t xml:space="preserve"> traditional </w:t>
      </w:r>
      <w:r w:rsidR="00764CF5">
        <w:rPr>
          <w:lang w:eastAsia="en-CA"/>
        </w:rPr>
        <w:t>Aboriginal</w:t>
      </w:r>
      <w:r>
        <w:rPr>
          <w:lang w:eastAsia="en-CA"/>
        </w:rPr>
        <w:t xml:space="preserve"> </w:t>
      </w:r>
      <w:r w:rsidRPr="00C058EC">
        <w:rPr>
          <w:lang w:eastAsia="en-CA"/>
        </w:rPr>
        <w:t xml:space="preserve">knowledge, </w:t>
      </w:r>
      <w:r>
        <w:rPr>
          <w:lang w:eastAsia="en-CA"/>
        </w:rPr>
        <w:t xml:space="preserve">and </w:t>
      </w:r>
      <w:r w:rsidRPr="00C058EC">
        <w:rPr>
          <w:lang w:eastAsia="en-CA"/>
        </w:rPr>
        <w:t>the</w:t>
      </w:r>
      <w:r>
        <w:rPr>
          <w:lang w:eastAsia="en-CA"/>
        </w:rPr>
        <w:t>ir</w:t>
      </w:r>
      <w:r w:rsidRPr="00C058EC">
        <w:rPr>
          <w:lang w:eastAsia="en-CA"/>
        </w:rPr>
        <w:t xml:space="preserve"> </w:t>
      </w:r>
      <w:r>
        <w:rPr>
          <w:lang w:eastAsia="en-CA"/>
        </w:rPr>
        <w:t xml:space="preserve">connections to resource </w:t>
      </w:r>
      <w:r w:rsidRPr="00C058EC">
        <w:rPr>
          <w:lang w:eastAsia="en-CA"/>
        </w:rPr>
        <w:t>stewardship</w:t>
      </w:r>
      <w:r>
        <w:rPr>
          <w:lang w:eastAsia="en-CA"/>
        </w:rPr>
        <w:t>. The following are specific issues related the Pacific region:</w:t>
      </w:r>
    </w:p>
    <w:p w:rsidR="00B96EFC" w:rsidRPr="00C058EC" w:rsidRDefault="00B96EFC" w:rsidP="00C058EC">
      <w:pPr>
        <w:spacing w:after="0" w:line="240" w:lineRule="auto"/>
        <w:rPr>
          <w:rFonts w:cs="Arial"/>
          <w:b/>
          <w:color w:val="333333"/>
          <w:shd w:val="clear" w:color="auto" w:fill="FFFFFF"/>
        </w:rPr>
      </w:pPr>
      <w:r w:rsidRPr="00C058EC">
        <w:rPr>
          <w:rFonts w:cs="Arial"/>
          <w:b/>
          <w:color w:val="333333"/>
          <w:shd w:val="clear" w:color="auto" w:fill="FFFFFF"/>
        </w:rPr>
        <w:t xml:space="preserve"> </w:t>
      </w:r>
    </w:p>
    <w:p w:rsidR="0050251B" w:rsidRPr="00022A67" w:rsidRDefault="00B96EFC" w:rsidP="00C058EC">
      <w:pPr>
        <w:pStyle w:val="ListParagraph"/>
        <w:numPr>
          <w:ilvl w:val="0"/>
          <w:numId w:val="9"/>
        </w:numPr>
        <w:spacing w:after="0" w:line="240" w:lineRule="auto"/>
        <w:rPr>
          <w:rFonts w:cs="Arial"/>
        </w:rPr>
      </w:pPr>
      <w:r w:rsidRPr="00C058EC">
        <w:rPr>
          <w:rFonts w:cs="Arial"/>
          <w:color w:val="333333"/>
          <w:shd w:val="clear" w:color="auto" w:fill="FFFFFF"/>
        </w:rPr>
        <w:t>Wild Pacific salmon is integral to the economic and social fabric of coastal communities, and</w:t>
      </w:r>
      <w:r w:rsidR="00274819">
        <w:rPr>
          <w:rFonts w:cs="Arial"/>
          <w:color w:val="333333"/>
          <w:shd w:val="clear" w:color="auto" w:fill="FFFFFF"/>
        </w:rPr>
        <w:t xml:space="preserve"> their stewardship</w:t>
      </w:r>
      <w:r w:rsidRPr="00C058EC">
        <w:rPr>
          <w:rFonts w:cs="Arial"/>
          <w:color w:val="333333"/>
          <w:shd w:val="clear" w:color="auto" w:fill="FFFFFF"/>
        </w:rPr>
        <w:t xml:space="preserve"> is fundamental to </w:t>
      </w:r>
      <w:r w:rsidR="00764CF5">
        <w:rPr>
          <w:lang w:eastAsia="en-CA"/>
        </w:rPr>
        <w:t xml:space="preserve">Aboriginal </w:t>
      </w:r>
      <w:r w:rsidRPr="00C058EC">
        <w:rPr>
          <w:rFonts w:cs="Arial"/>
          <w:color w:val="333333"/>
          <w:shd w:val="clear" w:color="auto" w:fill="FFFFFF"/>
        </w:rPr>
        <w:t>communities across British Columbia. Culturally, Chinook (salmon) is an important species for many BC First Nations.</w:t>
      </w:r>
    </w:p>
    <w:p w:rsidR="00022A67" w:rsidRPr="00C058EC" w:rsidRDefault="00022A67" w:rsidP="00022A67">
      <w:pPr>
        <w:pStyle w:val="ListParagraph"/>
        <w:spacing w:after="0" w:line="240" w:lineRule="auto"/>
        <w:ind w:left="405"/>
        <w:rPr>
          <w:rFonts w:cs="Arial"/>
        </w:rPr>
      </w:pPr>
    </w:p>
    <w:p w:rsidR="00B96EFC" w:rsidRPr="00022A67" w:rsidRDefault="00B96EFC" w:rsidP="00C058EC">
      <w:pPr>
        <w:pStyle w:val="ListParagraph"/>
        <w:numPr>
          <w:ilvl w:val="0"/>
          <w:numId w:val="9"/>
        </w:numPr>
        <w:spacing w:after="0" w:line="240" w:lineRule="auto"/>
        <w:rPr>
          <w:rFonts w:cs="Arial"/>
        </w:rPr>
      </w:pPr>
      <w:r w:rsidRPr="00C058EC">
        <w:rPr>
          <w:rFonts w:cs="Arial"/>
          <w:color w:val="333333"/>
          <w:shd w:val="clear" w:color="auto" w:fill="FFFFFF"/>
        </w:rPr>
        <w:t xml:space="preserve">As well, the Southern and Northern Resident Killer Whales hold a special significance </w:t>
      </w:r>
      <w:r w:rsidR="00A4225A">
        <w:rPr>
          <w:rFonts w:cs="Arial"/>
          <w:color w:val="333333"/>
          <w:shd w:val="clear" w:color="auto" w:fill="FFFFFF"/>
        </w:rPr>
        <w:t>to</w:t>
      </w:r>
      <w:r w:rsidRPr="00C058EC">
        <w:rPr>
          <w:rFonts w:cs="Arial"/>
          <w:color w:val="333333"/>
          <w:shd w:val="clear" w:color="auto" w:fill="FFFFFF"/>
        </w:rPr>
        <w:t xml:space="preserve"> </w:t>
      </w:r>
      <w:r w:rsidR="00764CF5">
        <w:rPr>
          <w:lang w:eastAsia="en-CA"/>
        </w:rPr>
        <w:t xml:space="preserve">Aboriginal </w:t>
      </w:r>
      <w:r w:rsidR="00A4225A">
        <w:rPr>
          <w:rFonts w:cs="Arial"/>
          <w:color w:val="333333"/>
          <w:shd w:val="clear" w:color="auto" w:fill="FFFFFF"/>
        </w:rPr>
        <w:t>p</w:t>
      </w:r>
      <w:r w:rsidRPr="00C058EC">
        <w:rPr>
          <w:rFonts w:cs="Arial"/>
          <w:color w:val="333333"/>
          <w:shd w:val="clear" w:color="auto" w:fill="FFFFFF"/>
        </w:rPr>
        <w:t xml:space="preserve">eople. </w:t>
      </w:r>
      <w:r w:rsidR="00274819">
        <w:rPr>
          <w:rFonts w:cs="Arial"/>
          <w:color w:val="333333"/>
          <w:shd w:val="clear" w:color="auto" w:fill="FFFFFF"/>
        </w:rPr>
        <w:t>As well, t</w:t>
      </w:r>
      <w:r w:rsidRPr="00C058EC">
        <w:rPr>
          <w:rFonts w:cs="Arial"/>
          <w:color w:val="333333"/>
          <w:shd w:val="clear" w:color="auto" w:fill="FFFFFF"/>
        </w:rPr>
        <w:t>hese whales also play an apex role in food chains.</w:t>
      </w:r>
    </w:p>
    <w:p w:rsidR="00022A67" w:rsidRPr="00C058EC" w:rsidRDefault="00022A67" w:rsidP="00022A67">
      <w:pPr>
        <w:pStyle w:val="ListParagraph"/>
        <w:spacing w:after="0" w:line="240" w:lineRule="auto"/>
        <w:ind w:left="405"/>
        <w:rPr>
          <w:rFonts w:cs="Arial"/>
        </w:rPr>
      </w:pPr>
    </w:p>
    <w:p w:rsidR="00B96EFC" w:rsidRPr="00C058EC" w:rsidRDefault="00B96EFC" w:rsidP="00C058EC">
      <w:pPr>
        <w:pStyle w:val="ListParagraph"/>
        <w:numPr>
          <w:ilvl w:val="0"/>
          <w:numId w:val="9"/>
        </w:numPr>
        <w:spacing w:after="0" w:line="240" w:lineRule="auto"/>
        <w:rPr>
          <w:rFonts w:cs="Arial"/>
        </w:rPr>
      </w:pPr>
      <w:r w:rsidRPr="00C058EC">
        <w:rPr>
          <w:rFonts w:cs="Arial"/>
          <w:color w:val="333333"/>
          <w:shd w:val="clear" w:color="auto" w:fill="FFFFFF"/>
        </w:rPr>
        <w:t xml:space="preserve">The </w:t>
      </w:r>
      <w:proofErr w:type="spellStart"/>
      <w:r w:rsidRPr="00C058EC">
        <w:rPr>
          <w:rFonts w:cs="Arial"/>
          <w:color w:val="333333"/>
          <w:shd w:val="clear" w:color="auto" w:fill="FFFFFF"/>
        </w:rPr>
        <w:t>Haida</w:t>
      </w:r>
      <w:proofErr w:type="spellEnd"/>
      <w:r w:rsidRPr="00C058EC">
        <w:rPr>
          <w:rFonts w:cs="Arial"/>
          <w:color w:val="333333"/>
          <w:shd w:val="clear" w:color="auto" w:fill="FFFFFF"/>
        </w:rPr>
        <w:t xml:space="preserve"> Nation and the Government of Canada are protecting </w:t>
      </w:r>
      <w:r w:rsidR="00A4225A">
        <w:rPr>
          <w:rFonts w:cs="Arial"/>
          <w:color w:val="333333"/>
          <w:shd w:val="clear" w:color="auto" w:fill="FFFFFF"/>
        </w:rPr>
        <w:t>the ‘</w:t>
      </w:r>
      <w:proofErr w:type="spellStart"/>
      <w:r w:rsidRPr="00C058EC">
        <w:rPr>
          <w:rFonts w:cs="Arial"/>
          <w:color w:val="333333"/>
          <w:shd w:val="clear" w:color="auto" w:fill="FFFFFF"/>
        </w:rPr>
        <w:t>S</w:t>
      </w:r>
      <w:r w:rsidRPr="00C058EC">
        <w:rPr>
          <w:rFonts w:cs="Arial"/>
          <w:color w:val="333333"/>
          <w:u w:val="single"/>
          <w:shd w:val="clear" w:color="auto" w:fill="FFFFFF"/>
        </w:rPr>
        <w:t>G</w:t>
      </w:r>
      <w:r w:rsidRPr="00C058EC">
        <w:rPr>
          <w:rFonts w:cs="Arial"/>
          <w:color w:val="333333"/>
          <w:shd w:val="clear" w:color="auto" w:fill="FFFFFF"/>
        </w:rPr>
        <w:t>aan</w:t>
      </w:r>
      <w:proofErr w:type="spellEnd"/>
      <w:r w:rsidRPr="00C058EC">
        <w:rPr>
          <w:rFonts w:cs="Arial"/>
          <w:color w:val="333333"/>
          <w:shd w:val="clear" w:color="auto" w:fill="FFFFFF"/>
        </w:rPr>
        <w:t> </w:t>
      </w:r>
      <w:proofErr w:type="spellStart"/>
      <w:r w:rsidRPr="00C058EC">
        <w:rPr>
          <w:rFonts w:cs="Arial"/>
          <w:color w:val="333333"/>
          <w:u w:val="single"/>
          <w:shd w:val="clear" w:color="auto" w:fill="FFFFFF"/>
        </w:rPr>
        <w:t>K</w:t>
      </w:r>
      <w:r w:rsidRPr="00C058EC">
        <w:rPr>
          <w:rFonts w:cs="Arial"/>
          <w:color w:val="333333"/>
          <w:shd w:val="clear" w:color="auto" w:fill="FFFFFF"/>
        </w:rPr>
        <w:t>inghlas</w:t>
      </w:r>
      <w:proofErr w:type="spellEnd"/>
      <w:r w:rsidR="00A4225A">
        <w:rPr>
          <w:rFonts w:cs="Arial"/>
          <w:color w:val="333333"/>
          <w:shd w:val="clear" w:color="auto" w:fill="FFFFFF"/>
        </w:rPr>
        <w:t>’ protected zone in the ocean</w:t>
      </w:r>
      <w:r w:rsidR="00A4225A" w:rsidRPr="00A4225A">
        <w:rPr>
          <w:rFonts w:cs="Arial"/>
          <w:color w:val="333333"/>
          <w:shd w:val="clear" w:color="auto" w:fill="FFFFFF"/>
        </w:rPr>
        <w:t xml:space="preserve"> </w:t>
      </w:r>
      <w:r w:rsidR="00A4225A" w:rsidRPr="00C058EC">
        <w:rPr>
          <w:rFonts w:cs="Arial"/>
          <w:color w:val="333333"/>
          <w:shd w:val="clear" w:color="auto" w:fill="FFFFFF"/>
        </w:rPr>
        <w:t>and its marine life</w:t>
      </w:r>
      <w:r w:rsidRPr="00C058EC">
        <w:rPr>
          <w:rFonts w:cs="Arial"/>
          <w:color w:val="333333"/>
          <w:shd w:val="clear" w:color="auto" w:fill="FFFFFF"/>
        </w:rPr>
        <w:t xml:space="preserve">. </w:t>
      </w:r>
      <w:r w:rsidR="00A4225A" w:rsidRPr="00C058EC">
        <w:rPr>
          <w:rFonts w:cs="Arial"/>
          <w:color w:val="333333"/>
          <w:shd w:val="clear" w:color="auto" w:fill="FFFFFF"/>
        </w:rPr>
        <w:t xml:space="preserve">This is an area where the </w:t>
      </w:r>
      <w:proofErr w:type="spellStart"/>
      <w:r w:rsidR="00A4225A" w:rsidRPr="00C058EC">
        <w:rPr>
          <w:rFonts w:cs="Arial"/>
          <w:color w:val="333333"/>
          <w:shd w:val="clear" w:color="auto" w:fill="FFFFFF"/>
        </w:rPr>
        <w:t>Haida</w:t>
      </w:r>
      <w:proofErr w:type="spellEnd"/>
      <w:r w:rsidR="00A4225A" w:rsidRPr="00C058EC">
        <w:rPr>
          <w:rFonts w:cs="Arial"/>
          <w:color w:val="333333"/>
          <w:shd w:val="clear" w:color="auto" w:fill="FFFFFF"/>
        </w:rPr>
        <w:t xml:space="preserve"> have a historical, spiritual and cultural connection</w:t>
      </w:r>
      <w:r w:rsidR="00A4225A">
        <w:rPr>
          <w:rFonts w:cs="Arial"/>
          <w:color w:val="333333"/>
          <w:shd w:val="clear" w:color="auto" w:fill="FFFFFF"/>
        </w:rPr>
        <w:t>.</w:t>
      </w:r>
      <w:r w:rsidR="00A4225A" w:rsidRPr="00C058EC">
        <w:rPr>
          <w:rFonts w:cs="Arial"/>
          <w:color w:val="333333"/>
          <w:shd w:val="clear" w:color="auto" w:fill="FFFFFF"/>
        </w:rPr>
        <w:t xml:space="preserve"> </w:t>
      </w:r>
      <w:r w:rsidRPr="00C058EC">
        <w:rPr>
          <w:rFonts w:cs="Arial"/>
          <w:color w:val="333333"/>
          <w:shd w:val="clear" w:color="auto" w:fill="FFFFFF"/>
        </w:rPr>
        <w:t xml:space="preserve">This effort illustrates a shared commitment by the Council of the </w:t>
      </w:r>
      <w:proofErr w:type="spellStart"/>
      <w:r w:rsidRPr="00C058EC">
        <w:rPr>
          <w:rFonts w:cs="Arial"/>
          <w:color w:val="333333"/>
          <w:shd w:val="clear" w:color="auto" w:fill="FFFFFF"/>
        </w:rPr>
        <w:t>Haida</w:t>
      </w:r>
      <w:proofErr w:type="spellEnd"/>
      <w:r w:rsidRPr="00C058EC">
        <w:rPr>
          <w:rFonts w:cs="Arial"/>
          <w:color w:val="333333"/>
          <w:shd w:val="clear" w:color="auto" w:fill="FFFFFF"/>
        </w:rPr>
        <w:t xml:space="preserve"> Nation and the Government of Canada to conserve and protect this part of the ocean. </w:t>
      </w:r>
    </w:p>
    <w:p w:rsidR="00B96EFC" w:rsidRPr="00C058EC" w:rsidRDefault="00B96EFC" w:rsidP="00C058EC">
      <w:pPr>
        <w:spacing w:after="0" w:line="240" w:lineRule="auto"/>
        <w:rPr>
          <w:rFonts w:cs="Arial"/>
        </w:rPr>
      </w:pPr>
    </w:p>
    <w:p w:rsidR="00B96EFC" w:rsidRPr="00C058EC" w:rsidRDefault="00B96EFC" w:rsidP="00C058EC">
      <w:pPr>
        <w:spacing w:after="0" w:line="240" w:lineRule="auto"/>
        <w:rPr>
          <w:rFonts w:cs="Arial"/>
        </w:rPr>
      </w:pPr>
    </w:p>
    <w:p w:rsidR="0050251B" w:rsidRPr="00C058EC" w:rsidRDefault="0050251B" w:rsidP="00C058EC">
      <w:pPr>
        <w:spacing w:after="0" w:line="240" w:lineRule="auto"/>
        <w:rPr>
          <w:lang w:eastAsia="en-CA"/>
        </w:rPr>
      </w:pPr>
    </w:p>
    <w:p w:rsidR="0050251B" w:rsidRPr="00C058EC" w:rsidRDefault="0050251B" w:rsidP="00C058EC">
      <w:pPr>
        <w:spacing w:after="0" w:line="240" w:lineRule="auto"/>
        <w:rPr>
          <w:lang w:eastAsia="en-CA"/>
        </w:rPr>
      </w:pPr>
    </w:p>
    <w:p w:rsidR="00C058EC" w:rsidRPr="00C058EC" w:rsidRDefault="00C058EC" w:rsidP="00C058EC">
      <w:pPr>
        <w:spacing w:after="0" w:line="240" w:lineRule="auto"/>
      </w:pPr>
      <w:r w:rsidRPr="00C058EC">
        <w:br w:type="page"/>
      </w:r>
    </w:p>
    <w:p w:rsidR="00C058EC" w:rsidRDefault="0050251B" w:rsidP="00C058EC">
      <w:pPr>
        <w:spacing w:after="0" w:line="240" w:lineRule="auto"/>
        <w:rPr>
          <w:b/>
        </w:rPr>
      </w:pPr>
      <w:r w:rsidRPr="00022A67">
        <w:rPr>
          <w:b/>
        </w:rPr>
        <w:lastRenderedPageBreak/>
        <w:t>Q</w:t>
      </w:r>
      <w:r w:rsidR="00C058EC" w:rsidRPr="00022A67">
        <w:rPr>
          <w:b/>
        </w:rPr>
        <w:t xml:space="preserve">UESTION </w:t>
      </w:r>
      <w:r w:rsidRPr="00022A67">
        <w:rPr>
          <w:b/>
        </w:rPr>
        <w:t>5</w:t>
      </w:r>
    </w:p>
    <w:p w:rsidR="00022A67" w:rsidRPr="00022A67" w:rsidRDefault="00022A67" w:rsidP="00C058EC">
      <w:pPr>
        <w:spacing w:after="0" w:line="240" w:lineRule="auto"/>
        <w:rPr>
          <w:b/>
        </w:rPr>
      </w:pPr>
    </w:p>
    <w:p w:rsidR="0050251B" w:rsidRDefault="00B96EFC" w:rsidP="00C058EC">
      <w:pPr>
        <w:spacing w:after="0" w:line="240" w:lineRule="auto"/>
        <w:rPr>
          <w:b/>
        </w:rPr>
      </w:pPr>
      <w:r w:rsidRPr="00C058EC">
        <w:t xml:space="preserve"> </w:t>
      </w:r>
      <w:r w:rsidR="00E71CB1" w:rsidRPr="00C058EC">
        <w:rPr>
          <w:b/>
        </w:rPr>
        <w:t>A</w:t>
      </w:r>
      <w:r w:rsidR="0050251B" w:rsidRPr="00C058EC">
        <w:rPr>
          <w:b/>
        </w:rPr>
        <w:t xml:space="preserve"> framework to undertake an analysis for a regulatory change</w:t>
      </w:r>
      <w:r w:rsidR="004B0E31" w:rsidRPr="00C058EC">
        <w:rPr>
          <w:b/>
        </w:rPr>
        <w:t xml:space="preserve"> for the</w:t>
      </w:r>
      <w:r w:rsidR="004B0E31" w:rsidRPr="00C058EC">
        <w:rPr>
          <w:rFonts w:cs="Arial"/>
          <w:color w:val="333333"/>
          <w:shd w:val="clear" w:color="auto" w:fill="FFFFFF"/>
        </w:rPr>
        <w:t xml:space="preserve"> </w:t>
      </w:r>
      <w:r w:rsidR="004B0E31" w:rsidRPr="00022A67">
        <w:rPr>
          <w:rFonts w:cs="Arial"/>
          <w:b/>
          <w:color w:val="333333"/>
          <w:shd w:val="clear" w:color="auto" w:fill="FFFFFF"/>
        </w:rPr>
        <w:t>Marine Protected Area</w:t>
      </w:r>
      <w:r w:rsidR="00E71CB1" w:rsidRPr="00C058EC">
        <w:rPr>
          <w:rFonts w:cs="Arial"/>
          <w:color w:val="333333"/>
          <w:shd w:val="clear" w:color="auto" w:fill="FFFFFF"/>
        </w:rPr>
        <w:t xml:space="preserve"> (</w:t>
      </w:r>
      <w:r w:rsidR="004B0E31" w:rsidRPr="00C058EC">
        <w:rPr>
          <w:b/>
        </w:rPr>
        <w:t>MPA</w:t>
      </w:r>
      <w:r w:rsidR="00E71CB1" w:rsidRPr="00C058EC">
        <w:rPr>
          <w:b/>
        </w:rPr>
        <w:t>)</w:t>
      </w:r>
      <w:r w:rsidR="00022A67">
        <w:rPr>
          <w:b/>
        </w:rPr>
        <w:t>:</w:t>
      </w:r>
    </w:p>
    <w:p w:rsidR="00022A67" w:rsidRPr="00C058EC" w:rsidRDefault="00022A67" w:rsidP="00C058EC">
      <w:pPr>
        <w:spacing w:after="0" w:line="240" w:lineRule="auto"/>
        <w:rPr>
          <w:b/>
        </w:rPr>
      </w:pPr>
    </w:p>
    <w:p w:rsidR="00E71CB1" w:rsidRPr="00C058EC" w:rsidRDefault="00E71CB1" w:rsidP="00C058EC">
      <w:pPr>
        <w:spacing w:after="0" w:line="240" w:lineRule="auto"/>
      </w:pPr>
      <w:r w:rsidRPr="00C058EC">
        <w:rPr>
          <w:rFonts w:cs="Arial"/>
          <w:color w:val="333333"/>
          <w:shd w:val="clear" w:color="auto" w:fill="FFFFFF"/>
        </w:rPr>
        <w:t>A Marine Protected Area (MPA)</w:t>
      </w:r>
      <w:r w:rsidR="00022A67">
        <w:rPr>
          <w:rFonts w:cs="Arial"/>
          <w:color w:val="333333"/>
          <w:shd w:val="clear" w:color="auto" w:fill="FFFFFF"/>
        </w:rPr>
        <w:t xml:space="preserve"> </w:t>
      </w:r>
      <w:r w:rsidRPr="00C058EC">
        <w:rPr>
          <w:rFonts w:cs="Arial"/>
          <w:color w:val="333333"/>
          <w:shd w:val="clear" w:color="auto" w:fill="FFFFFF"/>
        </w:rPr>
        <w:t>is designed to protect unique biodiversity and biological productivity</w:t>
      </w:r>
      <w:r w:rsidR="008163FA">
        <w:rPr>
          <w:rFonts w:cs="Arial"/>
          <w:color w:val="333333"/>
          <w:shd w:val="clear" w:color="auto" w:fill="FFFFFF"/>
        </w:rPr>
        <w:t>,</w:t>
      </w:r>
      <w:r w:rsidRPr="00C058EC">
        <w:rPr>
          <w:rFonts w:cs="Arial"/>
          <w:color w:val="333333"/>
          <w:shd w:val="clear" w:color="auto" w:fill="FFFFFF"/>
        </w:rPr>
        <w:t xml:space="preserve"> </w:t>
      </w:r>
      <w:r w:rsidR="008163FA">
        <w:rPr>
          <w:rFonts w:cs="Arial"/>
          <w:color w:val="333333"/>
          <w:shd w:val="clear" w:color="auto" w:fill="FFFFFF"/>
        </w:rPr>
        <w:t>as well as</w:t>
      </w:r>
      <w:r w:rsidRPr="00C058EC">
        <w:rPr>
          <w:rFonts w:cs="Arial"/>
          <w:color w:val="333333"/>
          <w:shd w:val="clear" w:color="auto" w:fill="FFFFFF"/>
        </w:rPr>
        <w:t xml:space="preserve"> to facilitate the recovery of certain species at risk</w:t>
      </w:r>
      <w:r w:rsidR="008163FA">
        <w:rPr>
          <w:rFonts w:cs="Arial"/>
          <w:color w:val="333333"/>
          <w:shd w:val="clear" w:color="auto" w:fill="FFFFFF"/>
        </w:rPr>
        <w:t xml:space="preserve"> (</w:t>
      </w:r>
      <w:r w:rsidR="008163FA" w:rsidRPr="00C058EC">
        <w:rPr>
          <w:lang w:eastAsia="en-CA"/>
        </w:rPr>
        <w:t xml:space="preserve">e.g., </w:t>
      </w:r>
      <w:r w:rsidR="008163FA" w:rsidRPr="00022A67">
        <w:rPr>
          <w:rFonts w:cs="Arial"/>
          <w:color w:val="333333"/>
          <w:shd w:val="clear" w:color="auto" w:fill="FFFFFF"/>
        </w:rPr>
        <w:t>protecting </w:t>
      </w:r>
      <w:r w:rsidR="008163FA">
        <w:rPr>
          <w:rFonts w:cs="Arial"/>
          <w:color w:val="333333"/>
          <w:shd w:val="clear" w:color="auto" w:fill="FFFFFF"/>
        </w:rPr>
        <w:t>‘</w:t>
      </w:r>
      <w:proofErr w:type="spellStart"/>
      <w:r w:rsidR="008163FA" w:rsidRPr="00022A67">
        <w:rPr>
          <w:rFonts w:cs="Arial"/>
          <w:color w:val="333333"/>
          <w:shd w:val="clear" w:color="auto" w:fill="FFFFFF"/>
        </w:rPr>
        <w:t>S</w:t>
      </w:r>
      <w:r w:rsidR="008163FA" w:rsidRPr="00022A67">
        <w:rPr>
          <w:rFonts w:cs="Arial"/>
          <w:color w:val="333333"/>
          <w:u w:val="single"/>
          <w:shd w:val="clear" w:color="auto" w:fill="FFFFFF"/>
        </w:rPr>
        <w:t>G</w:t>
      </w:r>
      <w:r w:rsidR="008163FA" w:rsidRPr="00022A67">
        <w:rPr>
          <w:rFonts w:cs="Arial"/>
          <w:color w:val="333333"/>
          <w:shd w:val="clear" w:color="auto" w:fill="FFFFFF"/>
        </w:rPr>
        <w:t>aan</w:t>
      </w:r>
      <w:proofErr w:type="spellEnd"/>
      <w:r w:rsidR="008163FA" w:rsidRPr="00022A67">
        <w:rPr>
          <w:rFonts w:cs="Arial"/>
          <w:color w:val="333333"/>
          <w:shd w:val="clear" w:color="auto" w:fill="FFFFFF"/>
        </w:rPr>
        <w:t> </w:t>
      </w:r>
      <w:proofErr w:type="spellStart"/>
      <w:r w:rsidR="008163FA" w:rsidRPr="00022A67">
        <w:rPr>
          <w:rFonts w:cs="Arial"/>
          <w:color w:val="333333"/>
          <w:u w:val="single"/>
          <w:shd w:val="clear" w:color="auto" w:fill="FFFFFF"/>
        </w:rPr>
        <w:t>K</w:t>
      </w:r>
      <w:r w:rsidR="008163FA" w:rsidRPr="00022A67">
        <w:rPr>
          <w:rFonts w:cs="Arial"/>
          <w:color w:val="333333"/>
          <w:shd w:val="clear" w:color="auto" w:fill="FFFFFF"/>
        </w:rPr>
        <w:t>inghlas</w:t>
      </w:r>
      <w:proofErr w:type="spellEnd"/>
      <w:r w:rsidR="008163FA">
        <w:rPr>
          <w:rFonts w:cs="Arial"/>
          <w:color w:val="333333"/>
          <w:shd w:val="clear" w:color="auto" w:fill="FFFFFF"/>
        </w:rPr>
        <w:t>’)</w:t>
      </w:r>
      <w:r w:rsidRPr="00C058EC">
        <w:rPr>
          <w:rFonts w:cs="Arial"/>
          <w:color w:val="333333"/>
          <w:shd w:val="clear" w:color="auto" w:fill="FFFFFF"/>
        </w:rPr>
        <w:t xml:space="preserve">. </w:t>
      </w:r>
      <w:r w:rsidR="00022A67">
        <w:rPr>
          <w:rFonts w:cs="Arial"/>
          <w:color w:val="333333"/>
          <w:shd w:val="clear" w:color="auto" w:fill="FFFFFF"/>
        </w:rPr>
        <w:t>MPAs usually select a</w:t>
      </w:r>
      <w:r w:rsidRPr="00C058EC">
        <w:rPr>
          <w:rFonts w:cs="Arial"/>
          <w:color w:val="333333"/>
          <w:shd w:val="clear" w:color="auto" w:fill="FFFFFF"/>
        </w:rPr>
        <w:t xml:space="preserve">reas under pressure from human activities for protection. </w:t>
      </w:r>
      <w:r w:rsidR="00022A67">
        <w:rPr>
          <w:rFonts w:cs="Arial"/>
          <w:color w:val="333333"/>
          <w:shd w:val="clear" w:color="auto" w:fill="FFFFFF"/>
        </w:rPr>
        <w:t>T</w:t>
      </w:r>
      <w:r w:rsidRPr="00C058EC">
        <w:rPr>
          <w:rFonts w:cs="Arial"/>
          <w:color w:val="333333"/>
          <w:shd w:val="clear" w:color="auto" w:fill="FFFFFF"/>
        </w:rPr>
        <w:t xml:space="preserve">he following will be considered in developing </w:t>
      </w:r>
      <w:r w:rsidR="00022A67">
        <w:rPr>
          <w:rFonts w:cs="Arial"/>
          <w:color w:val="333333"/>
          <w:shd w:val="clear" w:color="auto" w:fill="FFFFFF"/>
        </w:rPr>
        <w:t>an analysis for regulatory change for a</w:t>
      </w:r>
      <w:r w:rsidRPr="00C058EC">
        <w:rPr>
          <w:rFonts w:cs="Arial"/>
          <w:color w:val="333333"/>
          <w:shd w:val="clear" w:color="auto" w:fill="FFFFFF"/>
        </w:rPr>
        <w:t xml:space="preserve"> MPA framework:</w:t>
      </w:r>
    </w:p>
    <w:p w:rsidR="00E71CB1" w:rsidRPr="00C058EC" w:rsidRDefault="00E71CB1" w:rsidP="00C058EC">
      <w:pPr>
        <w:spacing w:after="0" w:line="240" w:lineRule="auto"/>
      </w:pPr>
    </w:p>
    <w:p w:rsidR="00E71CB1" w:rsidRDefault="004B121D" w:rsidP="00022A67">
      <w:pPr>
        <w:pStyle w:val="ListParagraph"/>
        <w:numPr>
          <w:ilvl w:val="0"/>
          <w:numId w:val="12"/>
        </w:numPr>
        <w:spacing w:after="0" w:line="240" w:lineRule="auto"/>
        <w:rPr>
          <w:lang w:eastAsia="en-CA"/>
        </w:rPr>
      </w:pPr>
      <w:r>
        <w:rPr>
          <w:lang w:eastAsia="en-CA"/>
        </w:rPr>
        <w:t xml:space="preserve">The analysis will consider </w:t>
      </w:r>
      <w:r w:rsidR="00764CF5">
        <w:rPr>
          <w:lang w:eastAsia="en-CA"/>
        </w:rPr>
        <w:t xml:space="preserve">Aboriginal </w:t>
      </w:r>
      <w:r>
        <w:rPr>
          <w:lang w:eastAsia="en-CA"/>
        </w:rPr>
        <w:t>people’s interest in</w:t>
      </w:r>
      <w:r w:rsidR="00E71CB1" w:rsidRPr="00C058EC">
        <w:rPr>
          <w:lang w:eastAsia="en-CA"/>
        </w:rPr>
        <w:t xml:space="preserve"> fishing for food and ceremonial purposes. Some of the MPAs in BC have significance to </w:t>
      </w:r>
      <w:r w:rsidR="00764CF5">
        <w:rPr>
          <w:lang w:eastAsia="en-CA"/>
        </w:rPr>
        <w:t xml:space="preserve">Aboriginal </w:t>
      </w:r>
      <w:r w:rsidR="00E71CB1" w:rsidRPr="00C058EC">
        <w:rPr>
          <w:lang w:eastAsia="en-CA"/>
        </w:rPr>
        <w:t>people from a stewardship point of</w:t>
      </w:r>
      <w:r w:rsidR="00022A67">
        <w:rPr>
          <w:lang w:eastAsia="en-CA"/>
        </w:rPr>
        <w:t xml:space="preserve"> view and as a source of food </w:t>
      </w:r>
      <w:r w:rsidR="00E71CB1" w:rsidRPr="00C058EC">
        <w:rPr>
          <w:lang w:eastAsia="en-CA"/>
        </w:rPr>
        <w:t>and livelihood</w:t>
      </w:r>
      <w:r w:rsidR="00B96EFC" w:rsidRPr="00C058EC">
        <w:rPr>
          <w:lang w:eastAsia="en-CA"/>
        </w:rPr>
        <w:t xml:space="preserve"> (e.g., </w:t>
      </w:r>
      <w:r w:rsidR="00B96EFC" w:rsidRPr="00022A67">
        <w:rPr>
          <w:rFonts w:cs="Arial"/>
          <w:color w:val="333333"/>
          <w:shd w:val="clear" w:color="auto" w:fill="FFFFFF"/>
        </w:rPr>
        <w:t>protecting </w:t>
      </w:r>
      <w:r w:rsidR="00022A67">
        <w:rPr>
          <w:rFonts w:cs="Arial"/>
          <w:color w:val="333333"/>
          <w:shd w:val="clear" w:color="auto" w:fill="FFFFFF"/>
        </w:rPr>
        <w:t>‘</w:t>
      </w:r>
      <w:proofErr w:type="spellStart"/>
      <w:r w:rsidR="00B96EFC" w:rsidRPr="00022A67">
        <w:rPr>
          <w:rFonts w:cs="Arial"/>
          <w:color w:val="333333"/>
          <w:shd w:val="clear" w:color="auto" w:fill="FFFFFF"/>
        </w:rPr>
        <w:t>S</w:t>
      </w:r>
      <w:r w:rsidR="00B96EFC" w:rsidRPr="00022A67">
        <w:rPr>
          <w:rFonts w:cs="Arial"/>
          <w:color w:val="333333"/>
          <w:u w:val="single"/>
          <w:shd w:val="clear" w:color="auto" w:fill="FFFFFF"/>
        </w:rPr>
        <w:t>G</w:t>
      </w:r>
      <w:r w:rsidR="00B96EFC" w:rsidRPr="00022A67">
        <w:rPr>
          <w:rFonts w:cs="Arial"/>
          <w:color w:val="333333"/>
          <w:shd w:val="clear" w:color="auto" w:fill="FFFFFF"/>
        </w:rPr>
        <w:t>aan</w:t>
      </w:r>
      <w:proofErr w:type="spellEnd"/>
      <w:r w:rsidR="00B96EFC" w:rsidRPr="00022A67">
        <w:rPr>
          <w:rFonts w:cs="Arial"/>
          <w:color w:val="333333"/>
          <w:shd w:val="clear" w:color="auto" w:fill="FFFFFF"/>
        </w:rPr>
        <w:t> </w:t>
      </w:r>
      <w:proofErr w:type="spellStart"/>
      <w:r w:rsidR="00B96EFC" w:rsidRPr="00022A67">
        <w:rPr>
          <w:rFonts w:cs="Arial"/>
          <w:color w:val="333333"/>
          <w:u w:val="single"/>
          <w:shd w:val="clear" w:color="auto" w:fill="FFFFFF"/>
        </w:rPr>
        <w:t>K</w:t>
      </w:r>
      <w:r w:rsidR="00B96EFC" w:rsidRPr="00022A67">
        <w:rPr>
          <w:rFonts w:cs="Arial"/>
          <w:color w:val="333333"/>
          <w:shd w:val="clear" w:color="auto" w:fill="FFFFFF"/>
        </w:rPr>
        <w:t>inghlas</w:t>
      </w:r>
      <w:proofErr w:type="spellEnd"/>
      <w:r w:rsidR="00022A67">
        <w:rPr>
          <w:rFonts w:cs="Arial"/>
          <w:color w:val="333333"/>
          <w:shd w:val="clear" w:color="auto" w:fill="FFFFFF"/>
        </w:rPr>
        <w:t>’</w:t>
      </w:r>
      <w:r w:rsidR="00B96EFC" w:rsidRPr="00022A67">
        <w:rPr>
          <w:rFonts w:cs="Arial"/>
          <w:color w:val="333333"/>
          <w:shd w:val="clear" w:color="auto" w:fill="FFFFFF"/>
        </w:rPr>
        <w:t xml:space="preserve"> has significance to the </w:t>
      </w:r>
      <w:proofErr w:type="spellStart"/>
      <w:r w:rsidR="00B96EFC" w:rsidRPr="00022A67">
        <w:rPr>
          <w:rFonts w:cs="Arial"/>
          <w:color w:val="333333"/>
          <w:shd w:val="clear" w:color="auto" w:fill="FFFFFF"/>
        </w:rPr>
        <w:t>Haida</w:t>
      </w:r>
      <w:proofErr w:type="spellEnd"/>
      <w:r w:rsidR="00B96EFC" w:rsidRPr="00022A67">
        <w:rPr>
          <w:rFonts w:cs="Arial"/>
          <w:color w:val="333333"/>
          <w:shd w:val="clear" w:color="auto" w:fill="FFFFFF"/>
        </w:rPr>
        <w:t xml:space="preserve"> from</w:t>
      </w:r>
      <w:r>
        <w:rPr>
          <w:rFonts w:cs="Arial"/>
          <w:color w:val="333333"/>
          <w:shd w:val="clear" w:color="auto" w:fill="FFFFFF"/>
        </w:rPr>
        <w:t xml:space="preserve"> a</w:t>
      </w:r>
      <w:r w:rsidR="00B96EFC" w:rsidRPr="00022A67">
        <w:rPr>
          <w:rFonts w:cs="Arial"/>
          <w:color w:val="333333"/>
          <w:shd w:val="clear" w:color="auto" w:fill="FFFFFF"/>
        </w:rPr>
        <w:t xml:space="preserve"> cultural point of view)</w:t>
      </w:r>
      <w:r w:rsidR="00E71CB1" w:rsidRPr="00C058EC">
        <w:rPr>
          <w:lang w:eastAsia="en-CA"/>
        </w:rPr>
        <w:t>.</w:t>
      </w:r>
      <w:r w:rsidR="00022A67" w:rsidRPr="00022A67">
        <w:rPr>
          <w:lang w:eastAsia="en-CA"/>
        </w:rPr>
        <w:t xml:space="preserve"> </w:t>
      </w:r>
      <w:r w:rsidR="00022A67" w:rsidRPr="00C058EC">
        <w:rPr>
          <w:lang w:eastAsia="en-CA"/>
        </w:rPr>
        <w:t>The</w:t>
      </w:r>
      <w:r w:rsidR="00022A67">
        <w:rPr>
          <w:lang w:eastAsia="en-CA"/>
        </w:rPr>
        <w:t>ir</w:t>
      </w:r>
      <w:r w:rsidR="00022A67" w:rsidRPr="00C058EC">
        <w:rPr>
          <w:lang w:eastAsia="en-CA"/>
        </w:rPr>
        <w:t xml:space="preserve"> </w:t>
      </w:r>
      <w:r w:rsidR="00022A67">
        <w:rPr>
          <w:lang w:eastAsia="en-CA"/>
        </w:rPr>
        <w:t>communities</w:t>
      </w:r>
      <w:r w:rsidR="00022A67" w:rsidRPr="00C058EC">
        <w:rPr>
          <w:lang w:eastAsia="en-CA"/>
        </w:rPr>
        <w:t xml:space="preserve"> </w:t>
      </w:r>
      <w:r w:rsidR="00764CF5">
        <w:rPr>
          <w:lang w:eastAsia="en-CA"/>
        </w:rPr>
        <w:t>may</w:t>
      </w:r>
      <w:r w:rsidR="00022A67">
        <w:rPr>
          <w:lang w:eastAsia="en-CA"/>
        </w:rPr>
        <w:t xml:space="preserve"> be</w:t>
      </w:r>
      <w:r w:rsidR="00022A67" w:rsidRPr="00C058EC">
        <w:rPr>
          <w:lang w:eastAsia="en-CA"/>
        </w:rPr>
        <w:t xml:space="preserve"> consulted </w:t>
      </w:r>
      <w:r>
        <w:rPr>
          <w:lang w:eastAsia="en-CA"/>
        </w:rPr>
        <w:t>through the process</w:t>
      </w:r>
      <w:r w:rsidR="00022A67" w:rsidRPr="00C058EC">
        <w:rPr>
          <w:lang w:eastAsia="en-CA"/>
        </w:rPr>
        <w:t>.</w:t>
      </w:r>
    </w:p>
    <w:p w:rsidR="00022A67" w:rsidRPr="00C058EC" w:rsidRDefault="00022A67" w:rsidP="00022A67">
      <w:pPr>
        <w:pStyle w:val="ListParagraph"/>
        <w:spacing w:after="0" w:line="240" w:lineRule="auto"/>
        <w:ind w:left="405"/>
        <w:rPr>
          <w:lang w:eastAsia="en-CA"/>
        </w:rPr>
      </w:pPr>
    </w:p>
    <w:p w:rsidR="00E71CB1" w:rsidRDefault="004B121D" w:rsidP="00022A67">
      <w:pPr>
        <w:pStyle w:val="ListParagraph"/>
        <w:numPr>
          <w:ilvl w:val="0"/>
          <w:numId w:val="12"/>
        </w:numPr>
        <w:spacing w:after="0" w:line="240" w:lineRule="auto"/>
        <w:rPr>
          <w:lang w:eastAsia="en-CA"/>
        </w:rPr>
      </w:pPr>
      <w:r>
        <w:rPr>
          <w:lang w:eastAsia="en-CA"/>
        </w:rPr>
        <w:t>The</w:t>
      </w:r>
      <w:r w:rsidR="00022A67">
        <w:rPr>
          <w:lang w:eastAsia="en-CA"/>
        </w:rPr>
        <w:t xml:space="preserve"> </w:t>
      </w:r>
      <w:r>
        <w:rPr>
          <w:lang w:eastAsia="en-CA"/>
        </w:rPr>
        <w:t xml:space="preserve">analysis may consider </w:t>
      </w:r>
      <w:r w:rsidR="00022A67">
        <w:rPr>
          <w:lang w:eastAsia="en-CA"/>
        </w:rPr>
        <w:t>costs associated with</w:t>
      </w:r>
      <w:r w:rsidR="00E71CB1" w:rsidRPr="00C058EC">
        <w:rPr>
          <w:lang w:eastAsia="en-CA"/>
        </w:rPr>
        <w:t xml:space="preserve"> </w:t>
      </w:r>
      <w:r w:rsidR="00764CF5">
        <w:rPr>
          <w:lang w:eastAsia="en-CA"/>
        </w:rPr>
        <w:t>curtailing</w:t>
      </w:r>
      <w:r w:rsidR="00E71CB1" w:rsidRPr="00C058EC">
        <w:rPr>
          <w:lang w:eastAsia="en-CA"/>
        </w:rPr>
        <w:t xml:space="preserve"> of oil and gas activities, discharg</w:t>
      </w:r>
      <w:r w:rsidR="00022A67">
        <w:rPr>
          <w:lang w:eastAsia="en-CA"/>
        </w:rPr>
        <w:t xml:space="preserve">e of </w:t>
      </w:r>
      <w:r w:rsidR="00C227E3">
        <w:rPr>
          <w:lang w:eastAsia="en-CA"/>
        </w:rPr>
        <w:t>wastewater</w:t>
      </w:r>
      <w:r w:rsidR="00022A67">
        <w:rPr>
          <w:lang w:eastAsia="en-CA"/>
        </w:rPr>
        <w:t xml:space="preserve"> and grey water</w:t>
      </w:r>
      <w:r w:rsidR="00E71CB1" w:rsidRPr="00C058EC">
        <w:rPr>
          <w:lang w:eastAsia="en-CA"/>
        </w:rPr>
        <w:t>. Th</w:t>
      </w:r>
      <w:r w:rsidR="00022A67">
        <w:rPr>
          <w:lang w:eastAsia="en-CA"/>
        </w:rPr>
        <w:t>e</w:t>
      </w:r>
      <w:r w:rsidR="00764CF5">
        <w:rPr>
          <w:lang w:eastAsia="en-CA"/>
        </w:rPr>
        <w:t xml:space="preserve"> analysis</w:t>
      </w:r>
      <w:r w:rsidR="00022A67">
        <w:rPr>
          <w:lang w:eastAsia="en-CA"/>
        </w:rPr>
        <w:t xml:space="preserve"> may</w:t>
      </w:r>
      <w:r w:rsidR="00E71CB1" w:rsidRPr="00C058EC">
        <w:rPr>
          <w:lang w:eastAsia="en-CA"/>
        </w:rPr>
        <w:t xml:space="preserve"> include the </w:t>
      </w:r>
      <w:r w:rsidR="00022A67">
        <w:rPr>
          <w:lang w:eastAsia="en-CA"/>
        </w:rPr>
        <w:t>loss of revenue, jobs as well as costs to</w:t>
      </w:r>
      <w:r w:rsidR="00E71CB1" w:rsidRPr="00C058EC">
        <w:rPr>
          <w:lang w:eastAsia="en-CA"/>
        </w:rPr>
        <w:t xml:space="preserve"> </w:t>
      </w:r>
      <w:r w:rsidR="00022A67">
        <w:rPr>
          <w:lang w:eastAsia="en-CA"/>
        </w:rPr>
        <w:t xml:space="preserve">seek alternative means to </w:t>
      </w:r>
      <w:r w:rsidR="00E71CB1" w:rsidRPr="00C058EC">
        <w:rPr>
          <w:lang w:eastAsia="en-CA"/>
        </w:rPr>
        <w:t xml:space="preserve">divert </w:t>
      </w:r>
      <w:r w:rsidR="00022A67">
        <w:rPr>
          <w:lang w:eastAsia="en-CA"/>
        </w:rPr>
        <w:t>municipal</w:t>
      </w:r>
      <w:r w:rsidR="00E71CB1" w:rsidRPr="00C058EC">
        <w:rPr>
          <w:lang w:eastAsia="en-CA"/>
        </w:rPr>
        <w:t xml:space="preserve"> </w:t>
      </w:r>
      <w:r w:rsidR="00022A67">
        <w:rPr>
          <w:lang w:eastAsia="en-CA"/>
        </w:rPr>
        <w:t>water</w:t>
      </w:r>
      <w:r w:rsidR="00E71CB1" w:rsidRPr="00C058EC">
        <w:rPr>
          <w:lang w:eastAsia="en-CA"/>
        </w:rPr>
        <w:t xml:space="preserve">. </w:t>
      </w:r>
      <w:r>
        <w:rPr>
          <w:lang w:eastAsia="en-CA"/>
        </w:rPr>
        <w:t>S</w:t>
      </w:r>
      <w:r w:rsidR="00E71CB1" w:rsidRPr="00C058EC">
        <w:rPr>
          <w:lang w:eastAsia="en-CA"/>
        </w:rPr>
        <w:t xml:space="preserve">everal </w:t>
      </w:r>
      <w:r w:rsidR="00022A67" w:rsidRPr="00C058EC">
        <w:rPr>
          <w:lang w:eastAsia="en-CA"/>
        </w:rPr>
        <w:t xml:space="preserve">industries and communities </w:t>
      </w:r>
      <w:r w:rsidR="00022A67">
        <w:rPr>
          <w:lang w:eastAsia="en-CA"/>
        </w:rPr>
        <w:t>could be affected</w:t>
      </w:r>
      <w:r>
        <w:rPr>
          <w:lang w:eastAsia="en-CA"/>
        </w:rPr>
        <w:t>, and as such</w:t>
      </w:r>
      <w:r w:rsidR="00022A67">
        <w:rPr>
          <w:lang w:eastAsia="en-CA"/>
        </w:rPr>
        <w:t xml:space="preserve"> they </w:t>
      </w:r>
      <w:r w:rsidR="00E71CB1" w:rsidRPr="00C058EC">
        <w:rPr>
          <w:lang w:eastAsia="en-CA"/>
        </w:rPr>
        <w:t xml:space="preserve">will be engaged </w:t>
      </w:r>
      <w:r w:rsidR="00022A67">
        <w:rPr>
          <w:lang w:eastAsia="en-CA"/>
        </w:rPr>
        <w:t>to seek</w:t>
      </w:r>
      <w:r w:rsidR="00E71CB1" w:rsidRPr="00C058EC">
        <w:rPr>
          <w:lang w:eastAsia="en-CA"/>
        </w:rPr>
        <w:t xml:space="preserve"> potential solutions or </w:t>
      </w:r>
      <w:r w:rsidR="00022A67" w:rsidRPr="00C058EC">
        <w:rPr>
          <w:lang w:eastAsia="en-CA"/>
        </w:rPr>
        <w:t>alternatives</w:t>
      </w:r>
      <w:r w:rsidR="00E71CB1" w:rsidRPr="00C058EC">
        <w:rPr>
          <w:lang w:eastAsia="en-CA"/>
        </w:rPr>
        <w:t>.</w:t>
      </w:r>
    </w:p>
    <w:p w:rsidR="00022A67" w:rsidRPr="00C058EC" w:rsidRDefault="00022A67" w:rsidP="00022A67">
      <w:pPr>
        <w:spacing w:after="0" w:line="240" w:lineRule="auto"/>
        <w:rPr>
          <w:lang w:eastAsia="en-CA"/>
        </w:rPr>
      </w:pPr>
    </w:p>
    <w:p w:rsidR="00E71CB1" w:rsidRPr="00C058EC" w:rsidRDefault="004B121D" w:rsidP="00022A67">
      <w:pPr>
        <w:pStyle w:val="ListParagraph"/>
        <w:numPr>
          <w:ilvl w:val="0"/>
          <w:numId w:val="12"/>
        </w:numPr>
        <w:spacing w:after="0" w:line="240" w:lineRule="auto"/>
        <w:rPr>
          <w:lang w:eastAsia="en-CA"/>
        </w:rPr>
      </w:pPr>
      <w:r>
        <w:rPr>
          <w:lang w:eastAsia="en-CA"/>
        </w:rPr>
        <w:t>The analysis may consider activities that</w:t>
      </w:r>
      <w:r w:rsidR="00022A67">
        <w:rPr>
          <w:lang w:eastAsia="en-CA"/>
        </w:rPr>
        <w:t xml:space="preserve"> other</w:t>
      </w:r>
      <w:r w:rsidR="00022A67" w:rsidRPr="00C058EC">
        <w:rPr>
          <w:lang w:eastAsia="en-CA"/>
        </w:rPr>
        <w:t xml:space="preserve"> MPA</w:t>
      </w:r>
      <w:r w:rsidR="00022A67">
        <w:rPr>
          <w:lang w:eastAsia="en-CA"/>
        </w:rPr>
        <w:t>s</w:t>
      </w:r>
      <w:r w:rsidR="00022A67" w:rsidRPr="00C058EC">
        <w:rPr>
          <w:lang w:eastAsia="en-CA"/>
        </w:rPr>
        <w:t xml:space="preserve"> in</w:t>
      </w:r>
      <w:r w:rsidR="00022A67">
        <w:rPr>
          <w:lang w:eastAsia="en-CA"/>
        </w:rPr>
        <w:t xml:space="preserve"> Canada allowed. For example, MPAs in</w:t>
      </w:r>
      <w:r w:rsidR="00174970">
        <w:rPr>
          <w:lang w:eastAsia="en-CA"/>
        </w:rPr>
        <w:t xml:space="preserve"> Quebec/Gaspe </w:t>
      </w:r>
      <w:r w:rsidR="00E71CB1" w:rsidRPr="00C058EC">
        <w:rPr>
          <w:lang w:eastAsia="en-CA"/>
        </w:rPr>
        <w:t>allowed traps, long line or hand line fishing</w:t>
      </w:r>
      <w:r>
        <w:rPr>
          <w:lang w:eastAsia="en-CA"/>
        </w:rPr>
        <w:t>.</w:t>
      </w:r>
      <w:r w:rsidR="00022A67">
        <w:rPr>
          <w:lang w:eastAsia="en-CA"/>
        </w:rPr>
        <w:t xml:space="preserve"> Other MPAs have been established in Nova Scotia and other regions. Their successes and failures will be examined.</w:t>
      </w:r>
    </w:p>
    <w:p w:rsidR="00E71CB1" w:rsidRPr="00C058EC" w:rsidRDefault="00E71CB1" w:rsidP="00C058EC">
      <w:pPr>
        <w:spacing w:after="0" w:line="240" w:lineRule="auto"/>
        <w:rPr>
          <w:lang w:eastAsia="en-CA"/>
        </w:rPr>
      </w:pPr>
    </w:p>
    <w:p w:rsidR="00E71CB1" w:rsidRPr="00C058EC" w:rsidRDefault="00E71CB1" w:rsidP="00C058EC">
      <w:pPr>
        <w:spacing w:after="0" w:line="240" w:lineRule="auto"/>
        <w:rPr>
          <w:lang w:eastAsia="en-CA"/>
        </w:rPr>
      </w:pPr>
      <w:r w:rsidRPr="00C058EC">
        <w:rPr>
          <w:lang w:eastAsia="en-CA"/>
        </w:rPr>
        <w:t xml:space="preserve">The public will be consulted based on the above considerations. They would include </w:t>
      </w:r>
      <w:r w:rsidR="00764CF5">
        <w:rPr>
          <w:lang w:eastAsia="en-CA"/>
        </w:rPr>
        <w:t xml:space="preserve">Aboriginal </w:t>
      </w:r>
      <w:r w:rsidRPr="00C058EC">
        <w:rPr>
          <w:lang w:eastAsia="en-CA"/>
        </w:rPr>
        <w:t xml:space="preserve">groups, commercial and private fishers, related </w:t>
      </w:r>
      <w:r w:rsidR="00022A67" w:rsidRPr="00C058EC">
        <w:rPr>
          <w:lang w:eastAsia="en-CA"/>
        </w:rPr>
        <w:t>municipali</w:t>
      </w:r>
      <w:r w:rsidR="00174970">
        <w:rPr>
          <w:lang w:eastAsia="en-CA"/>
        </w:rPr>
        <w:t>ties</w:t>
      </w:r>
      <w:r w:rsidRPr="00C058EC">
        <w:rPr>
          <w:lang w:eastAsia="en-CA"/>
        </w:rPr>
        <w:t xml:space="preserve"> and other economic sectors</w:t>
      </w:r>
      <w:r w:rsidR="00274819">
        <w:rPr>
          <w:lang w:eastAsia="en-CA"/>
        </w:rPr>
        <w:t xml:space="preserve"> (e.g., </w:t>
      </w:r>
      <w:r w:rsidR="00174970">
        <w:rPr>
          <w:lang w:eastAsia="en-CA"/>
        </w:rPr>
        <w:t>oil and gas</w:t>
      </w:r>
      <w:proofErr w:type="gramStart"/>
      <w:r w:rsidR="00174970">
        <w:rPr>
          <w:lang w:eastAsia="en-CA"/>
        </w:rPr>
        <w:t>)</w:t>
      </w:r>
      <w:r w:rsidRPr="00C058EC">
        <w:rPr>
          <w:lang w:eastAsia="en-CA"/>
        </w:rPr>
        <w:t xml:space="preserve"> .</w:t>
      </w:r>
      <w:proofErr w:type="gramEnd"/>
      <w:r w:rsidRPr="00C058EC">
        <w:rPr>
          <w:rFonts w:cs="Arial"/>
          <w:color w:val="333333"/>
          <w:shd w:val="clear" w:color="auto" w:fill="FFFFFF"/>
        </w:rPr>
        <w:t xml:space="preserve"> As well</w:t>
      </w:r>
      <w:r w:rsidR="00022A67">
        <w:rPr>
          <w:rFonts w:cs="Arial"/>
          <w:color w:val="333333"/>
          <w:shd w:val="clear" w:color="auto" w:fill="FFFFFF"/>
        </w:rPr>
        <w:t>, affected</w:t>
      </w:r>
      <w:r w:rsidRPr="00C058EC">
        <w:rPr>
          <w:rFonts w:cs="Arial"/>
          <w:color w:val="333333"/>
          <w:shd w:val="clear" w:color="auto" w:fill="FFFFFF"/>
        </w:rPr>
        <w:t xml:space="preserve"> </w:t>
      </w:r>
      <w:r w:rsidR="00022A67">
        <w:rPr>
          <w:rFonts w:cs="Arial"/>
          <w:color w:val="333333"/>
          <w:shd w:val="clear" w:color="auto" w:fill="FFFFFF"/>
        </w:rPr>
        <w:t>communities</w:t>
      </w:r>
      <w:r w:rsidRPr="00C058EC">
        <w:rPr>
          <w:rFonts w:cs="Arial"/>
          <w:color w:val="333333"/>
          <w:shd w:val="clear" w:color="auto" w:fill="FFFFFF"/>
        </w:rPr>
        <w:t xml:space="preserve"> may include industry, academia, Environmental Non-Government Organizations, and provincial and federal government regulators</w:t>
      </w:r>
      <w:r w:rsidR="00174970">
        <w:rPr>
          <w:rFonts w:cs="Arial"/>
          <w:color w:val="333333"/>
          <w:shd w:val="clear" w:color="auto" w:fill="FFFFFF"/>
        </w:rPr>
        <w:t>.</w:t>
      </w:r>
    </w:p>
    <w:p w:rsidR="00E71CB1" w:rsidRPr="00C058EC" w:rsidRDefault="00E71CB1" w:rsidP="00C058EC">
      <w:pPr>
        <w:spacing w:after="0" w:line="240" w:lineRule="auto"/>
      </w:pPr>
    </w:p>
    <w:p w:rsidR="0050251B" w:rsidRPr="00C058EC" w:rsidRDefault="0050251B" w:rsidP="00C058EC">
      <w:pPr>
        <w:spacing w:after="0" w:line="240" w:lineRule="auto"/>
        <w:rPr>
          <w:b/>
          <w:lang w:eastAsia="en-CA"/>
        </w:rPr>
      </w:pPr>
    </w:p>
    <w:p w:rsidR="00022A67" w:rsidRDefault="00022A67">
      <w:pPr>
        <w:rPr>
          <w:b/>
        </w:rPr>
      </w:pPr>
      <w:r>
        <w:rPr>
          <w:b/>
        </w:rPr>
        <w:br w:type="page"/>
      </w:r>
    </w:p>
    <w:p w:rsidR="005B1D45" w:rsidRDefault="0050251B" w:rsidP="00C058EC">
      <w:pPr>
        <w:spacing w:after="0" w:line="240" w:lineRule="auto"/>
        <w:rPr>
          <w:b/>
        </w:rPr>
      </w:pPr>
      <w:r w:rsidRPr="00C058EC">
        <w:rPr>
          <w:b/>
        </w:rPr>
        <w:lastRenderedPageBreak/>
        <w:t>Q</w:t>
      </w:r>
      <w:r w:rsidR="005B1D45">
        <w:rPr>
          <w:b/>
        </w:rPr>
        <w:t xml:space="preserve">UESTION </w:t>
      </w:r>
      <w:r w:rsidRPr="00C058EC">
        <w:rPr>
          <w:b/>
        </w:rPr>
        <w:t xml:space="preserve">6 </w:t>
      </w:r>
    </w:p>
    <w:p w:rsidR="005B1D45" w:rsidRDefault="005B1D45" w:rsidP="00C058EC">
      <w:pPr>
        <w:spacing w:after="0" w:line="240" w:lineRule="auto"/>
        <w:rPr>
          <w:b/>
        </w:rPr>
      </w:pPr>
    </w:p>
    <w:p w:rsidR="0050251B" w:rsidRPr="00C058EC" w:rsidRDefault="00C227E3" w:rsidP="00C058EC">
      <w:pPr>
        <w:spacing w:after="0" w:line="240" w:lineRule="auto"/>
        <w:rPr>
          <w:rFonts w:cs="Arial"/>
          <w:b/>
        </w:rPr>
      </w:pPr>
      <w:r>
        <w:rPr>
          <w:rFonts w:cs="Arial"/>
          <w:b/>
        </w:rPr>
        <w:t>F</w:t>
      </w:r>
      <w:r w:rsidR="0050251B" w:rsidRPr="00C058EC">
        <w:rPr>
          <w:rFonts w:cs="Arial"/>
          <w:b/>
        </w:rPr>
        <w:t xml:space="preserve">actors </w:t>
      </w:r>
      <w:r w:rsidR="001A1EB0" w:rsidRPr="00C058EC">
        <w:rPr>
          <w:rFonts w:cs="Arial"/>
          <w:b/>
        </w:rPr>
        <w:t xml:space="preserve">to consider in </w:t>
      </w:r>
      <w:r w:rsidR="00D96C95" w:rsidRPr="00C058EC">
        <w:rPr>
          <w:rFonts w:cs="Arial"/>
          <w:b/>
        </w:rPr>
        <w:t>develop</w:t>
      </w:r>
      <w:r w:rsidR="001A1EB0" w:rsidRPr="00C058EC">
        <w:rPr>
          <w:rFonts w:cs="Arial"/>
          <w:b/>
        </w:rPr>
        <w:t>ing</w:t>
      </w:r>
      <w:r w:rsidR="00D96C95" w:rsidRPr="00C058EC">
        <w:rPr>
          <w:rFonts w:cs="Arial"/>
          <w:b/>
        </w:rPr>
        <w:t xml:space="preserve"> a regional policy to support the process around distribution of licences</w:t>
      </w:r>
      <w:r w:rsidR="001A1EB0" w:rsidRPr="00C058EC">
        <w:rPr>
          <w:rFonts w:cs="Arial"/>
          <w:b/>
        </w:rPr>
        <w:t xml:space="preserve"> (</w:t>
      </w:r>
      <w:r w:rsidR="00593DCE">
        <w:rPr>
          <w:rFonts w:cs="Arial"/>
          <w:b/>
        </w:rPr>
        <w:t>and</w:t>
      </w:r>
      <w:r w:rsidR="001A1EB0" w:rsidRPr="00C058EC">
        <w:rPr>
          <w:rFonts w:cs="Arial"/>
          <w:b/>
        </w:rPr>
        <w:t xml:space="preserve"> </w:t>
      </w:r>
      <w:r w:rsidR="0050251B" w:rsidRPr="00C058EC">
        <w:rPr>
          <w:rFonts w:cs="Arial"/>
          <w:b/>
        </w:rPr>
        <w:t>why they would be important</w:t>
      </w:r>
      <w:r w:rsidR="001A1EB0" w:rsidRPr="00C058EC">
        <w:rPr>
          <w:rFonts w:cs="Arial"/>
          <w:b/>
        </w:rPr>
        <w:t>)</w:t>
      </w:r>
    </w:p>
    <w:p w:rsidR="0050251B" w:rsidRPr="00C058EC" w:rsidRDefault="0050251B" w:rsidP="00C058EC">
      <w:pPr>
        <w:spacing w:after="0" w:line="240" w:lineRule="auto"/>
        <w:rPr>
          <w:rFonts w:cs="Arial"/>
        </w:rPr>
      </w:pPr>
    </w:p>
    <w:p w:rsidR="0050251B" w:rsidRPr="00C058EC" w:rsidRDefault="001A1EB0" w:rsidP="00C058EC">
      <w:pPr>
        <w:spacing w:after="0" w:line="240" w:lineRule="auto"/>
        <w:rPr>
          <w:rFonts w:cs="Arial"/>
          <w:lang w:eastAsia="en-CA"/>
        </w:rPr>
      </w:pPr>
      <w:r w:rsidRPr="00C058EC">
        <w:rPr>
          <w:lang w:eastAsia="en-CA"/>
        </w:rPr>
        <w:t xml:space="preserve">The overarching considerations </w:t>
      </w:r>
      <w:r w:rsidR="00593DCE">
        <w:rPr>
          <w:lang w:eastAsia="en-CA"/>
        </w:rPr>
        <w:t>may have to</w:t>
      </w:r>
      <w:r w:rsidRPr="00C058EC">
        <w:rPr>
          <w:lang w:eastAsia="en-CA"/>
        </w:rPr>
        <w:t xml:space="preserve"> be cognisant of traditional</w:t>
      </w:r>
      <w:r w:rsidR="0050251B" w:rsidRPr="00C058EC">
        <w:rPr>
          <w:lang w:eastAsia="en-CA"/>
        </w:rPr>
        <w:t xml:space="preserve"> </w:t>
      </w:r>
      <w:r w:rsidR="00DC505C">
        <w:rPr>
          <w:lang w:eastAsia="en-CA"/>
        </w:rPr>
        <w:t xml:space="preserve">Aboriginal </w:t>
      </w:r>
      <w:r w:rsidR="0050251B" w:rsidRPr="00C058EC">
        <w:rPr>
          <w:lang w:eastAsia="en-CA"/>
        </w:rPr>
        <w:t xml:space="preserve">knowledge, </w:t>
      </w:r>
      <w:r w:rsidR="00593DCE">
        <w:rPr>
          <w:lang w:eastAsia="en-CA"/>
        </w:rPr>
        <w:t xml:space="preserve">and </w:t>
      </w:r>
      <w:r w:rsidRPr="00C058EC">
        <w:rPr>
          <w:lang w:eastAsia="en-CA"/>
        </w:rPr>
        <w:t>the</w:t>
      </w:r>
      <w:r w:rsidR="00593DCE">
        <w:rPr>
          <w:lang w:eastAsia="en-CA"/>
        </w:rPr>
        <w:t>ir</w:t>
      </w:r>
      <w:r w:rsidRPr="00C058EC">
        <w:rPr>
          <w:lang w:eastAsia="en-CA"/>
        </w:rPr>
        <w:t xml:space="preserve"> need for a </w:t>
      </w:r>
      <w:r w:rsidR="0050251B" w:rsidRPr="00C058EC">
        <w:rPr>
          <w:lang w:eastAsia="en-CA"/>
        </w:rPr>
        <w:t>decision making role</w:t>
      </w:r>
      <w:r w:rsidR="00174970">
        <w:rPr>
          <w:lang w:eastAsia="en-CA"/>
        </w:rPr>
        <w:t>. Their</w:t>
      </w:r>
      <w:r w:rsidR="0050251B" w:rsidRPr="00C058EC">
        <w:rPr>
          <w:lang w:eastAsia="en-CA"/>
        </w:rPr>
        <w:t xml:space="preserve"> </w:t>
      </w:r>
      <w:r w:rsidR="00593DCE">
        <w:rPr>
          <w:lang w:eastAsia="en-CA"/>
        </w:rPr>
        <w:t xml:space="preserve">connections to resource </w:t>
      </w:r>
      <w:r w:rsidRPr="00C058EC">
        <w:rPr>
          <w:lang w:eastAsia="en-CA"/>
        </w:rPr>
        <w:t>stewardship</w:t>
      </w:r>
      <w:r w:rsidR="00174970">
        <w:rPr>
          <w:lang w:eastAsia="en-CA"/>
        </w:rPr>
        <w:t xml:space="preserve"> will also be considered</w:t>
      </w:r>
      <w:r w:rsidR="0050251B" w:rsidRPr="00C058EC">
        <w:rPr>
          <w:lang w:eastAsia="en-CA"/>
        </w:rPr>
        <w:t xml:space="preserve">. Key considerations </w:t>
      </w:r>
      <w:r w:rsidRPr="00C058EC">
        <w:rPr>
          <w:lang w:eastAsia="en-CA"/>
        </w:rPr>
        <w:t>would also recognize</w:t>
      </w:r>
      <w:r w:rsidR="0050251B" w:rsidRPr="00C058EC">
        <w:rPr>
          <w:rFonts w:cs="Arial"/>
          <w:color w:val="333333"/>
          <w:shd w:val="clear" w:color="auto" w:fill="FFFFFF"/>
        </w:rPr>
        <w:t xml:space="preserve"> </w:t>
      </w:r>
      <w:r w:rsidR="00DC505C">
        <w:rPr>
          <w:lang w:eastAsia="en-CA"/>
        </w:rPr>
        <w:t xml:space="preserve">Aboriginal </w:t>
      </w:r>
      <w:r w:rsidR="0050251B" w:rsidRPr="00C058EC">
        <w:rPr>
          <w:rFonts w:cs="Arial"/>
          <w:color w:val="333333"/>
          <w:shd w:val="clear" w:color="auto" w:fill="FFFFFF"/>
        </w:rPr>
        <w:t>rights, respect, cooperation, and partnership.</w:t>
      </w:r>
      <w:r w:rsidR="0050251B" w:rsidRPr="00C058EC">
        <w:rPr>
          <w:lang w:eastAsia="en-CA"/>
        </w:rPr>
        <w:t xml:space="preserve"> </w:t>
      </w:r>
      <w:r w:rsidRPr="00C058EC">
        <w:rPr>
          <w:lang w:eastAsia="en-CA"/>
        </w:rPr>
        <w:t>More specifically the following factor</w:t>
      </w:r>
      <w:r w:rsidR="00593DCE">
        <w:rPr>
          <w:lang w:eastAsia="en-CA"/>
        </w:rPr>
        <w:t>s would be included</w:t>
      </w:r>
      <w:r w:rsidR="00C227E3">
        <w:rPr>
          <w:lang w:eastAsia="en-CA"/>
        </w:rPr>
        <w:t xml:space="preserve"> in the policy process</w:t>
      </w:r>
      <w:r w:rsidR="0050251B" w:rsidRPr="00C058EC">
        <w:rPr>
          <w:lang w:eastAsia="en-CA"/>
        </w:rPr>
        <w:t>:</w:t>
      </w:r>
    </w:p>
    <w:p w:rsidR="00593DCE" w:rsidRDefault="0050251B" w:rsidP="00C058EC">
      <w:pPr>
        <w:pStyle w:val="ListParagraph"/>
        <w:numPr>
          <w:ilvl w:val="0"/>
          <w:numId w:val="13"/>
        </w:numPr>
        <w:spacing w:after="0" w:line="240" w:lineRule="auto"/>
        <w:rPr>
          <w:rFonts w:cs="Arial"/>
          <w:color w:val="333333"/>
          <w:shd w:val="clear" w:color="auto" w:fill="FFFFFF"/>
        </w:rPr>
      </w:pPr>
      <w:r w:rsidRPr="00C058EC">
        <w:rPr>
          <w:lang w:eastAsia="en-CA"/>
        </w:rPr>
        <w:t>Cultural significance</w:t>
      </w:r>
      <w:r w:rsidR="001A1EB0" w:rsidRPr="00C058EC">
        <w:rPr>
          <w:lang w:eastAsia="en-CA"/>
        </w:rPr>
        <w:t xml:space="preserve"> will be a consideration</w:t>
      </w:r>
      <w:r w:rsidRPr="00C058EC">
        <w:rPr>
          <w:lang w:eastAsia="en-CA"/>
        </w:rPr>
        <w:t xml:space="preserve">. </w:t>
      </w:r>
      <w:r w:rsidR="001A1EB0" w:rsidRPr="00C058EC">
        <w:rPr>
          <w:lang w:eastAsia="en-CA"/>
        </w:rPr>
        <w:t xml:space="preserve">As an </w:t>
      </w:r>
      <w:r w:rsidRPr="00C058EC">
        <w:rPr>
          <w:lang w:eastAsia="en-CA"/>
        </w:rPr>
        <w:t>example</w:t>
      </w:r>
      <w:r w:rsidR="001A1EB0" w:rsidRPr="00C058EC">
        <w:rPr>
          <w:lang w:eastAsia="en-CA"/>
        </w:rPr>
        <w:t xml:space="preserve">, </w:t>
      </w:r>
      <w:r w:rsidR="00DC505C">
        <w:rPr>
          <w:lang w:eastAsia="en-CA"/>
        </w:rPr>
        <w:t xml:space="preserve">Aboriginal </w:t>
      </w:r>
      <w:r w:rsidR="001A1EB0" w:rsidRPr="00C058EC">
        <w:rPr>
          <w:lang w:eastAsia="en-CA"/>
        </w:rPr>
        <w:t xml:space="preserve">communities </w:t>
      </w:r>
      <w:r w:rsidRPr="00593DCE">
        <w:rPr>
          <w:rFonts w:cs="Arial"/>
          <w:color w:val="333333"/>
          <w:shd w:val="clear" w:color="auto" w:fill="FFFFFF"/>
        </w:rPr>
        <w:t xml:space="preserve">along the migratory route of Fraser salmon have a </w:t>
      </w:r>
      <w:r w:rsidR="00174970" w:rsidRPr="00593DCE">
        <w:rPr>
          <w:rFonts w:cs="Arial"/>
          <w:color w:val="333333"/>
          <w:shd w:val="clear" w:color="auto" w:fill="FFFFFF"/>
        </w:rPr>
        <w:t>long-standing</w:t>
      </w:r>
      <w:r w:rsidRPr="00593DCE">
        <w:rPr>
          <w:rFonts w:cs="Arial"/>
          <w:color w:val="333333"/>
          <w:shd w:val="clear" w:color="auto" w:fill="FFFFFF"/>
        </w:rPr>
        <w:t xml:space="preserve"> relationship with the salmon. </w:t>
      </w:r>
      <w:r w:rsidR="001A1EB0" w:rsidRPr="00593DCE">
        <w:rPr>
          <w:rFonts w:cs="Arial"/>
          <w:color w:val="333333"/>
          <w:shd w:val="clear" w:color="auto" w:fill="FFFFFF"/>
        </w:rPr>
        <w:t xml:space="preserve">As well, </w:t>
      </w:r>
      <w:r w:rsidR="00174970">
        <w:rPr>
          <w:rFonts w:cs="Arial"/>
          <w:color w:val="333333"/>
          <w:shd w:val="clear" w:color="auto" w:fill="FFFFFF"/>
        </w:rPr>
        <w:t>C</w:t>
      </w:r>
      <w:r w:rsidR="001A1EB0" w:rsidRPr="00593DCE">
        <w:rPr>
          <w:rFonts w:cs="Arial"/>
          <w:color w:val="333333"/>
          <w:shd w:val="clear" w:color="auto" w:fill="FFFFFF"/>
        </w:rPr>
        <w:t xml:space="preserve">hinook are an important species for many </w:t>
      </w:r>
      <w:r w:rsidR="00593DCE">
        <w:rPr>
          <w:rFonts w:cs="Arial"/>
          <w:color w:val="333333"/>
          <w:shd w:val="clear" w:color="auto" w:fill="FFFFFF"/>
        </w:rPr>
        <w:t>BC</w:t>
      </w:r>
      <w:r w:rsidR="001A1EB0" w:rsidRPr="00593DCE">
        <w:rPr>
          <w:rFonts w:cs="Arial"/>
          <w:color w:val="333333"/>
          <w:shd w:val="clear" w:color="auto" w:fill="FFFFFF"/>
        </w:rPr>
        <w:t xml:space="preserve"> First Nations. </w:t>
      </w:r>
      <w:r w:rsidRPr="00593DCE">
        <w:rPr>
          <w:rFonts w:cs="Arial"/>
          <w:color w:val="333333"/>
          <w:shd w:val="clear" w:color="auto" w:fill="FFFFFF"/>
        </w:rPr>
        <w:t>Their conservation will be a high priority in the policy</w:t>
      </w:r>
      <w:r w:rsidR="001A1EB0" w:rsidRPr="00593DCE">
        <w:rPr>
          <w:rFonts w:cs="Arial"/>
          <w:color w:val="333333"/>
          <w:shd w:val="clear" w:color="auto" w:fill="FFFFFF"/>
        </w:rPr>
        <w:t xml:space="preserve"> process</w:t>
      </w:r>
      <w:r w:rsidRPr="00593DCE">
        <w:rPr>
          <w:rFonts w:cs="Arial"/>
          <w:color w:val="333333"/>
          <w:shd w:val="clear" w:color="auto" w:fill="FFFFFF"/>
        </w:rPr>
        <w:t xml:space="preserve">. </w:t>
      </w:r>
    </w:p>
    <w:p w:rsidR="001A1EB0" w:rsidRPr="00593DCE" w:rsidRDefault="001A1EB0" w:rsidP="00C058EC">
      <w:pPr>
        <w:pStyle w:val="ListParagraph"/>
        <w:numPr>
          <w:ilvl w:val="0"/>
          <w:numId w:val="13"/>
        </w:numPr>
        <w:spacing w:after="0" w:line="240" w:lineRule="auto"/>
        <w:rPr>
          <w:rFonts w:cs="Arial"/>
          <w:color w:val="333333"/>
          <w:shd w:val="clear" w:color="auto" w:fill="FFFFFF"/>
        </w:rPr>
      </w:pPr>
      <w:r w:rsidRPr="00593DCE">
        <w:rPr>
          <w:rFonts w:cs="Arial"/>
          <w:color w:val="333333"/>
          <w:shd w:val="clear" w:color="auto" w:fill="FFFFFF"/>
        </w:rPr>
        <w:t xml:space="preserve">Stewardship has been </w:t>
      </w:r>
      <w:r w:rsidR="00593DCE">
        <w:rPr>
          <w:rFonts w:cs="Arial"/>
          <w:color w:val="333333"/>
          <w:shd w:val="clear" w:color="auto" w:fill="FFFFFF"/>
        </w:rPr>
        <w:t>embedded with</w:t>
      </w:r>
      <w:r w:rsidR="0050251B" w:rsidRPr="00593DCE">
        <w:rPr>
          <w:rFonts w:cs="Arial"/>
          <w:color w:val="333333"/>
          <w:shd w:val="clear" w:color="auto" w:fill="FFFFFF"/>
        </w:rPr>
        <w:t xml:space="preserve"> </w:t>
      </w:r>
      <w:r w:rsidR="00DC505C">
        <w:rPr>
          <w:lang w:eastAsia="en-CA"/>
        </w:rPr>
        <w:t xml:space="preserve">Aboriginal </w:t>
      </w:r>
      <w:r w:rsidR="0050251B" w:rsidRPr="00593DCE">
        <w:rPr>
          <w:rFonts w:cs="Arial"/>
          <w:color w:val="333333"/>
          <w:shd w:val="clear" w:color="auto" w:fill="FFFFFF"/>
        </w:rPr>
        <w:t xml:space="preserve">people </w:t>
      </w:r>
      <w:r w:rsidR="00174970">
        <w:rPr>
          <w:rFonts w:cs="Arial"/>
          <w:color w:val="333333"/>
          <w:shd w:val="clear" w:color="auto" w:fill="FFFFFF"/>
        </w:rPr>
        <w:t>f</w:t>
      </w:r>
      <w:r w:rsidRPr="00593DCE">
        <w:rPr>
          <w:rFonts w:cs="Arial"/>
          <w:color w:val="333333"/>
          <w:shd w:val="clear" w:color="auto" w:fill="FFFFFF"/>
        </w:rPr>
        <w:t xml:space="preserve">or millennia. They </w:t>
      </w:r>
      <w:r w:rsidR="0050251B" w:rsidRPr="00593DCE">
        <w:rPr>
          <w:rFonts w:cs="Arial"/>
          <w:color w:val="333333"/>
          <w:shd w:val="clear" w:color="auto" w:fill="FFFFFF"/>
        </w:rPr>
        <w:t>have been stewards of the land and water</w:t>
      </w:r>
      <w:r w:rsidRPr="00593DCE">
        <w:rPr>
          <w:rFonts w:cs="Arial"/>
          <w:color w:val="333333"/>
          <w:shd w:val="clear" w:color="auto" w:fill="FFFFFF"/>
        </w:rPr>
        <w:t>. The policy development process will</w:t>
      </w:r>
      <w:r w:rsidR="0050251B" w:rsidRPr="00593DCE">
        <w:rPr>
          <w:rFonts w:cs="Arial"/>
          <w:color w:val="333333"/>
          <w:shd w:val="clear" w:color="auto" w:fill="FFFFFF"/>
        </w:rPr>
        <w:t xml:space="preserve"> </w:t>
      </w:r>
      <w:r w:rsidRPr="00593DCE">
        <w:rPr>
          <w:rFonts w:cs="Arial"/>
          <w:color w:val="333333"/>
          <w:shd w:val="clear" w:color="auto" w:fill="FFFFFF"/>
        </w:rPr>
        <w:t xml:space="preserve">pay homage to this fact and will be </w:t>
      </w:r>
      <w:r w:rsidR="0050251B" w:rsidRPr="00593DCE">
        <w:rPr>
          <w:rFonts w:cs="Arial"/>
          <w:color w:val="333333"/>
          <w:shd w:val="clear" w:color="auto" w:fill="FFFFFF"/>
        </w:rPr>
        <w:t xml:space="preserve">guided by </w:t>
      </w:r>
      <w:r w:rsidR="00DC505C">
        <w:rPr>
          <w:lang w:eastAsia="en-CA"/>
        </w:rPr>
        <w:t xml:space="preserve">Aboriginal </w:t>
      </w:r>
      <w:r w:rsidRPr="00593DCE">
        <w:rPr>
          <w:rFonts w:cs="Arial"/>
          <w:color w:val="333333"/>
          <w:shd w:val="clear" w:color="auto" w:fill="FFFFFF"/>
        </w:rPr>
        <w:t xml:space="preserve">peoples’ </w:t>
      </w:r>
      <w:r w:rsidR="0050251B" w:rsidRPr="00593DCE">
        <w:rPr>
          <w:rFonts w:cs="Arial"/>
          <w:color w:val="333333"/>
          <w:shd w:val="clear" w:color="auto" w:fill="FFFFFF"/>
        </w:rPr>
        <w:t>knowledge</w:t>
      </w:r>
      <w:r w:rsidRPr="00593DCE">
        <w:rPr>
          <w:rFonts w:cs="Arial"/>
          <w:color w:val="333333"/>
          <w:shd w:val="clear" w:color="auto" w:fill="FFFFFF"/>
        </w:rPr>
        <w:t xml:space="preserve">.  This </w:t>
      </w:r>
      <w:r w:rsidR="00174970">
        <w:rPr>
          <w:rFonts w:cs="Arial"/>
          <w:color w:val="333333"/>
          <w:shd w:val="clear" w:color="auto" w:fill="FFFFFF"/>
        </w:rPr>
        <w:t xml:space="preserve">fact implies the need to develop </w:t>
      </w:r>
      <w:r w:rsidRPr="00593DCE">
        <w:rPr>
          <w:rFonts w:cs="Arial"/>
          <w:color w:val="333333"/>
          <w:shd w:val="clear" w:color="auto" w:fill="FFFFFF"/>
        </w:rPr>
        <w:t xml:space="preserve">programs alongside </w:t>
      </w:r>
      <w:r w:rsidR="00DC505C">
        <w:rPr>
          <w:lang w:eastAsia="en-CA"/>
        </w:rPr>
        <w:t xml:space="preserve">Aboriginal </w:t>
      </w:r>
      <w:r w:rsidRPr="00593DCE">
        <w:rPr>
          <w:rFonts w:cs="Arial"/>
          <w:color w:val="333333"/>
          <w:shd w:val="clear" w:color="auto" w:fill="FFFFFF"/>
        </w:rPr>
        <w:t>people who best understand the stewardship function.</w:t>
      </w:r>
    </w:p>
    <w:p w:rsidR="001A1EB0" w:rsidRPr="00593DCE" w:rsidRDefault="001A1EB0" w:rsidP="00593DCE">
      <w:pPr>
        <w:pStyle w:val="ListParagraph"/>
        <w:numPr>
          <w:ilvl w:val="0"/>
          <w:numId w:val="13"/>
        </w:numPr>
        <w:spacing w:after="0" w:line="240" w:lineRule="auto"/>
        <w:rPr>
          <w:rFonts w:cs="Arial"/>
          <w:color w:val="333333"/>
          <w:shd w:val="clear" w:color="auto" w:fill="FFFFFF"/>
        </w:rPr>
      </w:pPr>
      <w:r w:rsidRPr="00593DCE">
        <w:rPr>
          <w:rFonts w:cs="Arial"/>
          <w:color w:val="333333"/>
          <w:shd w:val="clear" w:color="auto" w:fill="FFFFFF"/>
        </w:rPr>
        <w:t xml:space="preserve">The need for </w:t>
      </w:r>
      <w:r w:rsidR="00593DCE">
        <w:rPr>
          <w:rFonts w:cs="Arial"/>
          <w:color w:val="333333"/>
          <w:shd w:val="clear" w:color="auto" w:fill="FFFFFF"/>
        </w:rPr>
        <w:t xml:space="preserve">an </w:t>
      </w:r>
      <w:r w:rsidR="00DC505C">
        <w:rPr>
          <w:lang w:eastAsia="en-CA"/>
        </w:rPr>
        <w:t xml:space="preserve">Aboriginal </w:t>
      </w:r>
      <w:r w:rsidRPr="00593DCE">
        <w:rPr>
          <w:rFonts w:cs="Arial"/>
          <w:color w:val="333333"/>
          <w:shd w:val="clear" w:color="auto" w:fill="FFFFFF"/>
        </w:rPr>
        <w:t xml:space="preserve">decision making role is vital. This </w:t>
      </w:r>
      <w:r w:rsidR="00174970">
        <w:rPr>
          <w:rFonts w:cs="Arial"/>
          <w:color w:val="333333"/>
          <w:shd w:val="clear" w:color="auto" w:fill="FFFFFF"/>
        </w:rPr>
        <w:t>implies a</w:t>
      </w:r>
      <w:r w:rsidRPr="00593DCE">
        <w:rPr>
          <w:rFonts w:cs="Arial"/>
          <w:color w:val="333333"/>
          <w:shd w:val="clear" w:color="auto" w:fill="FFFFFF"/>
        </w:rPr>
        <w:t xml:space="preserve"> need to include </w:t>
      </w:r>
      <w:r w:rsidR="00DC505C">
        <w:rPr>
          <w:rFonts w:cs="Arial"/>
          <w:color w:val="333333"/>
          <w:shd w:val="clear" w:color="auto" w:fill="FFFFFF"/>
        </w:rPr>
        <w:t>First Nations</w:t>
      </w:r>
      <w:r w:rsidRPr="00593DCE">
        <w:rPr>
          <w:rFonts w:cs="Arial"/>
          <w:color w:val="333333"/>
          <w:shd w:val="clear" w:color="auto" w:fill="FFFFFF"/>
        </w:rPr>
        <w:t xml:space="preserve"> people </w:t>
      </w:r>
      <w:r w:rsidR="00593DCE">
        <w:rPr>
          <w:rFonts w:cs="Arial"/>
          <w:color w:val="333333"/>
          <w:shd w:val="clear" w:color="auto" w:fill="FFFFFF"/>
        </w:rPr>
        <w:t>who</w:t>
      </w:r>
      <w:r w:rsidRPr="00593DCE">
        <w:rPr>
          <w:rFonts w:cs="Arial"/>
          <w:color w:val="333333"/>
          <w:shd w:val="clear" w:color="auto" w:fill="FFFFFF"/>
        </w:rPr>
        <w:t xml:space="preserve"> best understand what is required to build capacity within their communities and institutions. They will be involved in co-developing and co-delivering programs. </w:t>
      </w:r>
    </w:p>
    <w:p w:rsidR="001A1EB0" w:rsidRPr="00C058EC" w:rsidRDefault="001A1EB0" w:rsidP="00C058EC">
      <w:pPr>
        <w:spacing w:after="0" w:line="240" w:lineRule="auto"/>
        <w:rPr>
          <w:rFonts w:cs="Arial"/>
          <w:color w:val="333333"/>
          <w:shd w:val="clear" w:color="auto" w:fill="FFFFFF"/>
        </w:rPr>
      </w:pPr>
    </w:p>
    <w:p w:rsidR="0050251B" w:rsidRPr="00C058EC" w:rsidRDefault="00593DCE" w:rsidP="00C058EC">
      <w:pPr>
        <w:spacing w:after="0" w:line="240" w:lineRule="auto"/>
        <w:rPr>
          <w:lang w:eastAsia="en-CA"/>
        </w:rPr>
      </w:pPr>
      <w:r>
        <w:rPr>
          <w:rFonts w:cs="Arial"/>
          <w:color w:val="333333"/>
          <w:shd w:val="clear" w:color="auto" w:fill="FFFFFF"/>
        </w:rPr>
        <w:t>The intent of e</w:t>
      </w:r>
      <w:r w:rsidR="0050251B" w:rsidRPr="00C058EC">
        <w:rPr>
          <w:rFonts w:cs="Arial"/>
          <w:color w:val="333333"/>
          <w:shd w:val="clear" w:color="auto" w:fill="FFFFFF"/>
        </w:rPr>
        <w:t>stablishing a collaborative governance structure</w:t>
      </w:r>
      <w:r w:rsidR="00174970">
        <w:rPr>
          <w:rFonts w:cs="Arial"/>
          <w:color w:val="333333"/>
          <w:shd w:val="clear" w:color="auto" w:fill="FFFFFF"/>
        </w:rPr>
        <w:t xml:space="preserve"> is to </w:t>
      </w:r>
      <w:r w:rsidR="001A1EB0" w:rsidRPr="00C058EC">
        <w:rPr>
          <w:rFonts w:cs="Arial"/>
          <w:color w:val="333333"/>
          <w:shd w:val="clear" w:color="auto" w:fill="FFFFFF"/>
        </w:rPr>
        <w:t>i</w:t>
      </w:r>
      <w:r w:rsidR="0050251B" w:rsidRPr="00C058EC">
        <w:rPr>
          <w:rFonts w:cs="Arial"/>
          <w:color w:val="333333"/>
          <w:shd w:val="clear" w:color="auto" w:fill="FFFFFF"/>
        </w:rPr>
        <w:t>ncreas</w:t>
      </w:r>
      <w:r w:rsidR="00174970">
        <w:rPr>
          <w:rFonts w:cs="Arial"/>
          <w:color w:val="333333"/>
          <w:shd w:val="clear" w:color="auto" w:fill="FFFFFF"/>
        </w:rPr>
        <w:t xml:space="preserve">e </w:t>
      </w:r>
      <w:r w:rsidR="0050251B" w:rsidRPr="00C058EC">
        <w:rPr>
          <w:rFonts w:cs="Arial"/>
          <w:color w:val="333333"/>
          <w:shd w:val="clear" w:color="auto" w:fill="FFFFFF"/>
        </w:rPr>
        <w:t xml:space="preserve">participation of </w:t>
      </w:r>
      <w:r w:rsidR="00DC505C">
        <w:rPr>
          <w:lang w:eastAsia="en-CA"/>
        </w:rPr>
        <w:t xml:space="preserve">Aboriginal </w:t>
      </w:r>
      <w:r w:rsidR="0050251B" w:rsidRPr="00C058EC">
        <w:rPr>
          <w:rFonts w:cs="Arial"/>
          <w:color w:val="333333"/>
          <w:shd w:val="clear" w:color="auto" w:fill="FFFFFF"/>
        </w:rPr>
        <w:t xml:space="preserve">peoples in the </w:t>
      </w:r>
      <w:r w:rsidR="001A1EB0" w:rsidRPr="00C058EC">
        <w:rPr>
          <w:rFonts w:cs="Arial"/>
          <w:color w:val="333333"/>
          <w:shd w:val="clear" w:color="auto" w:fill="FFFFFF"/>
        </w:rPr>
        <w:t xml:space="preserve">policy process regarding </w:t>
      </w:r>
      <w:r w:rsidR="0050251B" w:rsidRPr="00C058EC">
        <w:rPr>
          <w:rFonts w:cs="Arial"/>
          <w:color w:val="333333"/>
          <w:shd w:val="clear" w:color="auto" w:fill="FFFFFF"/>
        </w:rPr>
        <w:t>allocation of licenses</w:t>
      </w:r>
      <w:r w:rsidR="001A1EB0" w:rsidRPr="00C058EC">
        <w:rPr>
          <w:rFonts w:cs="Arial"/>
          <w:color w:val="333333"/>
          <w:shd w:val="clear" w:color="auto" w:fill="FFFFFF"/>
        </w:rPr>
        <w:t>.</w:t>
      </w:r>
    </w:p>
    <w:p w:rsidR="0050251B" w:rsidRPr="00C058EC" w:rsidRDefault="0050251B" w:rsidP="00C058EC">
      <w:pPr>
        <w:spacing w:after="0" w:line="240" w:lineRule="auto"/>
      </w:pPr>
    </w:p>
    <w:sectPr w:rsidR="0050251B" w:rsidRPr="00C058EC"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56D" w:rsidRDefault="00D8056D" w:rsidP="00D96C95">
      <w:pPr>
        <w:spacing w:after="0" w:line="240" w:lineRule="auto"/>
      </w:pPr>
      <w:r>
        <w:separator/>
      </w:r>
    </w:p>
  </w:endnote>
  <w:endnote w:type="continuationSeparator" w:id="0">
    <w:p w:rsidR="00D8056D" w:rsidRDefault="00D8056D" w:rsidP="00D96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411" w:rsidRDefault="00451411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5" name="MSIPCMea3841959137c2a8ad1cd3a3" descr="{&quot;HashCode&quot;:-154267878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51411" w:rsidRPr="00D96C95" w:rsidRDefault="00451411" w:rsidP="00D96C95">
                          <w:pPr>
                            <w:spacing w:after="0"/>
                            <w:rPr>
                              <w:rFonts w:ascii="Calibri" w:hAnsi="Calibri"/>
                              <w:color w:val="000000"/>
                            </w:rPr>
                          </w:pPr>
                          <w:r w:rsidRPr="00D96C95">
                            <w:rPr>
                              <w:rFonts w:ascii="Calibri" w:hAnsi="Calibri"/>
                              <w:color w:val="000000"/>
                            </w:rPr>
                            <w:t>Classification: Protected 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a3841959137c2a8ad1cd3a3" o:spid="_x0000_s1026" type="#_x0000_t202" alt="{&quot;HashCode&quot;:-1542678785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" o:allowincell="f" filled="f" stroked="f" strokeweight=".5pt">
              <v:textbox inset="20pt,0,,0">
                <w:txbxContent>
                  <w:p w:rsidR="00451411" w:rsidRPr="00D96C95" w:rsidRDefault="00451411" w:rsidP="00D96C95">
                    <w:pPr>
                      <w:spacing w:after="0"/>
                      <w:rPr>
                        <w:rFonts w:ascii="Calibri" w:hAnsi="Calibri"/>
                        <w:color w:val="000000"/>
                      </w:rPr>
                    </w:pPr>
                    <w:r w:rsidRPr="00D96C95">
                      <w:rPr>
                        <w:rFonts w:ascii="Calibri" w:hAnsi="Calibri"/>
                        <w:color w:val="000000"/>
                      </w:rPr>
                      <w:t>Classification: Protected 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56D" w:rsidRDefault="00D8056D" w:rsidP="00D96C95">
      <w:pPr>
        <w:spacing w:after="0" w:line="240" w:lineRule="auto"/>
      </w:pPr>
      <w:r>
        <w:separator/>
      </w:r>
    </w:p>
  </w:footnote>
  <w:footnote w:type="continuationSeparator" w:id="0">
    <w:p w:rsidR="00D8056D" w:rsidRDefault="00D8056D" w:rsidP="00D96C95">
      <w:pPr>
        <w:spacing w:after="0" w:line="240" w:lineRule="auto"/>
      </w:pPr>
      <w:r>
        <w:continuationSeparator/>
      </w:r>
    </w:p>
  </w:footnote>
  <w:footnote w:id="1">
    <w:p w:rsidR="004C7EFF" w:rsidRDefault="004C7EFF">
      <w:pPr>
        <w:pStyle w:val="FootnoteText"/>
      </w:pPr>
      <w:r>
        <w:rPr>
          <w:rStyle w:val="FootnoteReference"/>
        </w:rPr>
        <w:footnoteRef/>
      </w:r>
      <w:r>
        <w:t xml:space="preserve"> Stage 2016. The economics of the Swedish ITQ system</w:t>
      </w:r>
    </w:p>
  </w:footnote>
  <w:footnote w:id="2">
    <w:p w:rsidR="0002636A" w:rsidRDefault="0002636A">
      <w:pPr>
        <w:pStyle w:val="FootnoteText"/>
      </w:pPr>
      <w:r>
        <w:rPr>
          <w:rStyle w:val="FootnoteReference"/>
        </w:rPr>
        <w:footnoteRef/>
      </w:r>
      <w:r>
        <w:t xml:space="preserve"> Eugene 1995. ITQs in fisheries management</w:t>
      </w:r>
    </w:p>
  </w:footnote>
  <w:footnote w:id="3">
    <w:p w:rsidR="0002636A" w:rsidRDefault="0002636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Dewees</w:t>
      </w:r>
      <w:proofErr w:type="spellEnd"/>
      <w:r>
        <w:t xml:space="preserve"> 1989. Assessment of implementation of ITQs in New Zealand</w:t>
      </w:r>
    </w:p>
  </w:footnote>
  <w:footnote w:id="4">
    <w:p w:rsidR="00381E3F" w:rsidRDefault="00381E3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Soliman</w:t>
      </w:r>
      <w:proofErr w:type="spellEnd"/>
      <w:r>
        <w:t xml:space="preserve"> 2020. Impact of ITQs on Canadian Sablefish Fisheries. UBC</w:t>
      </w:r>
    </w:p>
  </w:footnote>
  <w:footnote w:id="5">
    <w:p w:rsidR="00381E3F" w:rsidRDefault="00381E3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4225A">
        <w:rPr>
          <w:rFonts w:cs="Arial"/>
          <w:color w:val="333333"/>
          <w:shd w:val="clear" w:color="auto" w:fill="FFFFFF"/>
        </w:rPr>
        <w:t>Hoshino et al, 2020. ITQ in achieving multiple objectives</w:t>
      </w:r>
    </w:p>
  </w:footnote>
  <w:footnote w:id="6">
    <w:p w:rsidR="00DF21E6" w:rsidRDefault="00DF21E6">
      <w:pPr>
        <w:pStyle w:val="FootnoteText"/>
      </w:pPr>
      <w:r>
        <w:rPr>
          <w:rStyle w:val="FootnoteReference"/>
        </w:rPr>
        <w:footnoteRef/>
      </w:r>
      <w:r>
        <w:t xml:space="preserve"> Stage 2016. Ibid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31EC8"/>
    <w:multiLevelType w:val="hybridMultilevel"/>
    <w:tmpl w:val="4F200F68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" w15:restartNumberingAfterBreak="0">
    <w:nsid w:val="17FF41E4"/>
    <w:multiLevelType w:val="hybridMultilevel"/>
    <w:tmpl w:val="1B9A6DC0"/>
    <w:lvl w:ilvl="0" w:tplc="137E170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D7E94"/>
    <w:multiLevelType w:val="hybridMultilevel"/>
    <w:tmpl w:val="9C0A9F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F479AD"/>
    <w:multiLevelType w:val="hybridMultilevel"/>
    <w:tmpl w:val="51466C26"/>
    <w:lvl w:ilvl="0" w:tplc="109A6A42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C4E5D"/>
    <w:multiLevelType w:val="hybridMultilevel"/>
    <w:tmpl w:val="34D2B76A"/>
    <w:lvl w:ilvl="0" w:tplc="137E170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064BA"/>
    <w:multiLevelType w:val="hybridMultilevel"/>
    <w:tmpl w:val="F75E81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D57534"/>
    <w:multiLevelType w:val="hybridMultilevel"/>
    <w:tmpl w:val="3342C920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7" w15:restartNumberingAfterBreak="0">
    <w:nsid w:val="427D6FB5"/>
    <w:multiLevelType w:val="hybridMultilevel"/>
    <w:tmpl w:val="864EE8E8"/>
    <w:lvl w:ilvl="0" w:tplc="C54209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823D31"/>
    <w:multiLevelType w:val="hybridMultilevel"/>
    <w:tmpl w:val="5E52DF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2238AF"/>
    <w:multiLevelType w:val="hybridMultilevel"/>
    <w:tmpl w:val="E5C6663A"/>
    <w:lvl w:ilvl="0" w:tplc="137E170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579F4179"/>
    <w:multiLevelType w:val="hybridMultilevel"/>
    <w:tmpl w:val="A674623A"/>
    <w:lvl w:ilvl="0" w:tplc="109A6A42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C51D29"/>
    <w:multiLevelType w:val="hybridMultilevel"/>
    <w:tmpl w:val="2FF67444"/>
    <w:lvl w:ilvl="0" w:tplc="04090017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835B8"/>
    <w:multiLevelType w:val="hybridMultilevel"/>
    <w:tmpl w:val="3FEA7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6F5431"/>
    <w:multiLevelType w:val="hybridMultilevel"/>
    <w:tmpl w:val="316C7DB6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4" w15:restartNumberingAfterBreak="0">
    <w:nsid w:val="6A645D2E"/>
    <w:multiLevelType w:val="hybridMultilevel"/>
    <w:tmpl w:val="D222D9EA"/>
    <w:lvl w:ilvl="0" w:tplc="FE26AA88">
      <w:start w:val="1"/>
      <w:numFmt w:val="lowerLetter"/>
      <w:lvlText w:val="%1)"/>
      <w:lvlJc w:val="left"/>
      <w:pPr>
        <w:ind w:left="56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82" w:hanging="360"/>
      </w:pPr>
    </w:lvl>
    <w:lvl w:ilvl="2" w:tplc="1009001B" w:tentative="1">
      <w:start w:val="1"/>
      <w:numFmt w:val="lowerRoman"/>
      <w:lvlText w:val="%3."/>
      <w:lvlJc w:val="right"/>
      <w:pPr>
        <w:ind w:left="2002" w:hanging="180"/>
      </w:pPr>
    </w:lvl>
    <w:lvl w:ilvl="3" w:tplc="1009000F" w:tentative="1">
      <w:start w:val="1"/>
      <w:numFmt w:val="decimal"/>
      <w:lvlText w:val="%4."/>
      <w:lvlJc w:val="left"/>
      <w:pPr>
        <w:ind w:left="2722" w:hanging="360"/>
      </w:pPr>
    </w:lvl>
    <w:lvl w:ilvl="4" w:tplc="10090019" w:tentative="1">
      <w:start w:val="1"/>
      <w:numFmt w:val="lowerLetter"/>
      <w:lvlText w:val="%5."/>
      <w:lvlJc w:val="left"/>
      <w:pPr>
        <w:ind w:left="3442" w:hanging="360"/>
      </w:pPr>
    </w:lvl>
    <w:lvl w:ilvl="5" w:tplc="1009001B" w:tentative="1">
      <w:start w:val="1"/>
      <w:numFmt w:val="lowerRoman"/>
      <w:lvlText w:val="%6."/>
      <w:lvlJc w:val="right"/>
      <w:pPr>
        <w:ind w:left="4162" w:hanging="180"/>
      </w:pPr>
    </w:lvl>
    <w:lvl w:ilvl="6" w:tplc="1009000F" w:tentative="1">
      <w:start w:val="1"/>
      <w:numFmt w:val="decimal"/>
      <w:lvlText w:val="%7."/>
      <w:lvlJc w:val="left"/>
      <w:pPr>
        <w:ind w:left="4882" w:hanging="360"/>
      </w:pPr>
    </w:lvl>
    <w:lvl w:ilvl="7" w:tplc="10090019" w:tentative="1">
      <w:start w:val="1"/>
      <w:numFmt w:val="lowerLetter"/>
      <w:lvlText w:val="%8."/>
      <w:lvlJc w:val="left"/>
      <w:pPr>
        <w:ind w:left="5602" w:hanging="360"/>
      </w:pPr>
    </w:lvl>
    <w:lvl w:ilvl="8" w:tplc="1009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15" w15:restartNumberingAfterBreak="0">
    <w:nsid w:val="6EC84E18"/>
    <w:multiLevelType w:val="hybridMultilevel"/>
    <w:tmpl w:val="10084386"/>
    <w:lvl w:ilvl="0" w:tplc="7046C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B553935"/>
    <w:multiLevelType w:val="hybridMultilevel"/>
    <w:tmpl w:val="BBE612B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8"/>
  </w:num>
  <w:num w:numId="5">
    <w:abstractNumId w:val="3"/>
  </w:num>
  <w:num w:numId="6">
    <w:abstractNumId w:val="14"/>
  </w:num>
  <w:num w:numId="7">
    <w:abstractNumId w:val="11"/>
  </w:num>
  <w:num w:numId="8">
    <w:abstractNumId w:val="15"/>
  </w:num>
  <w:num w:numId="9">
    <w:abstractNumId w:val="1"/>
  </w:num>
  <w:num w:numId="10">
    <w:abstractNumId w:val="6"/>
  </w:num>
  <w:num w:numId="11">
    <w:abstractNumId w:val="13"/>
  </w:num>
  <w:num w:numId="12">
    <w:abstractNumId w:val="4"/>
  </w:num>
  <w:num w:numId="13">
    <w:abstractNumId w:val="12"/>
  </w:num>
  <w:num w:numId="14">
    <w:abstractNumId w:val="5"/>
  </w:num>
  <w:num w:numId="15">
    <w:abstractNumId w:val="0"/>
  </w:num>
  <w:num w:numId="16">
    <w:abstractNumId w:val="1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51B"/>
    <w:rsid w:val="00004919"/>
    <w:rsid w:val="00022A67"/>
    <w:rsid w:val="0002636A"/>
    <w:rsid w:val="000D4C9F"/>
    <w:rsid w:val="00174970"/>
    <w:rsid w:val="001A1EB0"/>
    <w:rsid w:val="00274819"/>
    <w:rsid w:val="0028291E"/>
    <w:rsid w:val="002834C6"/>
    <w:rsid w:val="00315AB6"/>
    <w:rsid w:val="00381E3F"/>
    <w:rsid w:val="00450DF8"/>
    <w:rsid w:val="00451411"/>
    <w:rsid w:val="00497821"/>
    <w:rsid w:val="004B0E31"/>
    <w:rsid w:val="004B121D"/>
    <w:rsid w:val="004C7EFF"/>
    <w:rsid w:val="0050251B"/>
    <w:rsid w:val="00593DCE"/>
    <w:rsid w:val="00597746"/>
    <w:rsid w:val="005B1D45"/>
    <w:rsid w:val="005B277A"/>
    <w:rsid w:val="005C5E5C"/>
    <w:rsid w:val="006777FD"/>
    <w:rsid w:val="006820EC"/>
    <w:rsid w:val="006E35FB"/>
    <w:rsid w:val="00764CF5"/>
    <w:rsid w:val="00787264"/>
    <w:rsid w:val="008163FA"/>
    <w:rsid w:val="00834672"/>
    <w:rsid w:val="008A1BC8"/>
    <w:rsid w:val="008F61A0"/>
    <w:rsid w:val="009E2BCE"/>
    <w:rsid w:val="009E4D1F"/>
    <w:rsid w:val="00A35940"/>
    <w:rsid w:val="00A37626"/>
    <w:rsid w:val="00A4225A"/>
    <w:rsid w:val="00A9755F"/>
    <w:rsid w:val="00B96EFC"/>
    <w:rsid w:val="00C058EC"/>
    <w:rsid w:val="00C227E3"/>
    <w:rsid w:val="00C531C1"/>
    <w:rsid w:val="00C53FF7"/>
    <w:rsid w:val="00CF7596"/>
    <w:rsid w:val="00D8056D"/>
    <w:rsid w:val="00D96C95"/>
    <w:rsid w:val="00DC505C"/>
    <w:rsid w:val="00DF07C7"/>
    <w:rsid w:val="00DF21E6"/>
    <w:rsid w:val="00E223EB"/>
    <w:rsid w:val="00E71CB1"/>
    <w:rsid w:val="00EF58E2"/>
    <w:rsid w:val="00F6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27D97"/>
  <w15:chartTrackingRefBased/>
  <w15:docId w15:val="{A2C29CBC-DE8C-467E-97F6-B34FE33C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5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51B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51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0251B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5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uiPriority w:val="99"/>
    <w:rsid w:val="0050251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6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C95"/>
  </w:style>
  <w:style w:type="paragraph" w:styleId="Footer">
    <w:name w:val="footer"/>
    <w:basedOn w:val="Normal"/>
    <w:link w:val="FooterChar"/>
    <w:uiPriority w:val="99"/>
    <w:unhideWhenUsed/>
    <w:rsid w:val="00D96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C95"/>
  </w:style>
  <w:style w:type="paragraph" w:styleId="BalloonText">
    <w:name w:val="Balloon Text"/>
    <w:basedOn w:val="Normal"/>
    <w:link w:val="BalloonTextChar"/>
    <w:uiPriority w:val="99"/>
    <w:semiHidden/>
    <w:unhideWhenUsed/>
    <w:rsid w:val="00D96C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C95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1E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1E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81E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9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83F1D-52B4-467B-9631-4C21CF753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9</Pages>
  <Words>1616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GoA</Company>
  <LinksUpToDate>false</LinksUpToDate>
  <CharactersWithSpaces>10807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Samarawickrema</dc:creator>
  <cp:keywords/>
  <dc:description/>
  <cp:lastModifiedBy>Samarawickrema, Antony ENV</cp:lastModifiedBy>
  <cp:revision>12</cp:revision>
  <dcterms:created xsi:type="dcterms:W3CDTF">2020-06-18T23:29:00Z</dcterms:created>
  <dcterms:modified xsi:type="dcterms:W3CDTF">2021-11-25T14:29:00Z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f2ea38-542c-4b75-bd7d-582ec36a519f_Enabled">
    <vt:lpwstr>true</vt:lpwstr>
  </property>
  <property fmtid="{D5CDD505-2E9C-101B-9397-08002B2CF9AE}" pid="3" name="MSIP_Label_abf2ea38-542c-4b75-bd7d-582ec36a519f_SetDate">
    <vt:lpwstr>2020-06-18T23:42:09Z</vt:lpwstr>
  </property>
  <property fmtid="{D5CDD505-2E9C-101B-9397-08002B2CF9AE}" pid="4" name="MSIP_Label_abf2ea38-542c-4b75-bd7d-582ec36a519f_Method">
    <vt:lpwstr>Standard</vt:lpwstr>
  </property>
  <property fmtid="{D5CDD505-2E9C-101B-9397-08002B2CF9AE}" pid="5" name="MSIP_Label_abf2ea38-542c-4b75-bd7d-582ec36a519f_Name">
    <vt:lpwstr>Protected A</vt:lpwstr>
  </property>
  <property fmtid="{D5CDD505-2E9C-101B-9397-08002B2CF9AE}" pid="6" name="MSIP_Label_abf2ea38-542c-4b75-bd7d-582ec36a519f_SiteId">
    <vt:lpwstr>2bb51c06-af9b-42c5-8bf5-3c3b7b10850b</vt:lpwstr>
  </property>
  <property fmtid="{D5CDD505-2E9C-101B-9397-08002B2CF9AE}" pid="7" name="MSIP_Label_abf2ea38-542c-4b75-bd7d-582ec36a519f_ActionId">
    <vt:lpwstr>69fbeb03-ec07-4217-a66d-00002963532e</vt:lpwstr>
  </property>
  <property fmtid="{D5CDD505-2E9C-101B-9397-08002B2CF9AE}" pid="8" name="MSIP_Label_abf2ea38-542c-4b75-bd7d-582ec36a519f_ContentBits">
    <vt:lpwstr>2</vt:lpwstr>
  </property>
</Properties>
</file>