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tabs>
          <w:tab w:val="clear" w:pos="720"/>
          <w:tab w:val="left" w:pos="5580" w:leader="none"/>
        </w:tabs>
        <w:rPr>
          <w:b/>
          <w:b/>
          <w:u w:val="single"/>
        </w:rPr>
      </w:pPr>
      <w:r>
        <w:rPr>
          <w:b/>
          <w:u w:val="single"/>
        </w:rPr>
        <w:t>Report on Emissions and Energy Use across BC (2007-2012)</w:t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  <w:t>What follows compares the most emission-intensive regions with the least intensive ones. That in turn, is followed by a comparison of sectoral differences.</w:t>
      </w:r>
    </w:p>
    <w:p>
      <w:pPr>
        <w:pStyle w:val="Normal"/>
        <w:pBdr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pBdr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Regional Differences in Emissions:</w:t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  <w:t xml:space="preserve">Among the top emissions-intensive local government-types are regional municipalities, island trusts, and regional districts with unincorporated areas. The least emission-intensive government types include cities, island municipalities and towns (Fig. 1 shows a complete list). </w:t>
      </w:r>
    </w:p>
    <w:p>
      <w:pPr>
        <w:pStyle w:val="ListParagraph"/>
        <w:numPr>
          <w:ilvl w:val="0"/>
          <w:numId w:val="6"/>
        </w:numPr>
        <w:pBdr/>
        <w:tabs>
          <w:tab w:val="clear" w:pos="720"/>
          <w:tab w:val="left" w:pos="5580" w:leader="none"/>
        </w:tabs>
        <w:rPr/>
      </w:pPr>
      <w:r>
        <w:rPr/>
        <w:t xml:space="preserve">Taking a ‘local government-type’ view </w:t>
      </w:r>
      <w:r>
        <w:rPr>
          <w:b/>
        </w:rPr>
        <w:t>helps inform how policy is delivered</w:t>
      </w:r>
      <w:r>
        <w:rPr/>
        <w:t xml:space="preserve">. </w:t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  <w:t>Among the most emissions-intensive regional districts include places such as Peace River and Northern Rockies (Appendix Fig 1 has a complete list). The least emission-intensive regional districts include Metro-Vancouver, Nanaimo and the Sunshine coast (Appendix Fig). The emissions-intensive regional districts derive their second highest emissions from the ‘community solid waste’ sub-sector, due landfill gasses (Appendix Fig2).</w:t>
      </w:r>
    </w:p>
    <w:p>
      <w:pPr>
        <w:pStyle w:val="ListParagraph"/>
        <w:numPr>
          <w:ilvl w:val="0"/>
          <w:numId w:val="5"/>
        </w:numPr>
        <w:pBdr/>
        <w:tabs>
          <w:tab w:val="clear" w:pos="720"/>
          <w:tab w:val="left" w:pos="5580" w:leader="none"/>
        </w:tabs>
        <w:rPr/>
      </w:pPr>
      <w:r>
        <w:rPr>
          <w:b/>
        </w:rPr>
        <w:t>Policy may have a role</w:t>
      </w:r>
      <w:r>
        <w:rPr/>
        <w:t xml:space="preserve"> in assisting emissions-intensive regions with mitigating landfill emissions (improvements to the methodology of emission estimations may be a starting point).</w:t>
      </w:r>
    </w:p>
    <w:p>
      <w:pPr>
        <w:pStyle w:val="Normal"/>
        <w:pBdr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>
          <w:b/>
        </w:rPr>
        <w:t>Regional Differences in Energy Sources</w:t>
      </w:r>
      <w:r>
        <w:rPr/>
        <w:t xml:space="preserve">: </w:t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  <w:t>The emissions-intensive regional districts are more likely to use emission-intensive energy sources such as wood and heating oil, compared with less emissions-intensive regional districts (Appendix Fig 3). Heating oil produces more emissions per unit of energy, compared with natural gas or electricity (Appendix Fig 4 compares emissions per unit of energy).</w:t>
      </w:r>
    </w:p>
    <w:p>
      <w:pPr>
        <w:pStyle w:val="ListParagraph"/>
        <w:numPr>
          <w:ilvl w:val="0"/>
          <w:numId w:val="3"/>
        </w:numPr>
        <w:pBdr/>
        <w:tabs>
          <w:tab w:val="clear" w:pos="720"/>
          <w:tab w:val="left" w:pos="5580" w:leader="none"/>
        </w:tabs>
        <w:rPr/>
      </w:pPr>
      <w:r>
        <w:rPr>
          <w:b/>
        </w:rPr>
        <w:t>Policy may have a role</w:t>
      </w:r>
      <w:r>
        <w:rPr/>
        <w:t xml:space="preserve"> in helping communities adopt less emission-intensive energy sources. Social drivers would be considered.</w:t>
      </w:r>
    </w:p>
    <w:p>
      <w:pPr>
        <w:pStyle w:val="Normal"/>
        <w:pBdr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Fig.1 Emissions by Local Government Type (t/CO2 E per capita)</w:t>
        <w:tab/>
        <w:t xml:space="preserve"> </w:t>
        <w:tab/>
        <w:t xml:space="preserve"> </w:t>
        <w:tab/>
      </w:r>
    </w:p>
    <w:tbl>
      <w:tblPr>
        <w:tblStyle w:val="TableGridLight"/>
        <w:tblW w:w="677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3791"/>
        <w:gridCol w:w="1076"/>
        <w:gridCol w:w="993"/>
        <w:gridCol w:w="910"/>
      </w:tblGrid>
      <w:tr>
        <w:trPr>
          <w:trHeight w:val="366" w:hRule="atLeast"/>
        </w:trPr>
        <w:tc>
          <w:tcPr>
            <w:tcW w:w="3791" w:type="dxa"/>
            <w:tcBorders/>
            <w:shd w:color="auto" w:fill="0F243E" w:themeFill="text2" w:themeFillShade="80" w:val="clear"/>
          </w:tcPr>
          <w:p>
            <w:pPr>
              <w:pStyle w:val="Normal"/>
              <w:widowControl w:val="false"/>
              <w:pBdr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 government type</w:t>
            </w:r>
          </w:p>
        </w:tc>
        <w:tc>
          <w:tcPr>
            <w:tcW w:w="1076" w:type="dxa"/>
            <w:tcBorders/>
            <w:shd w:color="auto" w:fill="0F243E" w:themeFill="text2" w:themeFillShade="80" w:val="clear"/>
          </w:tcPr>
          <w:p>
            <w:pPr>
              <w:pStyle w:val="Normal"/>
              <w:widowControl w:val="false"/>
              <w:pBdr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2007</w:t>
            </w:r>
          </w:p>
        </w:tc>
        <w:tc>
          <w:tcPr>
            <w:tcW w:w="993" w:type="dxa"/>
            <w:tcBorders/>
            <w:shd w:color="auto" w:fill="0F243E" w:themeFill="text2" w:themeFillShade="80" w:val="clear"/>
          </w:tcPr>
          <w:p>
            <w:pPr>
              <w:pStyle w:val="Normal"/>
              <w:widowControl w:val="false"/>
              <w:pBdr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2010</w:t>
            </w:r>
          </w:p>
        </w:tc>
        <w:tc>
          <w:tcPr>
            <w:tcW w:w="910" w:type="dxa"/>
            <w:tcBorders/>
            <w:shd w:color="auto" w:fill="0F243E" w:themeFill="text2" w:themeFillShade="80" w:val="clear"/>
          </w:tcPr>
          <w:p>
            <w:pPr>
              <w:pStyle w:val="Normal"/>
              <w:widowControl w:val="false"/>
              <w:pBdr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2012</w:t>
            </w:r>
          </w:p>
        </w:tc>
      </w:tr>
      <w:tr>
        <w:trPr>
          <w:trHeight w:val="313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 Municipality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1.52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1.44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0.69</w:t>
            </w:r>
          </w:p>
        </w:tc>
      </w:tr>
      <w:tr>
        <w:trPr>
          <w:trHeight w:val="298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Island Trust Area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</w:t>
            </w:r>
          </w:p>
        </w:tc>
      </w:tr>
      <w:tr>
        <w:trPr>
          <w:trHeight w:val="366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 District Unincorporated Areas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</w:p>
        </w:tc>
      </w:tr>
      <w:tr>
        <w:trPr>
          <w:trHeight w:val="351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 Government District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  <w:tr>
        <w:trPr>
          <w:trHeight w:val="305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Village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</w:t>
            </w:r>
          </w:p>
        </w:tc>
      </w:tr>
      <w:tr>
        <w:trPr>
          <w:trHeight w:val="358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 District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</w:tr>
      <w:tr>
        <w:trPr>
          <w:trHeight w:val="290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District Municipality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</w:tr>
      <w:tr>
        <w:trPr>
          <w:trHeight w:val="290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Town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</w:t>
            </w:r>
          </w:p>
        </w:tc>
      </w:tr>
      <w:tr>
        <w:trPr>
          <w:trHeight w:val="290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Island Municipality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</w:tr>
      <w:tr>
        <w:trPr>
          <w:trHeight w:val="290" w:hRule="atLeast"/>
        </w:trPr>
        <w:tc>
          <w:tcPr>
            <w:tcW w:w="3791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City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</w:tr>
    </w:tbl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rPr>
          <w:b/>
          <w:b/>
        </w:rPr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Sectoral Emissions:</w:t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  <w:t>Based on 2012 data, the sector-based emissions, in descending order are (Fig.2):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5580" w:leader="none"/>
        </w:tabs>
        <w:rPr/>
      </w:pPr>
      <w:r>
        <w:rPr/>
        <w:t>Buildings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5580" w:leader="none"/>
        </w:tabs>
        <w:rPr/>
      </w:pPr>
      <w:r>
        <w:rPr/>
        <w:t>‘</w:t>
      </w:r>
      <w:r>
        <w:rPr/>
        <w:t xml:space="preserve">On-road’ transport 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5580" w:leader="none"/>
        </w:tabs>
        <w:rPr/>
      </w:pPr>
      <w:r>
        <w:rPr/>
        <w:t>Community solid waste (landfill gases)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5580" w:leader="none"/>
        </w:tabs>
        <w:rPr/>
      </w:pPr>
      <w:r>
        <w:rPr/>
        <w:t xml:space="preserve">Agriculture, and 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5580" w:leader="none"/>
        </w:tabs>
        <w:rPr/>
      </w:pPr>
      <w:r>
        <w:rPr/>
        <w:t xml:space="preserve">Land-use change from deforestation (switched rank with Agriculture since 2007) </w:t>
      </w:r>
    </w:p>
    <w:p>
      <w:pPr>
        <w:pStyle w:val="ListParagraph"/>
        <w:pBdr/>
        <w:tabs>
          <w:tab w:val="clear" w:pos="720"/>
          <w:tab w:val="left" w:pos="5580" w:leader="none"/>
        </w:tabs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0" w:leader="none"/>
        </w:tabs>
        <w:rPr/>
      </w:pPr>
      <w:r>
        <w:rPr>
          <w:b/>
        </w:rPr>
        <w:t>Community solid waste:</w:t>
      </w:r>
      <w:r>
        <w:rPr/>
        <w:t xml:space="preserve"> gasses from landfills have slightly increased. The bespoke emission-intensive regions are more likely to be driving this trend</w:t>
      </w:r>
      <w:r>
        <w:rPr>
          <w:b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0" w:leader="none"/>
        </w:tabs>
        <w:rPr/>
      </w:pPr>
      <w:r>
        <w:rPr>
          <w:b/>
        </w:rPr>
        <w:t>Land-use change from deforestation</w:t>
      </w:r>
      <w:r>
        <w:rPr/>
        <w:t xml:space="preserve">: while emissions </w:t>
      </w:r>
      <w:r>
        <w:rPr>
          <w:i/>
        </w:rPr>
        <w:t>appear</w:t>
      </w:r>
      <w:r>
        <w:rPr/>
        <w:t xml:space="preserve"> to have declined between 2007-2012, </w:t>
      </w:r>
      <w:r>
        <w:rPr>
          <w:b/>
        </w:rPr>
        <w:t xml:space="preserve">baseline 2007 data is missing </w:t>
      </w:r>
      <w:r>
        <w:rPr/>
        <w:t>(with NAs)</w:t>
      </w:r>
      <w:r>
        <w:rPr>
          <w:b/>
        </w:rPr>
        <w:t xml:space="preserve">. </w:t>
      </w:r>
      <w:r>
        <w:rPr/>
        <w:t xml:space="preserve">Without complete data we would not know the underlying drivers to design mitigating policy. From what we know, emissions attributed to municipal and agricultural purposes declined by more than 90 % since 2007 (Appendix Fig 5).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0" w:leader="none"/>
        </w:tabs>
        <w:rPr/>
      </w:pPr>
      <w:r>
        <w:rPr>
          <w:b/>
        </w:rPr>
        <w:t>Transportation</w:t>
      </w:r>
      <w:r>
        <w:rPr/>
        <w:t>:  the top-three drivers of a rising emissions trend are heavy-duty trucks, SUVs/vans, large passenger cars. P</w:t>
      </w:r>
      <w:r>
        <w:rPr>
          <w:b/>
        </w:rPr>
        <w:t xml:space="preserve">olicy may have a role, </w:t>
      </w:r>
      <w:r>
        <w:rPr/>
        <w:t xml:space="preserve">supporting developing of affordable electric-vehicle (EV) equivalent models and/or supporting their adoption.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0" w:leader="none"/>
        </w:tabs>
        <w:rPr/>
      </w:pPr>
      <w:r>
        <w:rPr>
          <w:b/>
        </w:rPr>
        <w:t>Buildings</w:t>
      </w:r>
      <w:r>
        <w:rPr/>
        <w:t>: emissions from residential and commercial buildings are declining (Appendix Fig 6)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0" w:leader="none"/>
        </w:tabs>
        <w:rPr/>
      </w:pPr>
      <w:r>
        <w:rPr>
          <w:b/>
        </w:rPr>
        <w:t xml:space="preserve">Agriculture: </w:t>
      </w:r>
      <w:r>
        <w:rPr/>
        <w:t xml:space="preserve">a singular category, enteric fermentation (cattle belching), has declined 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 2 Sector emissions, 2007 and 2012 (t/CO2 E)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5638800" cy="3457575"/>
            <wp:effectExtent l="0" t="0" r="0" b="0"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Summary of Policy Implications: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80" w:leader="none"/>
        </w:tabs>
        <w:rPr/>
      </w:pPr>
      <w:r>
        <w:rPr/>
        <w:t xml:space="preserve">Emission-intensive regional districts could receive support in mitigating landfill emissions. Improvements on how emissions are </w:t>
      </w:r>
      <w:bookmarkStart w:id="0" w:name="_GoBack"/>
      <w:bookmarkEnd w:id="0"/>
      <w:r>
        <w:rPr/>
        <w:t xml:space="preserve">estimated could be a start. The said regions could receive supports to transition from using emission-intensive energy sources (heating oil), by considering appropriate social drivers. Taking a ‘local government-type’ view of the bespoke communities helps inform how policy is delivered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80" w:leader="none"/>
        </w:tabs>
        <w:rPr/>
      </w:pPr>
      <w:r>
        <w:rPr/>
        <w:t>A rising trend in transportation sector emissions is driven by greater use of heavy-duty trucks, SUVs/vans, and large passenger cars (transportation is the second highest emitting sector after buildings.) A consideration maybe to incent developing affordable EV equivalent models; and/or supporting adoption.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580" w:leader="none"/>
        </w:tabs>
        <w:rPr>
          <w:b/>
          <w:b/>
        </w:rPr>
      </w:pPr>
      <w:r>
        <w:rPr/>
        <w:t xml:space="preserve">Policies to mitigate emissions from ‘land-use change from deforestation’ will take place once a complete dataset is available </w:t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jc w:val="center"/>
        <w:rPr>
          <w:u w:val="single"/>
        </w:rPr>
      </w:pPr>
      <w:r>
        <w:rPr>
          <w:b/>
          <w:u w:val="single"/>
        </w:rPr>
        <w:t>APPENDIX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Fig.1 Top-10 most emission intensive regions (left) v least emission- intensive (right) (t/CO2 E per capita) in 2012</w:t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1860550" cy="2695575"/>
            <wp:effectExtent l="0" t="0" r="0" b="0"/>
            <wp:docPr id="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1795" cy="2694305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pBdr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Fig.2 Ranking of the top-10 sub-sectors of emissions (in desc. order), between the bespoke most emission-intensive (left) and least intensive regional districts (right)</w:t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2696210" cy="271970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00020" cy="271970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 xml:space="preserve">Fig. 3 Ranking of the top-10 sources of emissions (in desc. order), between the most emission-intensive districts (left) and least intensive regional districts (right) 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1627505" cy="2846705"/>
            <wp:effectExtent l="0" t="0" r="0" b="0"/>
            <wp:docPr id="6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38300" cy="2830195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 4 Emissions per unit of energy, from lowest to highest (t/CO2E per GJ) -- electricity being cleanest; and diesel being the largest emitter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t xml:space="preserve">* There is zero energy use for deforestation and solid waste denominators, hence infinity 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1905000" cy="3057525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 5 Land-use change emissions, 2007 and 2012 (MT/CO2 E)</w:t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2914650" cy="3114675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Fig.6 Transportation Emissions, 2007 and 2012 (t/CO2E)</w:t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5624195" cy="305371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  <w:t>Fig. 7 Building Emissions 2007 and 2012 (t/CO2E)</w:t>
      </w:r>
    </w:p>
    <w:p>
      <w:pPr>
        <w:pStyle w:val="Normal"/>
        <w:tabs>
          <w:tab w:val="clear" w:pos="720"/>
          <w:tab w:val="left" w:pos="55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580" w:leader="none"/>
        </w:tabs>
        <w:rPr/>
      </w:pPr>
      <w:r>
        <w:rPr/>
        <w:drawing>
          <wp:inline distT="0" distB="0" distL="0" distR="0">
            <wp:extent cx="4490720" cy="2346325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3"/>
      <w:footerReference w:type="default" r:id="rId14"/>
      <w:type w:val="nextPage"/>
      <w:pgSz w:w="12240" w:h="15840"/>
      <w:pgMar w:left="1800" w:right="1800" w:header="720" w:top="1080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320" w:leader="none"/>
        <w:tab w:val="right" w:pos="8640" w:leader="none"/>
        <w:tab w:val="right" w:pos="9360" w:leader="none"/>
      </w:tabs>
      <w:rPr>
        <w:rFonts w:ascii="Arial" w:hAnsi="Arial" w:eastAsia="Arial" w:cs="Arial"/>
        <w:color w:val="00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3035" cy="273685"/>
              <wp:effectExtent l="0" t="0" r="0" b="12700"/>
              <wp:wrapNone/>
              <wp:docPr id="12" name="MSIPCMb7694934a9d4022eec01796b" descr="{&quot;HashCode&quot;:-1542678785,&quot;Height&quot;:792.0,&quot;Width&quot;:612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2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lIns="25416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b7694934a9d4022eec01796b" stroked="f" style="position:absolute;margin-left:0pt;margin-top:755.45pt;width:611.95pt;height:21.45pt;mso-position-horizontal-relative:page;mso-position-vertic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</v:rect>
          </w:pict>
        </mc:Fallback>
      </mc:AlternateConten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 NUMPAGES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75b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75b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35d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75b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75b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c521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LibreOffice/6.4.5.2$Linux_X86_64 LibreOffice_project/40$Build-2</Application>
  <Pages>6</Pages>
  <Words>747</Words>
  <Characters>4508</Characters>
  <CharactersWithSpaces>5176</CharactersWithSpaces>
  <Paragraphs>91</Paragraphs>
  <Company>GoA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2020-10-25T18:54:00Z</dcterms:created>
  <dc:creator>Antony Samarawickrema</dc:creator>
  <dc:description/>
  <dc:language>en-CA</dc:language>
  <cp:lastModifiedBy/>
  <cp:lastPrinted>2020-10-25T18:52:00Z</cp:lastPrinted>
  <dcterms:modified xsi:type="dcterms:W3CDTF">2020-10-25T14:24:25Z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abf2ea38-542c-4b75-bd7d-582ec36a519f_ActionId">
    <vt:lpwstr>d6f21ebe-47bd-4d63-8770-00002ce63efa</vt:lpwstr>
  </property>
  <property fmtid="{D5CDD505-2E9C-101B-9397-08002B2CF9AE}" pid="8" name="MSIP_Label_abf2ea38-542c-4b75-bd7d-582ec36a519f_ContentBits">
    <vt:lpwstr>2</vt:lpwstr>
  </property>
  <property fmtid="{D5CDD505-2E9C-101B-9397-08002B2CF9AE}" pid="9" name="MSIP_Label_abf2ea38-542c-4b75-bd7d-582ec36a519f_Enabled">
    <vt:lpwstr>true</vt:lpwstr>
  </property>
  <property fmtid="{D5CDD505-2E9C-101B-9397-08002B2CF9AE}" pid="10" name="MSIP_Label_abf2ea38-542c-4b75-bd7d-582ec36a519f_Method">
    <vt:lpwstr>Standard</vt:lpwstr>
  </property>
  <property fmtid="{D5CDD505-2E9C-101B-9397-08002B2CF9AE}" pid="11" name="MSIP_Label_abf2ea38-542c-4b75-bd7d-582ec36a519f_Name">
    <vt:lpwstr>Protected A</vt:lpwstr>
  </property>
  <property fmtid="{D5CDD505-2E9C-101B-9397-08002B2CF9AE}" pid="12" name="MSIP_Label_abf2ea38-542c-4b75-bd7d-582ec36a519f_SetDate">
    <vt:lpwstr>2020-10-25T07:09:26Z</vt:lpwstr>
  </property>
  <property fmtid="{D5CDD505-2E9C-101B-9397-08002B2CF9AE}" pid="13" name="MSIP_Label_abf2ea38-542c-4b75-bd7d-582ec36a519f_SiteId">
    <vt:lpwstr>2bb51c06-af9b-42c5-8bf5-3c3b7b10850b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