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sz w:val="28"/>
          <w:szCs w:val="28"/>
        </w:rPr>
        <w:t xml:space="preserve">UNIVERSITÀ DEGLI STUDI</w:t>
      </w:r>
    </w:p>
    <w:p>
      <w:pPr>
        <w:jc w:val="center"/>
      </w:pPr>
      <w:r>
        <w:rPr>
          <w:b/>
          <w:bCs/>
          <w:sz w:val="24"/>
          <w:szCs w:val="24"/>
        </w:rPr>
        <w:t xml:space="preserve">DIPARTIMENTO DI INGEGNERIA</w:t>
      </w:r>
    </w:p>
    <w:p>
      <w:pPr>
        <w:jc w:val="center"/>
      </w:pPr>
      <w:r>
        <w:rPr>
          <w:sz w:val="22"/>
          <w:szCs w:val="22"/>
        </w:rPr>
        <w:t xml:space="preserve">Corso di Laurea in Ingegneria Informatica</w:t>
      </w:r>
    </w:p>
    <w:p>
      <w:pPr>
        <w:spacing w:before="1600"/>
        <w:jc w:val="center"/>
      </w:pPr>
      <w:r>
        <w:rPr>
          <w:b/>
          <w:bCs/>
          <w:sz w:val="48"/>
          <w:szCs w:val="48"/>
        </w:rPr>
        <w:t xml:space="preserve">System Design Document</w:t>
      </w:r>
    </w:p>
    <w:p>
      <w:pPr>
        <w:spacing w:before="200"/>
        <w:jc w:val="center"/>
      </w:pPr>
      <w:r>
        <w:rPr>
          <w:sz w:val="28"/>
          <w:szCs w:val="28"/>
        </w:rPr>
        <w:t xml:space="preserve">Sistema per la gestione dell’identità digitale</w:t>
      </w:r>
    </w:p>
    <w:p>
      <w:pPr>
        <w:jc w:val="center"/>
      </w:pPr>
      <w:r>
        <w:rPr>
          <w:sz w:val="28"/>
          <w:szCs w:val="28"/>
        </w:rPr>
        <w:t xml:space="preserve">degli studenti delle istituzioni AFAM</w:t>
      </w:r>
    </w:p>
    <w:p>
      <w:pPr>
        <w:spacing w:before="200"/>
        <w:jc w:val="center"/>
      </w:pPr>
      <w:r>
        <w:rPr>
          <w:i/>
          <w:iCs/>
          <w:sz w:val="22"/>
          <w:szCs w:val="22"/>
        </w:rPr>
        <w:t xml:space="preserve">Insegnamento di Ingegneria del Software</w:t>
      </w:r>
    </w:p>
    <w:p>
      <w:pPr>
        <w:jc w:val="center"/>
      </w:pPr>
      <w:r>
        <w:rPr>
          <w:i/>
          <w:iCs/>
          <w:sz w:val="22"/>
          <w:szCs w:val="22"/>
        </w:rPr>
        <w:t xml:space="preserve">Anno Accademico 2025 – 2026</w:t>
      </w:r>
    </w:p>
    <w:p>
      <w:pPr>
        <w:spacing w:before="1400"/>
        <w:jc w:val="center"/>
      </w:pPr>
      <w:r>
        <w:rPr>
          <w:b/>
          <w:bCs/>
          <w:sz w:val="22"/>
          <w:szCs w:val="22"/>
        </w:rPr>
        <w:t xml:space="preserve">Gruppo</w:t>
      </w:r>
    </w:p>
    <w:p>
      <w:pPr>
        <w:jc w:val="center"/>
      </w:pPr>
      <w:r>
        <w:rPr>
          <w:sz w:val="22"/>
          <w:szCs w:val="22"/>
        </w:rPr>
        <w:t xml:space="preserve">Chiarelli Antonino Maria</w:t>
      </w:r>
    </w:p>
    <w:p>
      <w:pPr>
        <w:jc w:val="center"/>
      </w:pPr>
      <w:r>
        <w:rPr>
          <w:sz w:val="22"/>
          <w:szCs w:val="22"/>
        </w:rPr>
        <w:t xml:space="preserve">Riccardo Centonze</w:t>
      </w:r>
    </w:p>
    <w:p>
      <w:pPr>
        <w:jc w:val="center"/>
      </w:pPr>
      <w:r>
        <w:rPr>
          <w:sz w:val="22"/>
          <w:szCs w:val="22"/>
        </w:rPr>
        <w:t xml:space="preserve">Federico Meli</w:t>
      </w:r>
    </w:p>
    <w:p>
      <w:pPr>
        <w:jc w:val="center"/>
      </w:pPr>
      <w:r>
        <w:rPr>
          <w:sz w:val="22"/>
          <w:szCs w:val="22"/>
        </w:rPr>
        <w:t xml:space="preserve">Gabriele Mattia Guccione</w:t>
      </w:r>
    </w:p>
    <w:p>
      <w:r>
        <w:br w:type="page"/>
      </w:r>
    </w:p>
    <w:p>
      <w:pPr>
        <w:pStyle w:val="Heading1"/>
      </w:pPr>
      <w: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Obiettivo del sistema</w:t>
      </w:r>
    </w:p>
    <w:p>
      <w:pPr>
        <w:spacing w:after="120" w:line="276"/>
        <w:jc w:val="both"/>
      </w:pPr>
      <w:r>
        <w:t xml:space="preserve">Il sistema ha l’obiettivo di fornire alle istituzioni AFAM (Alta Formazione Artistica, Musicale e Coreutica) uno strumento digitale che consenta agli studenti di rappresentare in modo efficace il proprio percorso artistico e formativo, costruendo una propria identità digitale unica. Tale identità include i dati anagrafici e accademici e la produzione artistica dello studente (registrazioni audio e video, spartiti, curriculum e altri materiali), organizzata in maniera flessibile. Il sistema permette allo studente di decidere quali parti del proprio profilo rendere visibili e in quali contesti, di condividerle anche con soggetti esterni mediante appositi collegamenti, e di verificare se i contenuti condivisi siano stati effettivamente visualizzati. L’accesso avviene mediante credenziali personali in modo sicuro, con funzionalità di gestione dell’account e di recupero delle credenziali.</w:t>
      </w:r>
    </w:p>
    <w:p>
      <w:pPr>
        <w:pStyle w:val="Heading1"/>
      </w:pPr>
      <w:r>
        <w:t xml:space="preserve">2. Architettura software attuale</w:t>
      </w:r>
    </w:p>
    <w:p>
      <w:pPr>
        <w:spacing w:after="120" w:line="276"/>
        <w:jc w:val="both"/>
      </w:pPr>
      <w:r>
        <w:t xml:space="preserve">Allo stato attuale non esiste un sistema software unitario adottato dall’istituzione AFAM per la gestione dell’identità digitale degli studenti. La preparazione di portfolio, curriculum e raccolte di materiali multimediali avviene in modo manuale, tramite documenti separati, file sparsi o materiali inviati via e-mail, senza alcun controllo sull’effettiva visualizzazione dei contenuti condivisi. Le attività che il sistema proposto intende automatizzare sono quindi attualmente svolte in maniera manuale e frammentata.</w:t>
      </w:r>
    </w:p>
    <w:p>
      <w:pPr>
        <w:pStyle w:val="Heading1"/>
      </w:pPr>
      <w:r>
        <w:t xml:space="preserve">3. Obiettivi di progettazione</w:t>
      </w:r>
    </w:p>
    <w:p>
      <w:pPr>
        <w:spacing w:after="120" w:line="276"/>
        <w:jc w:val="both"/>
      </w:pPr>
      <w:r>
        <w:t xml:space="preserve">Gli obiettivi di progettazione (design goals) derivano dai requisiti non funzionali del RAD.</w:t>
      </w:r>
    </w:p>
    <w:p>
      <w:pPr>
        <w:pStyle w:val="ListParagraph"/>
        <w:numPr>
          <w:ilvl w:val="0"/>
          <w:numId w:val="2"/>
        </w:numPr>
        <w:spacing w:after="60"/>
      </w:pPr>
      <w:r>
        <w:t xml:space="preserve">Sicurezza: le password sono gestite secondo gli standard ACN mediante l’algoritmo di hashing Argon2 e devono contenere almeno 12 caratteri; l’email deve rispettare l’espressione regolare di validazione; ove attiva, l’autenticazione è rafforzata da un secondo fattore (OTP).</w:t>
      </w:r>
    </w:p>
    <w:p>
      <w:pPr>
        <w:pStyle w:val="ListParagraph"/>
        <w:numPr>
          <w:ilvl w:val="0"/>
          <w:numId w:val="2"/>
        </w:numPr>
        <w:spacing w:after="60"/>
      </w:pPr>
      <w:r>
        <w:t xml:space="preserve">Validazione degli input: il sistema sanifica e valida tutti i dati in ingresso, rifiutando i caratteri riservati indicati nel RAD (eccetto un singolo «@» nelle email).</w:t>
      </w:r>
    </w:p>
    <w:p>
      <w:pPr>
        <w:pStyle w:val="ListParagraph"/>
        <w:numPr>
          <w:ilvl w:val="0"/>
          <w:numId w:val="2"/>
        </w:numPr>
        <w:spacing w:after="60"/>
      </w:pPr>
      <w:r>
        <w:t xml:space="preserve">Affidabilità e disponibilità: il sistema gestisce in maniera controllata le condizioni di errore, in particolare la perdita di connessione e l’assenza di risposta del DBMS, riportando l’utente a uno stato valido e fornendo un riscontro chiaro mediante messaggi dedicati.</w:t>
      </w:r>
    </w:p>
    <w:p>
      <w:pPr>
        <w:pStyle w:val="ListParagraph"/>
        <w:numPr>
          <w:ilvl w:val="0"/>
          <w:numId w:val="2"/>
        </w:numPr>
        <w:spacing w:after="60"/>
      </w:pPr>
      <w:r>
        <w:t xml:space="preserve">Usabilità: l’interfaccia è chiara, intuitiva e orientata alla facilità d’uso, in considerazione di un’utenza non necessariamente esperta in ambito informatico.</w:t>
      </w:r>
    </w:p>
    <w:p>
      <w:pPr>
        <w:pStyle w:val="ListParagraph"/>
        <w:numPr>
          <w:ilvl w:val="0"/>
          <w:numId w:val="2"/>
        </w:numPr>
        <w:spacing w:after="60"/>
      </w:pPr>
      <w:r>
        <w:t xml:space="preserve">Prestazioni: il sistema risponde alle richieste dell’utente entro tre secondi, riducendo per quanto possibile il numero e il costo delle comunicazioni con il DBMS.</w:t>
      </w:r>
    </w:p>
    <w:p>
      <w:pPr>
        <w:pStyle w:val="ListParagraph"/>
        <w:numPr>
          <w:ilvl w:val="0"/>
          <w:numId w:val="2"/>
        </w:numPr>
        <w:spacing w:after="60"/>
      </w:pPr>
      <w:r>
        <w:t xml:space="preserve">Considerazioni legislative: il trattamento dei dati personali e la tutela dei materiali artistici (spesso opere originali) avvengono con adeguate garanzie di protezione, nel rispetto della normativa vigente.</w:t>
      </w:r>
    </w:p>
    <w:p>
      <w:r>
        <w:br w:type="page"/>
      </w:r>
    </w:p>
    <w:p>
      <w:pPr>
        <w:pStyle w:val="Heading1"/>
      </w:pPr>
      <w:r>
        <w:t xml:space="preserve">4. Architettura software proposta</w:t>
      </w:r>
    </w:p>
    <w:p>
      <w:pPr>
        <w:pStyle w:val="Heading2"/>
      </w:pPr>
      <w:r>
        <w:t xml:space="preserve">4.1 Panoramica</w:t>
      </w:r>
    </w:p>
    <w:p>
      <w:pPr>
        <w:spacing w:after="120" w:line="276"/>
        <w:jc w:val="both"/>
      </w:pPr>
      <w:r>
        <w:t xml:space="preserve">Il sistema adotta un’architettura client-server a tre livelli (three-tier). Il livello di presentazione è un client a singola pagina (Single Page Application) realizzato in Angular, eseguito nel browser dell’utente. Il livello applicativo è un’applicazione server Spring Boot che espone interfacce REST su HTTP/JSON e implementa la logica di funzionamento. Il livello dei dati è una base di dati relazionale PostgreSQL. La comunicazione fra i livelli è disaccoppiata: il client dialoga con il server unicamente tramite API REST, mentre il server accede al DBMS tramite uno strato di persistenza dedicato (DBMSBoundary), realizzato con repository Spring Data JPA. Internamente il server è organizzato a strati secondo il pattern Boundary-Control-Entity: gli oggetti control (RestController) gestiscono la logica, le classi entity modellano il dominio e lo strato DBMSBoundary realizza l’accesso ai dati, rispettando un paradigma di tipo repository in cui il DBMS centrale costituisce il punto di integrazione fra i sottosistemi. L’autenticazione è stateless e basata su token JWT.</w:t>
      </w:r>
    </w:p>
    <w:p>
      <w:pPr>
        <w:pStyle w:val="Heading2"/>
      </w:pPr>
      <w:r>
        <w:t xml:space="preserve">4.2 Requisiti minimi per l’utilizzo del software proposto</w:t>
      </w:r>
    </w:p>
    <w:p>
      <w:pPr>
        <w:spacing w:after="120" w:line="276"/>
        <w:jc w:val="both"/>
      </w:pPr>
      <w:r>
        <w:t xml:space="preserve">Per il funzionamento del sistema sono necessari: lato client, un browser web moderno con JavaScript abilitato e una connessione a Internet stabile; lato server, un ambiente di esecuzione containerizzato (Docker) in grado di ospitare l’applicazione Spring Boot (JVM) e il DBMS PostgreSQL; un servizio di posta elettronica (SMTP) per l’invio di OTP ed email di recupero credenziali. È inoltre richiesta una casella di posta elettronica istituzionale per la registrazione e la verifica dell’identità.</w:t>
      </w:r>
    </w:p>
    <w:p>
      <w:pPr>
        <w:pStyle w:val="Heading2"/>
      </w:pPr>
      <w:r>
        <w:t xml:space="preserve">4.3 Scomposizione in sottosistemi</w:t>
      </w:r>
    </w:p>
    <w:p>
      <w:pPr>
        <w:spacing w:after="120" w:line="276"/>
        <w:jc w:val="both"/>
      </w:pPr>
      <w:r>
        <w:t xml:space="preserve">Il sistema è scomposto nei seguenti sottosistemi, ciascuno con responsabilità ben definite. La comunicazione fra i sottosistemi applicativi avviene attraverso il sottosistema di persistenza e, indirettamente, attraverso il DBMS, secondo il paradigma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Sottosistema</w:t>
            </w:r>
          </w:p>
        </w:tc>
        <w:tc>
          <w:tcPr>
            <w:tcW w:type="dxa" w:w="636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Responsabilità</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Client SPA (Angular)</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Presentazione: raccoglie l’input dell’utente, mostra i dati, gestisce routing e protezione delle rotte; comunica con il server via REST.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Gestione Account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Registrazione, autenticazione (credenziali locali o Identity Provider), 2FA/OTP, logout, recupero credenziali. Control: AuthControl, RegistrationControl; servizi JwtService, EmailService.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Gestione Profilo</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Lettura e modifica di credenziali, password, anagrafica e altre informazioni del profilo; profilo pubblico. Control: ProfileControl.</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Gestione Contenuti</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Caricamento, consultazione, modifica, eliminazione e raggruppamento dei contenuti; gestione allegati e gruppi. Control: UploadControl, ContentControl, ViewControl.</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Condivisione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Generazione, configurazione, revoca e fruizione pubblica dei link; verifica delle visualizzazioni. Control: ShareControl.</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Ricerca</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Ricerca di utenti, gruppi, contenuti, autori e collaboratori. Control: SearchControl.</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Persistenza (DBMSBoundary)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Strato repository che incapsula l’accesso al DBMS tramite Spring Data JPA/Hibernate.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DBMS (PostgreSQL)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Memorizzazione e recupero dei dati persistenti; attore esterno passivo del sistema.</w:t>
            </w:r>
          </w:p>
        </w:tc>
      </w:tr>
    </w:tbl>
    <w:p>
      <w:pPr>
        <w:spacing w:after="120" w:line="276"/>
        <w:jc w:val="both"/>
      </w:pPr>
      <w:r>
        <w:t xml:space="preserve">All’interno di ciascun sottosistema applicativo si ritrova la struttura BCE: un livello di interfaccia (boundary), un livello di controllo (control) che gestisce la logica, e un livello di accesso ai dati che comunica con il DB centrale, coerentemente con l’architettura repository adottata.</w:t>
      </w:r>
    </w:p>
    <w:p>
      <w:pPr>
        <w:pStyle w:val="Heading2"/>
      </w:pPr>
      <w:r>
        <w:t xml:space="preserve">4.4 Mappatura hardware/software</w:t>
      </w:r>
    </w:p>
    <w:p>
      <w:pPr>
        <w:spacing w:after="120" w:line="276"/>
        <w:jc w:val="both"/>
      </w:pPr>
      <w:r>
        <w:t xml:space="preserve">Il sistema è distribuito su tre nodi logici, realizzati come container Docker orchestrati tramite docker-compose e collegati da una rete dedicata.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Nodo</w:t>
            </w:r>
          </w:p>
        </w:tc>
        <w:tc>
          <w:tcPr>
            <w:tcW w:type="dxa" w:w="636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Componente software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Nodo Frontend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Server web (es. Nginx) che serve l’applicazione Angular compilata; espone l’interfaccia all’utente.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Nodo Backend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Java Virtual Machine con l’applicazione Spring Boot (control, service, DBMSBoundary); espone le API REST sulla porta applicativa.</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Nodo Database (DBHost)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Istanza PostgreSQL che memorizza i dati e li fornisce al backend tramite query.</w:t>
            </w:r>
          </w:p>
        </w:tc>
      </w:tr>
    </w:tbl>
    <w:p>
      <w:pPr>
        <w:spacing w:after="120" w:line="276"/>
        <w:jc w:val="both"/>
      </w:pPr>
      <w:r>
        <w:t xml:space="preserve">Il client comunica con il nodo Backend esclusivamente via REST; il nodo Backend comunica con il nodo Database tramite driver JDBC. La separazione su nodi distinti consente scalabilità, isolamento dei guasti e una più semplice manutenzione. I file caricati dagli utenti sono archiviati sul nodo Backend in una directory organizzata per UUID dell’utente proprietario, mentre i relativi metadati e percorsi sono persistiti nel DBMS.</w:t>
      </w:r>
    </w:p>
    <w:p>
      <w:r>
        <w:br w:type="page"/>
      </w:r>
    </w:p>
    <w:p>
      <w:pPr>
        <w:pStyle w:val="Heading1"/>
      </w:pPr>
      <w:r>
        <w:t xml:space="preserve">5. Gestione dei dati persistenti</w:t>
      </w:r>
    </w:p>
    <w:p>
      <w:pPr>
        <w:pStyle w:val="Heading2"/>
      </w:pPr>
      <w:r>
        <w:t xml:space="preserve">5.1 Schema E-R</w:t>
      </w:r>
    </w:p>
    <w:p>
      <w:pPr>
        <w:spacing w:after="120" w:line="276"/>
        <w:jc w:val="both"/>
      </w:pPr>
      <w:r>
        <w:t xml:space="preserve">Il modello concettuale individua l’entità centrale UtenteAfam (account) in relazione uno-a-uno con Profilo, che rappresenta l’identità dello studente. Il Profilo raccoglie i propri Contenuti (portfolio) e i propri Gruppi; ogni Contenuto può avere più Allegati e può appartenere a più Gruppi (relazione molti-a-molti). Profilo, Contenuto e Gruppo sono risorse condivisibili e possono essere associati a uno o più Link. L’account è inoltre associato a uno o più Token (registrazione, 2FA, recupero credenziali). Le associazioni molti-a-molti e gli attributi multivalore (autori, collaboratori, allegati) sono risolti con apposite tabelle.</w:t>
      </w:r>
    </w:p>
    <w:p>
      <w:pPr>
        <w:pStyle w:val="Heading2"/>
      </w:pPr>
      <w:r>
        <w:t xml:space="preserve">5.2 Modello relazionale</w:t>
      </w:r>
    </w:p>
    <w:p>
      <w:pPr>
        <w:spacing w:after="120" w:line="276"/>
        <w:jc w:val="both"/>
      </w:pPr>
      <w:r>
        <w:t xml:space="preserve">Dalla traduzione dello schema E-R derivano le relazioni seguenti (le chiavi primarie sono sottolineate concettualmente; FK indica le chiavi esterne).</w:t>
      </w:r>
    </w:p>
    <w:p>
      <w:pPr>
        <w:spacing w:after="80"/>
      </w:pPr>
      <w:r>
        <w:rPr>
          <w:sz w:val="20"/>
          <w:szCs w:val="20"/>
        </w:rPr>
        <w:t xml:space="preserve">UtenteAfam (uuid, username, email, password, has2fa, metodo2fa, registrationWithIdentityProvider, identityProvider) — PK: uuid</w:t>
      </w:r>
    </w:p>
    <w:p>
      <w:pPr>
        <w:spacing w:after="80"/>
      </w:pPr>
      <w:r>
        <w:rPr>
          <w:sz w:val="20"/>
          <w:szCs w:val="20"/>
        </w:rPr>
        <w:t xml:space="preserve">Token (id, valore, scadenza, tipo, utente_uuid) — PK: id; FK: utente_uuid → UtenteAfam(uuid)</w:t>
      </w:r>
    </w:p>
    <w:p>
      <w:pPr>
        <w:spacing w:after="80"/>
      </w:pPr>
      <w:r>
        <w:rPr>
          <w:sz w:val="20"/>
          <w:szCs w:val="20"/>
        </w:rPr>
        <w:t xml:space="preserve">Profilo (id, utente_uuid, descrizione, interessi, competenze, policy_visibilita, foto_profilo, nome, cognome, data_nascita, codice_fiscale, citta, indirizzo, telefono, istituzione, dominio_istituzionale, matricola, corso_di_studi, anno_accademico) — PK: id; FK: utente_uuid → UtenteAfam(uuid)</w:t>
      </w:r>
    </w:p>
    <w:p>
      <w:pPr>
        <w:spacing w:after="80"/>
      </w:pPr>
      <w:r>
        <w:rPr>
          <w:sz w:val="20"/>
          <w:szCs w:val="20"/>
        </w:rPr>
        <w:t xml:space="preserve">Gruppo (id, nome, profilo_id) — PK: id; FK: profilo_id → Profilo(id)</w:t>
      </w:r>
    </w:p>
    <w:p>
      <w:pPr>
        <w:spacing w:after="80"/>
      </w:pPr>
      <w:r>
        <w:rPr>
          <w:sz w:val="20"/>
          <w:szCs w:val="20"/>
        </w:rPr>
        <w:t xml:space="preserve">Contenuto (id, titolo, tipo, descrizione, policy_visibilita, numero_visualizzazioni, profilo_id) — PK: id; FK: profilo_id → Profilo(id)</w:t>
      </w:r>
    </w:p>
    <w:p>
      <w:pPr>
        <w:spacing w:after="80"/>
      </w:pPr>
      <w:r>
        <w:rPr>
          <w:sz w:val="20"/>
          <w:szCs w:val="20"/>
        </w:rPr>
        <w:t xml:space="preserve">Allegato (id, contenuto_id, url_file) — PK: id; FK: contenuto_id → Contenuto(id)</w:t>
      </w:r>
    </w:p>
    <w:p>
      <w:pPr>
        <w:spacing w:after="80"/>
      </w:pPr>
      <w:r>
        <w:rPr>
          <w:sz w:val="20"/>
          <w:szCs w:val="20"/>
        </w:rPr>
        <w:t xml:space="preserve">Contenuto_Autore (contenuto_id, profilo_id) — PK: (contenuto_id, profilo_id); FK verso Contenuto e Profilo</w:t>
      </w:r>
    </w:p>
    <w:p>
      <w:pPr>
        <w:spacing w:after="80"/>
      </w:pPr>
      <w:r>
        <w:rPr>
          <w:sz w:val="20"/>
          <w:szCs w:val="20"/>
        </w:rPr>
        <w:t xml:space="preserve">Contenuto_Collaboratore (contenuto_id, profilo_id) — PK: (contenuto_id, profilo_id); FK verso Contenuto e Profilo</w:t>
      </w:r>
    </w:p>
    <w:p>
      <w:pPr>
        <w:spacing w:after="80"/>
      </w:pPr>
      <w:r>
        <w:rPr>
          <w:sz w:val="20"/>
          <w:szCs w:val="20"/>
        </w:rPr>
        <w:t xml:space="preserve">Gruppo_Contenuto (gruppo_id, contenuto_id) — PK: (gruppo_id, contenuto_id); FK verso Gruppo e Contenuto</w:t>
      </w:r>
    </w:p>
    <w:p>
      <w:pPr>
        <w:spacing w:after="80"/>
      </w:pPr>
      <w:r>
        <w:rPr>
          <w:sz w:val="20"/>
          <w:szCs w:val="20"/>
        </w:rPr>
        <w:t xml:space="preserve">Link (identificatore_link, data_scadenza, risorsa_associata, stato, impostazioni, numero_visualizzazioni, profilo_id, gruppo_id, contenuto_id) — PK: identificatore_link; FK opzionali verso Profilo, Gruppo, Contenuto</w:t>
      </w:r>
    </w:p>
    <w:p>
      <w:pPr>
        <w:pStyle w:val="Heading2"/>
      </w:pPr>
      <w:r>
        <w:t xml:space="preserve">5.3 Struttura delle tabelle</w:t>
      </w:r>
    </w:p>
    <w:p>
      <w:pPr>
        <w:spacing w:after="120" w:line="276"/>
        <w:jc w:val="both"/>
      </w:pPr>
      <w:r>
        <w:t xml:space="preserve">Di seguito la struttura fisica delle principali tabelle, con tipo e vincoli degli attributi.</w:t>
      </w:r>
    </w:p>
    <w:p>
      <w:pPr>
        <w:pStyle w:val="Heading3"/>
      </w:pPr>
      <w:r>
        <w:t xml:space="preserve">5.3.1 utente_afam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c>
          <w:tcPr>
            <w:tcW w:type="dxa" w:w="27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Attributo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Tipo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Vincoli</w:t>
            </w:r>
          </w:p>
        </w:tc>
        <w:tc>
          <w:tcPr>
            <w:tcW w:type="dxa" w:w="226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Descrizione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uuid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varchar(36)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PK</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Identificativo univoco dell’account</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username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varchar(50)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NOT NULL, UNIQUE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Nome utente, gestito dal sistema</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email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varchar(100)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NOT NULL, UNIQUE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Email istituzionale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password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varchar(255)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NOT NULL</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Hash Argon2 della password</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has_2fa</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boolean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DEFAULT FALSE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2FA abilitata</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metodo_2fa</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varchar(50)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Metodo del secondo fattore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registration_with_identity_provider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boolean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DEFAULT FALSE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Registrazione via ID Provider</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identity_provider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varchar(50)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 Provider usato (SPID/CIE)</w:t>
            </w:r>
          </w:p>
        </w:tc>
      </w:tr>
    </w:tbl>
    <w:p>
      <w:pPr>
        <w:pStyle w:val="Heading3"/>
      </w:pPr>
      <w:r>
        <w:t xml:space="preserve">5.3.2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c>
          <w:tcPr>
            <w:tcW w:type="dxa" w:w="27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Attributo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Tipo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Vincoli</w:t>
            </w:r>
          </w:p>
        </w:tc>
        <w:tc>
          <w:tcPr>
            <w:tcW w:type="dxa" w:w="226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Descrizione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serial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PK</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Identificativo del token</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valore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varchar(255)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NOT NULL, UNIQUE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Valore del token/OTP</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scadenza</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timestamp</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NOT NULL</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Data e ora di scadenza</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tipo</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varchar(50)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NOT NULL</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Tipo (registrazione/2FA/recupero)</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utente_uuid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varchar(36)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FK, NOT NULL</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Riferimento all’account</w:t>
            </w:r>
          </w:p>
        </w:tc>
      </w:tr>
    </w:tbl>
    <w:p>
      <w:pPr>
        <w:pStyle w:val="Heading3"/>
      </w:pPr>
      <w:r>
        <w:t xml:space="preserve">5.3.3 profilo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c>
          <w:tcPr>
            <w:tcW w:type="dxa" w:w="27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Attributo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Tipo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Vincoli</w:t>
            </w:r>
          </w:p>
        </w:tc>
        <w:tc>
          <w:tcPr>
            <w:tcW w:type="dxa" w:w="226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Descrizione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serial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PK</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Identificativo del profilo</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utente_uuid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varchar(36)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FK, NOT NULL, UNIQUE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Account associato (1:1)</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descrizione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text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Presentazione dell’utente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interessi / competenze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text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Interessi e competenze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policy_visibilita</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varchar(50)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Visibilità del profilo</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foto_profilo</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varchar(255)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Percorso della foto</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nome / cognome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varchar(50)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NOT NULL</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Dati anagrafici</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data_nascita</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date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Data di nascita</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codice_fiscale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varchar(16)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UNIQUE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Codice fiscale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citta / indirizzo / telefono</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Recapiti</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istituzione / dominio_istituzionale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varchar(100)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Dati istituzionali</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matricola / corso_di_studi / anno_accademico</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Dati accademici</w:t>
            </w:r>
          </w:p>
        </w:tc>
      </w:tr>
    </w:tbl>
    <w:p>
      <w:pPr>
        <w:pStyle w:val="Heading3"/>
      </w:pPr>
      <w:r>
        <w:t xml:space="preserve">5.3.4 contenuto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c>
          <w:tcPr>
            <w:tcW w:type="dxa" w:w="27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Attributo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Tipo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Vincoli</w:t>
            </w:r>
          </w:p>
        </w:tc>
        <w:tc>
          <w:tcPr>
            <w:tcW w:type="dxa" w:w="226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Descrizione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serial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PK</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Identificativo del contenuto</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titolo</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varchar(255)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NOT NULL</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Titolo del contenuto</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tipo</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varchar(50)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Tipo di file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descrizione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text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Descrizione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policy_visibilita</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varchar(50)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Visibilità del contenuto</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numero_visualizzazioni</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int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DEFAULT 0</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Conteggio visualizzazioni</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profilo_id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int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FK, NOT NULL</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Profilo proprietario</w:t>
            </w:r>
          </w:p>
        </w:tc>
      </w:tr>
    </w:tbl>
    <w:p>
      <w:pPr>
        <w:pStyle w:val="Heading3"/>
      </w:pPr>
      <w:r>
        <w:t xml:space="preserve">5.3.5 allegato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c>
          <w:tcPr>
            <w:tcW w:type="dxa" w:w="27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Attributo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Tipo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Vincoli</w:t>
            </w:r>
          </w:p>
        </w:tc>
        <w:tc>
          <w:tcPr>
            <w:tcW w:type="dxa" w:w="226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Descrizione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serial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PK</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Identificativo dell’allegato</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contenuto_id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int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FK, NOT NULL</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Contenuto di appartenenza</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url_file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varchar(255)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NOT NULL</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Percorso fisico del file</w:t>
            </w:r>
          </w:p>
        </w:tc>
      </w:tr>
    </w:tbl>
    <w:p>
      <w:pPr>
        <w:pStyle w:val="Heading3"/>
      </w:pPr>
      <w:r>
        <w:t xml:space="preserve">5.3.6 gruppo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c>
          <w:tcPr>
            <w:tcW w:type="dxa" w:w="27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Attributo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Tipo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Vincoli</w:t>
            </w:r>
          </w:p>
        </w:tc>
        <w:tc>
          <w:tcPr>
            <w:tcW w:type="dxa" w:w="226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Descrizione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serial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PK</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Identificativo del gruppo</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nome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varchar(100)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NOT NULL</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Nome del gruppo</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profilo_id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int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FK, NOT NULL</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Profilo proprietario</w:t>
            </w:r>
          </w:p>
        </w:tc>
      </w:tr>
    </w:tbl>
    <w:p>
      <w:pPr>
        <w:pStyle w:val="Heading3"/>
      </w:pPr>
      <w:r>
        <w:t xml:space="preserve">5.3.7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c>
          <w:tcPr>
            <w:tcW w:type="dxa" w:w="27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Attributo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Tipo</w:t>
            </w:r>
          </w:p>
        </w:tc>
        <w:tc>
          <w:tcPr>
            <w:tcW w:type="dxa" w:w="220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Vincoli</w:t>
            </w:r>
          </w:p>
        </w:tc>
        <w:tc>
          <w:tcPr>
            <w:tcW w:type="dxa" w:w="2260"/>
            <w:tcBorders>
              <w:top w:val="single" w:color="BBBBBB" w:sz="1"/>
              <w:left w:val="single" w:color="BBBBBB" w:sz="1"/>
              <w:bottom w:val="single" w:color="BBBBBB" w:sz="1"/>
              <w:right w:val="single" w:color="BBBBBB" w:sz="1"/>
            </w:tcBorders>
            <w:shd w:fill="D9E6D9" w:val="clear"/>
            <w:tcMar>
              <w:top w:type="dxa" w:w="80"/>
              <w:left w:type="dxa" w:w="120"/>
              <w:bottom w:type="dxa" w:w="80"/>
              <w:right w:type="dxa" w:w="120"/>
            </w:tcMar>
          </w:tcPr>
          <w:p>
            <w:r>
              <w:rPr>
                <w:b/>
                <w:bCs/>
                <w:sz w:val="19"/>
                <w:szCs w:val="19"/>
              </w:rPr>
              <w:t xml:space="preserve">Descrizione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identificatore_link</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varchar(255)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PK</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Identificativo univoco del link</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data_scadenza</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timestamp</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Scadenza del link</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risorsa_associata</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varchar(255)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Tipo di risorsa condivisa</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stato</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varchar(50)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Stato (attivo/revocato)</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impostazioni</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text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Configurazione del link</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numero_visualizzazioni</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int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DEFAULT 0</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Conteggio aperture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profilo_id / gruppo_id / contenuto_id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int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FK opzionali</w:t>
            </w:r>
          </w:p>
        </w:tc>
        <w:tc>
          <w:tcPr>
            <w:tcW w:type="dxa" w:w="2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9"/>
                <w:szCs w:val="19"/>
              </w:rPr>
              <w:t xml:space="preserve">Risorsa condivisa</w:t>
            </w:r>
          </w:p>
        </w:tc>
      </w:tr>
    </w:tbl>
    <w:p>
      <w:pPr>
        <w:pStyle w:val="Heading3"/>
      </w:pPr>
      <w:r>
        <w:t xml:space="preserve">5.3.8 Tabelle di giunzione</w:t>
      </w:r>
    </w:p>
    <w:p>
      <w:pPr>
        <w:spacing w:after="120" w:line="276"/>
        <w:jc w:val="both"/>
      </w:pPr>
      <w:r>
        <w:t xml:space="preserve">Le tabelle contenuto_autore e contenuto_collaboratore (chiave primaria composta contenuto_id, profilo_id) risolvono gli attributi multivalore «autori» e «collaboratori»; la tabella gruppo_contenuto (chiave primaria composta gruppo_id, contenuto_id) risolve la relazione molti-a-molti «aggrega» fra Gruppo e Contenuto. Tutte le chiavi esterne sono definite con ON DELETE CASCADE.</w:t>
      </w:r>
    </w:p>
    <w:p>
      <w:r>
        <w:br w:type="page"/>
      </w:r>
    </w:p>
    <w:p>
      <w:pPr>
        <w:pStyle w:val="Heading1"/>
      </w:pPr>
      <w:r>
        <w:t xml:space="preserve">6. Controllo degli accessi e sicurezza</w:t>
      </w:r>
    </w:p>
    <w:p>
      <w:pPr>
        <w:spacing w:after="120" w:line="276"/>
        <w:jc w:val="both"/>
      </w:pPr>
      <w:r>
        <w:t xml:space="preserve">L’accesso al sistema è regolato da Spring Security con politica di sessione stateless. Dopo un’autenticazione riuscita (e, ove attiva, la verifica del secondo fattore OTP), il server emette un token JWT che il client trasmette nell’header Authorization a ogni richiesta. Un filtro di autenticazione (JwtAuthenticationFilter) valida il token e popola il contesto di sicurezza. Il sistema distingue due ruoli: AFAM, assegnato agli utenti autenticati con pieno accesso alle funzionalità del proprio profilo e contenuti, e GUEST, assegnato ai Visualizzatori tramite un token ospite, con accesso limitato alla ricerca e alla visualizzazione dei contenuti pubblici. Le rotte di autenticazione, registrazione, recupero e i link di condivisione pubblici sono accessibili senza autenticazione; tutte le altre richiedono il ruolo AFAM. Le password sono cifrate con Argon2 e mai memorizzate in chiaro; gli input sono validati e sanificati; la fruizione dei link rispetta stato e scadenza, restituendo gli opportuni codici HTTP (es. 410 Gone per link scaduti o revocati).</w:t>
      </w:r>
    </w:p>
    <w:p>
      <w:pPr>
        <w:pStyle w:val="Heading1"/>
      </w:pPr>
      <w:r>
        <w:t xml:space="preserve">7. Condizioni limite</w:t>
      </w:r>
    </w:p>
    <w:p>
      <w:pPr>
        <w:spacing w:after="120" w:line="276"/>
        <w:jc w:val="both"/>
      </w:pPr>
      <w:r>
        <w:t xml:space="preserve">Avvio: l’infrastruttura è avviata tramite docker-compose, che istanzia in sequenza il nodo Database, il nodo Backend (che valida lo schema all’avvio) e il nodo Frontend. Arresto: l’arresto controllato dei container preserva i dati persistiti su volume dedicato del DBMS. Gestione dei guasti: in caso di perdita di connessione o di assenza di risposta del DBMS, il sistema gestisce l’errore in modo controllato — riportando l’utente a uno stato valido, eliminando i dati non ancora inviati e mostrando un messaggio dedicato — e adotta una strategia di ritentativi con attesa crescente prima di porre in stato di sospensione il solo nodo interessato, in attesa di intervento manutentivo, coerentemente con i casi d’uso di comportamento eccezionale del RAD.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5A2E"/>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2026-06-23T13:18:37.462Z</dcterms:created>
  <dcterms:modified xsi:type="dcterms:W3CDTF">2026-06-23T13:18:37.462Z</dcterms:modified>
</cp:coreProperties>
</file>

<file path=docProps/custom.xml><?xml version="1.0" encoding="utf-8"?>
<Properties xmlns="http://schemas.openxmlformats.org/officeDocument/2006/custom-properties" xmlns:vt="http://schemas.openxmlformats.org/officeDocument/2006/docPropsVTypes"/>
</file>