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 complementario S2 — Modelo de negocio v1.2</w:t>
      </w:r>
    </w:p>
    <w:p>
      <w:r>
        <w:rPr>
          <w:b w:val="0"/>
        </w:rPr>
        <w:t>UNMSM — FISI — Ingeniería de Software. Tendencias en Ingeniería de Software y Gestión.</w:t>
      </w:r>
    </w:p>
    <w:p>
      <w:r>
        <w:rPr>
          <w:b w:val="0"/>
        </w:rPr>
        <w:t>Grupo 1. Semana 2, revisión integrada al Hito I S5. Versión v1.2. Fecha 25/10/2026.</w:t>
      </w:r>
    </w:p>
    <w:p>
      <w:r>
        <w:rPr>
          <w:b w:val="0"/>
        </w:rPr>
        <w:t xml:space="preserve">Estado: </w:t>
      </w:r>
      <w:r>
        <w:rPr>
          <w:b/>
        </w:rPr>
        <w:t>Pendiente de validación humana</w:t>
      </w:r>
      <w:r>
        <w:rPr>
          <w:b w:val="0"/>
        </w:rPr>
        <w:t>. Elaboración propia con asistencia de IA.</w:t>
      </w:r>
    </w:p>
    <w:p>
      <w:r>
        <w:rPr>
          <w:b w:val="0"/>
        </w:rPr>
        <w:t xml:space="preserve">Sustituye para uso vigente </w:t>
      </w:r>
      <w:r>
        <w:rPr>
          <w:b w:val="0"/>
        </w:rPr>
        <w:t>entregas/semana-02/Grupo 1 - Proyecto - S2.pdf</w:t>
      </w:r>
      <w:r>
        <w:rPr>
          <w:b w:val="0"/>
        </w:rPr>
        <w:t>, que</w:t>
      </w:r>
    </w:p>
    <w:p>
      <w:r>
        <w:rPr>
          <w:b w:val="0"/>
        </w:rPr>
        <w:t>permanece histórico. No se reutilizan sus fotos ni iconos de procedencia no identificada.</w:t>
      </w:r>
    </w:p>
    <w:p>
      <w:r>
        <w:rPr>
          <w:b w:val="0"/>
        </w:rPr>
        <w:t>Fuente del contenido: Hito I v1.2, §§2–3/8. No se afirma que el PDF original fue editado.</w:t>
      </w:r>
    </w:p>
    <w:p>
      <w:r>
        <w:rPr>
          <w:b w:val="0"/>
        </w:rPr>
        <w:t>Los SVG por lámina son editables; el PDF nuevo se genera directamente, no por Office.</w:t>
      </w:r>
    </w:p>
    <w:p>
      <w:pPr>
        <w:pStyle w:val="Heading2"/>
      </w:pPr>
      <w:r>
        <w:t>Lámina 1. Business Model Canvas AS-IS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/>
          <w:cantSplit/>
        </w:trPr>
        <w:tc>
          <w:tcPr>
            <w:tcW w:type="dxa" w:w="5046"/>
          </w:tcPr>
          <w:p>
            <w:r>
              <w:rPr>
                <w:sz w:val="16"/>
              </w:rPr>
              <w:t>Bloque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Contenido del escenario</w:t>
            </w:r>
          </w:p>
        </w:tc>
      </w:tr>
      <w:tr>
        <w:trPr>
          <w:cantSplit/>
        </w:trPr>
        <w:tc>
          <w:tcPr>
            <w:tcW w:type="dxa" w:w="5046"/>
          </w:tcPr>
          <w:p>
            <w:r>
              <w:rPr>
                <w:sz w:val="16"/>
              </w:rPr>
              <w:t>Socios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Proveedores, subcontratistas, proyectistas y entidades financieras</w:t>
            </w:r>
          </w:p>
        </w:tc>
      </w:tr>
      <w:tr>
        <w:trPr>
          <w:cantSplit/>
        </w:trPr>
        <w:tc>
          <w:tcPr>
            <w:tcW w:type="dxa" w:w="5046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Presupuestar, ejecutar, tarear, medir, comprar, valorizar y atender posventa contractual</w:t>
            </w:r>
          </w:p>
        </w:tc>
      </w:tr>
      <w:tr>
        <w:trPr>
          <w:cantSplit/>
        </w:trPr>
        <w:tc>
          <w:tcPr>
            <w:tcW w:type="dxa" w:w="5046"/>
          </w:tcPr>
          <w:p>
            <w:r>
              <w:rPr>
                <w:sz w:val="16"/>
              </w:rPr>
              <w:t>Propuesta de valor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Obras/unidades conforme a alcance, plazo, calidad y obligaciones contractuales</w:t>
            </w:r>
          </w:p>
        </w:tc>
      </w:tr>
      <w:tr>
        <w:trPr>
          <w:cantSplit/>
        </w:trPr>
        <w:tc>
          <w:tcPr>
            <w:tcW w:type="dxa" w:w="5046"/>
          </w:tcPr>
          <w:p>
            <w:r>
              <w:rPr>
                <w:sz w:val="16"/>
              </w:rPr>
              <w:t>Relación con clientes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Contrato, reuniones de avance, valorizaciones y posventa</w:t>
            </w:r>
          </w:p>
        </w:tc>
      </w:tr>
      <w:tr>
        <w:trPr>
          <w:cantSplit/>
        </w:trPr>
        <w:tc>
          <w:tcPr>
            <w:tcW w:type="dxa" w:w="5046"/>
          </w:tcPr>
          <w:p>
            <w:r>
              <w:rPr>
                <w:sz w:val="16"/>
              </w:rPr>
              <w:t>Segmentos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Contratantes privados y compradores inmobiliarios; públicos solo cuando corresponda</w:t>
            </w:r>
          </w:p>
        </w:tc>
      </w:tr>
      <w:tr>
        <w:trPr>
          <w:cantSplit/>
        </w:trPr>
        <w:tc>
          <w:tcPr>
            <w:tcW w:type="dxa" w:w="5046"/>
          </w:tcPr>
          <w:p>
            <w:r>
              <w:rPr>
                <w:sz w:val="16"/>
              </w:rPr>
              <w:t>Recursos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Personal, equipos, capital, ERP propio e históricos; cantidades no confirmadas</w:t>
            </w:r>
          </w:p>
        </w:tc>
      </w:tr>
      <w:tr>
        <w:trPr>
          <w:cantSplit/>
        </w:trPr>
        <w:tc>
          <w:tcPr>
            <w:tcW w:type="dxa" w:w="5046"/>
          </w:tcPr>
          <w:p>
            <w:r>
              <w:rPr>
                <w:sz w:val="16"/>
              </w:rPr>
              <w:t>Canales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Comerciales supuestos: fuerza/sala de ventas e invitaciones; digitales supuestos: web, redes, portales y correo al cliente</w:t>
            </w:r>
          </w:p>
        </w:tc>
      </w:tr>
      <w:tr>
        <w:trPr>
          <w:cantSplit/>
        </w:trPr>
        <w:tc>
          <w:tcPr>
            <w:tcW w:type="dxa" w:w="5046"/>
          </w:tcPr>
          <w:p>
            <w:r>
              <w:rPr>
                <w:sz w:val="16"/>
              </w:rPr>
              <w:t>Costos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Mano de obra, materiales, subcontratos, equipos, logística, administración y TI</w:t>
            </w:r>
          </w:p>
        </w:tc>
      </w:tr>
      <w:tr>
        <w:trPr>
          <w:cantSplit/>
        </w:trPr>
        <w:tc>
          <w:tcPr>
            <w:tcW w:type="dxa" w:w="5046"/>
          </w:tcPr>
          <w:p>
            <w:r>
              <w:rPr>
                <w:sz w:val="16"/>
              </w:rPr>
              <w:t>Ingresos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Contratos valorizados, venta de unidades y adicionales reconocidos; no SaaS ni monetización de APIs</w:t>
            </w:r>
          </w:p>
        </w:tc>
      </w:tr>
    </w:tbl>
    <w:p/>
    <w:p>
      <w:r>
        <w:rPr>
          <w:b w:val="0"/>
        </w:rPr>
        <w:t>El bloque Segmentos responde quién compra, no cómo llega. Fuerza de ventas,</w:t>
      </w:r>
    </w:p>
    <w:p>
      <w:r>
        <w:rPr>
          <w:b w:val="0"/>
        </w:rPr>
        <w:t>licitaciones/invitaciones y web son canales del escenario, no clientes.</w:t>
      </w:r>
    </w:p>
    <w:p>
      <w:pPr>
        <w:pStyle w:val="Heading2"/>
      </w:pPr>
      <w:r>
        <w:t>Lámina 2. Ingresos, costos, eficiencia y valor</w:t>
      </w:r>
    </w:p>
    <w:p>
      <w:r>
        <w:rPr>
          <w:b w:val="0"/>
        </w:rPr>
        <w:t>Ingresos: contratos, unidades y adicionales reconocidos. La posventa no se agrega</w:t>
      </w:r>
    </w:p>
    <w:p>
      <w:r>
        <w:rPr>
          <w:b w:val="0"/>
        </w:rPr>
        <w:t>como nuevo flujo sin contrato. Costos: mano de obra, materiales, equipos y soporte.</w:t>
      </w:r>
    </w:p>
    <w:p>
      <w:r>
        <w:rPr>
          <w:b w:val="0"/>
        </w:rPr>
        <w:t>P-01/P-03 proponen eficiencia y menos reprocesos; no prometen ingresos nuevos.</w:t>
      </w:r>
    </w:p>
    <w:p>
      <w:r>
        <w:rPr>
          <w:b w:val="0"/>
        </w:rPr>
        <w:t>P-02 puede mejorar valor percibido; no garantiza ventas ni ahorro inmediato.</w:t>
      </w:r>
    </w:p>
    <w:p>
      <w:pPr>
        <w:pStyle w:val="Heading2"/>
      </w:pPr>
      <w:r>
        <w:t>Lámina 3. Canales, actores y dependencias</w:t>
      </w:r>
    </w:p>
    <w:p>
      <w:r>
        <w:rPr>
          <w:b w:val="0"/>
        </w:rPr>
        <w:t>Comerciales: fuerza/sala de ventas e invitaciones del escenario. Digitales de</w:t>
      </w:r>
    </w:p>
    <w:p>
      <w:r>
        <w:rPr>
          <w:b w:val="0"/>
        </w:rPr>
        <w:t>mercado: web, redes, portales y correo al cliente, supuestos por validar.</w:t>
      </w:r>
    </w:p>
    <w:p>
      <w:r>
        <w:rPr>
          <w:b w:val="0"/>
        </w:rPr>
        <w:t>ERP: soporte interno, recurso operativo, no canal comercial al cliente.</w:t>
      </w:r>
    </w:p>
    <w:p>
      <w:r>
        <w:rPr>
          <w:b w:val="0"/>
        </w:rPr>
        <w:t>Clientes: contratantes/compradores. Socios: proveedores/subcontratistas.</w:t>
      </w:r>
    </w:p>
    <w:p>
      <w:r>
        <w:rPr>
          <w:b w:val="0"/>
        </w:rPr>
        <w:t>Habilitadores: banca y TI. Regulación depende del contrato/tratamiento de datos.</w:t>
      </w:r>
    </w:p>
    <w:p>
      <w:r>
        <w:rPr>
          <w:b w:val="0"/>
        </w:rPr>
        <w:t>ERP propio CodeIgniter/MySQL: aclaración del equipo. Hosting, licencias y contratos</w:t>
      </w:r>
    </w:p>
    <w:p>
      <w:r>
        <w:rPr>
          <w:b w:val="0"/>
        </w:rPr>
        <w:t>API con banca/OSE: desconocidos; no integraciones existentes demostradas.</w:t>
      </w:r>
    </w:p>
    <w:p>
      <w:pPr>
        <w:pStyle w:val="Heading2"/>
      </w:pPr>
      <w:r>
        <w:t>Lámina 4. Oportunidades proporcionales</w:t>
      </w:r>
    </w:p>
    <w:p>
      <w:r>
        <w:rPr>
          <w:b w:val="0"/>
        </w:rPr>
        <w:t>SaaS como consumo potencial, condicionado a costo y permisos; no comercializar ERP.</w:t>
      </w:r>
    </w:p>
    <w:p>
      <w:r>
        <w:rPr>
          <w:b w:val="0"/>
        </w:rPr>
        <w:t>Plataforma acotada a participantes; no marketplace abierto ni efectos de red asumidos.</w:t>
      </w:r>
    </w:p>
    <w:p>
      <w:r>
        <w:rPr>
          <w:b w:val="0"/>
        </w:rPr>
        <w:t>APIs para integración pertinente; no obligación de exponer API para un piloto CSV.</w:t>
      </w:r>
    </w:p>
    <w:p>
      <w:r>
        <w:rPr>
          <w:b w:val="0"/>
        </w:rPr>
        <w:t>e-Business para compras/documentación. e-Commerce solo captación/reserva/pago como</w:t>
      </w:r>
    </w:p>
    <w:p>
      <w:r>
        <w:rPr>
          <w:b w:val="0"/>
        </w:rPr>
        <w:t>propuesta futura según contrato. Se retiran las cifras CAPECE no respaldadas de H1 2026.</w:t>
      </w:r>
    </w:p>
    <w:p>
      <w:pPr>
        <w:pStyle w:val="Heading2"/>
      </w:pPr>
      <w:r>
        <w:t>Lámina 5. Tres propuestas y criterio de avance</w:t>
      </w:r>
    </w:p>
    <w:p>
      <w:r>
        <w:rPr>
          <w:b w:val="0"/>
        </w:rPr>
        <w:t>P-01: históricos gobernados para presupuesto; riesgo de calidad; protocolo S4 v1.2</w:t>
      </w:r>
    </w:p>
    <w:p>
      <w:r>
        <w:rPr>
          <w:b w:val="0"/>
        </w:rPr>
        <w:t>sin resultados nuevos. P-02: portal acotado; riesgo de confidencialidad; fuera del</w:t>
      </w:r>
    </w:p>
    <w:p>
      <w:r>
        <w:rPr>
          <w:b w:val="0"/>
        </w:rPr>
        <w:t>primer TO-BE. P-03: abastecimiento integrado; riesgo de terceros; diagnosticar</w:t>
      </w:r>
    </w:p>
    <w:p>
      <w:r>
        <w:rPr>
          <w:b w:val="0"/>
        </w:rPr>
        <w:t>capacidad antes de diseñar APIs. Continuar solo con evidencia y revisión humana.</w:t>
      </w:r>
    </w:p>
    <w:p>
      <w:r>
        <w:rPr>
          <w:b w:val="0"/>
        </w:rPr>
        <w:t>Referencias del material: Postman (2025), 2025 State of the API Report,</w:t>
      </w:r>
    </w:p>
    <w:p>
      <w:r>
        <w:rPr>
          <w:b w:val="0"/>
        </w:rPr>
        <w:t>https://www.postman.com/state-of-api/2025/; Thoughtworks (2025, 2 de abril), Data product</w:t>
      </w:r>
    </w:p>
    <w:p>
      <w:r>
        <w:rPr>
          <w:b w:val="0"/>
        </w:rPr>
        <w:t>thinking, https://www.thoughtworks.com/en-us/radar/techniques/data-product-thinking;</w:t>
      </w:r>
    </w:p>
    <w:p>
      <w:r>
        <w:rPr>
          <w:b w:val="0"/>
        </w:rPr>
        <w:t>Souppaya, M., Scarfone, K., &amp; Dodson, D. (2022), SSDF 1.1 (NIST SP 800-218),</w:t>
      </w:r>
    </w:p>
    <w:p>
      <w:r>
        <w:rPr>
          <w:b w:val="0"/>
        </w:rPr>
        <w:t>https://doi.org/10.6028/NIST.SP.800-218. Alcance y verificación: Hito I v1.2 §12.</w:t>
      </w:r>
    </w:p>
    <w:sectPr w:rsidR="00FC693F" w:rsidRPr="0006063C" w:rsidSect="00034616">
      <w:footerReference w:type="default" r:id="rId9"/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Grupo 1 · v1.2 · 25/10/2026 · Pendiente de validación humana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 — Material complementario v1.2</dc:title>
  <dc:subject/>
  <dc:creator>Grupo 1; revisión humana pendiente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