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 Integrador — Hito I v1.2</w:t>
      </w:r>
    </w:p>
    <w:p>
      <w:pPr>
        <w:pStyle w:val="Heading2"/>
      </w:pPr>
      <w:r>
        <w:t>Estrategia de adopción tecnológica 2026–2029</w:t>
      </w:r>
    </w:p>
    <w:p>
      <w:r>
        <w:rPr>
          <w:b w:val="0"/>
        </w:rPr>
      </w:r>
      <w:r>
        <w:rPr>
          <w:b/>
        </w:rPr>
        <w:t>Universidad Nacional Mayor de San Marcos — FISI — Ingeniería de Software.</w:t>
      </w:r>
      <w:r>
        <w:rPr>
          <w:b w:val="0"/>
        </w:rPr>
      </w:r>
    </w:p>
    <w:p>
      <w:r>
        <w:rPr>
          <w:b w:val="0"/>
        </w:rPr>
        <w:t>Curso: Tendencias en Ingeniería de Software y Gestión. Docente: Mg. PMP Yamil Quiñones Nieto.</w:t>
      </w:r>
    </w:p>
    <w:p>
      <w:r>
        <w:rPr>
          <w:b w:val="0"/>
        </w:rPr>
        <w:t>Equipo: Grupo 1. Semana: 5, integración acumulativa S1–S5. Fecha: 25/10/2026. Versión: v1.2.</w:t>
      </w:r>
    </w:p>
    <w:p>
      <w:r>
        <w:rPr>
          <w:b w:val="0"/>
        </w:rPr>
        <w:t>Integrantes: Anthony Romani, Max Astuhuaman, Guillermo Calle y Pablo Mendoza.</w:t>
      </w:r>
    </w:p>
    <w:p>
      <w:r>
        <w:rPr>
          <w:b w:val="0"/>
        </w:rPr>
      </w:r>
      <w:r>
        <w:rPr>
          <w:b/>
        </w:rPr>
        <w:t>Estado: Pendiente de validación humana.</w:t>
      </w:r>
      <w:r>
        <w:rPr>
          <w:b w:val="0"/>
        </w:rPr>
        <w:t xml:space="preserve"> Peso S5: 8 %; acumulado curricular S1–S5: 25 %, no calificación.</w:t>
      </w:r>
    </w:p>
    <w:p>
      <w:pPr>
        <w:pStyle w:val="Heading2"/>
      </w:pPr>
      <w:r>
        <w:t>1. Control de cambios y naturaleza de la evidencia</w:t>
      </w:r>
    </w:p>
    <w:p>
      <w:r>
        <w:rPr>
          <w:b w:val="0"/>
        </w:rPr>
        <w:t>La organización es Constructora Andina S.A.C., un caso ficticio académico. Se conserva el ERP propio CodeIgniter/MySQL, aclarado por el equipo en la revisión anterior. No se conocen sus versiones, servidores, licencias, controles o dotación reales. Esta versión no requiere acceder a producción ni sustituir el ERP.</w:t>
      </w:r>
    </w:p>
    <w:p>
      <w:r>
        <w:rPr>
          <w:b w:val="0"/>
        </w:rPr>
        <w:t>Los originales S1–S5 y la v1.1 se conservan. Esta corrección no acredita entrega retroactiva, aprobación empresarial, autoría individual nueva o recalificación. La auditoría original permanece intacta. En esta versión, confirmado significa aclarado por el equipo o verificable en un archivo; supuesto significa condición del escenario, no observación empresarial; propuesto significa diseño no implantado; resultado histórico significa salida sintética anterior, no efecto de negocio.</w:t>
      </w:r>
    </w:p>
    <w:tbl>
      <w:tblPr>
        <w:tblStyle w:val="LightShading-Accent1"/>
        <w:tblW w:type="auto" w:w="0"/>
        <w:tblLook w:firstColumn="1" w:firstRow="1" w:lastColumn="0" w:lastRow="0" w:noHBand="0" w:noVBand="1" w:val="04A0"/>
      </w:tblPr>
      <w:tblGrid>
        <w:gridCol w:w="3364"/>
        <w:gridCol w:w="3364"/>
        <w:gridCol w:w="3364"/>
      </w:tblGrid>
      <w:tr>
        <w:trPr>
          <w:tblHeader/>
          <w:cantSplit/>
        </w:trPr>
        <w:tc>
          <w:tcPr>
            <w:tcW w:type="dxa" w:w="3364"/>
          </w:tcPr>
          <w:p>
            <w:r>
              <w:rPr>
                <w:sz w:val="16"/>
              </w:rPr>
              <w:t>Cambio v1.2</w:t>
            </w:r>
          </w:p>
        </w:tc>
        <w:tc>
          <w:tcPr>
            <w:tcW w:type="dxa" w:w="3364"/>
          </w:tcPr>
          <w:p>
            <w:r>
              <w:rPr>
                <w:sz w:val="16"/>
              </w:rPr>
              <w:t>Antecedente v1.1</w:t>
            </w:r>
          </w:p>
        </w:tc>
        <w:tc>
          <w:tcPr>
            <w:tcW w:type="dxa" w:w="3364"/>
          </w:tcPr>
          <w:p>
            <w:r>
              <w:rPr>
                <w:sz w:val="16"/>
              </w:rPr>
              <w:t>Corrección y consecuencia</w:t>
            </w:r>
          </w:p>
        </w:tc>
      </w:tr>
      <w:tr>
        <w:trPr>
          <w:cantSplit/>
        </w:trPr>
        <w:tc>
          <w:tcPr>
            <w:tcW w:type="dxa" w:w="3364"/>
          </w:tcPr>
          <w:p>
            <w:r>
              <w:rPr>
                <w:sz w:val="16"/>
              </w:rPr>
              <w:t>C-09 / H-02</w:t>
            </w:r>
          </w:p>
        </w:tc>
        <w:tc>
          <w:tcPr>
            <w:tcW w:type="dxa" w:w="3364"/>
          </w:tcPr>
          <w:p>
            <w:r>
              <w:rPr>
                <w:sz w:val="16"/>
              </w:rPr>
              <w:t>Infraestructura desconocida sin topología</w:t>
            </w:r>
          </w:p>
        </w:tc>
        <w:tc>
          <w:tcPr>
            <w:tcW w:type="dxa" w:w="3364"/>
          </w:tcPr>
          <w:p>
            <w:r>
              <w:rPr>
                <w:sz w:val="16"/>
              </w:rPr>
              <w:t>Nodos lógicos supuestos, tres fronteras y relaciones conceptuales; no inventar inventario físico</w:t>
            </w:r>
          </w:p>
        </w:tc>
      </w:tr>
      <w:tr>
        <w:trPr>
          <w:cantSplit/>
        </w:trPr>
        <w:tc>
          <w:tcPr>
            <w:tcW w:type="dxa" w:w="3364"/>
          </w:tcPr>
          <w:p>
            <w:r>
              <w:rPr>
                <w:sz w:val="16"/>
              </w:rPr>
              <w:t>C-10 / H-03</w:t>
            </w:r>
          </w:p>
        </w:tc>
        <w:tc>
          <w:tcPr>
            <w:tcW w:type="dxa" w:w="3364"/>
          </w:tcPr>
          <w:p>
            <w:r>
              <w:rPr>
                <w:sz w:val="16"/>
              </w:rPr>
              <w:t>Escala con niveles sin descriptores</w:t>
            </w:r>
          </w:p>
        </w:tc>
        <w:tc>
          <w:tcPr>
            <w:tcW w:type="dxa" w:w="3364"/>
          </w:tcPr>
          <w:p>
            <w:r>
              <w:rPr>
                <w:sz w:val="16"/>
              </w:rPr>
              <w:t>Instrumento por dimensión; retirar puntuaciones no sustentadas y no promediar desconocidos</w:t>
            </w:r>
          </w:p>
        </w:tc>
      </w:tr>
      <w:tr>
        <w:trPr>
          <w:cantSplit/>
        </w:trPr>
        <w:tc>
          <w:tcPr>
            <w:tcW w:type="dxa" w:w="3364"/>
          </w:tcPr>
          <w:p>
            <w:r>
              <w:rPr>
                <w:sz w:val="16"/>
              </w:rPr>
              <w:t>C-11 / H-04</w:t>
            </w:r>
          </w:p>
        </w:tc>
        <w:tc>
          <w:tcPr>
            <w:tcW w:type="dxa" w:w="3364"/>
          </w:tcPr>
          <w:p>
            <w:r>
              <w:rPr>
                <w:sz w:val="16"/>
              </w:rPr>
              <w:t>Metas internas sin fundamento suficiente</w:t>
            </w:r>
          </w:p>
        </w:tc>
        <w:tc>
          <w:tcPr>
            <w:tcW w:type="dxa" w:w="3364"/>
          </w:tcPr>
          <w:p>
            <w:r>
              <w:rPr>
                <w:sz w:val="16"/>
              </w:rPr>
              <w:t>Fórmulas, fuente metodológica y presupuesto de tolerancias explícitos; justificación retrospectiva declarada</w:t>
            </w:r>
          </w:p>
        </w:tc>
      </w:tr>
      <w:tr>
        <w:trPr>
          <w:cantSplit/>
        </w:trPr>
        <w:tc>
          <w:tcPr>
            <w:tcW w:type="dxa" w:w="3364"/>
          </w:tcPr>
          <w:p>
            <w:r>
              <w:rPr>
                <w:sz w:val="16"/>
              </w:rPr>
              <w:t>C-12 / H-05</w:t>
            </w:r>
          </w:p>
        </w:tc>
        <w:tc>
          <w:tcPr>
            <w:tcW w:type="dxa" w:w="3364"/>
          </w:tcPr>
          <w:p>
            <w:r>
              <w:rPr>
                <w:sz w:val="16"/>
              </w:rPr>
              <w:t>Control con costo real y ruido</w:t>
            </w:r>
          </w:p>
        </w:tc>
        <w:tc>
          <w:tcPr>
            <w:tcW w:type="dxa" w:w="3364"/>
          </w:tcPr>
          <w:p>
            <w:r>
              <w:rPr>
                <w:sz w:val="16"/>
              </w:rPr>
              <w:t>Nuevo protocolo con mediana histórica independiente; sin resultados nuevos ni mezcla con el comparador anterior</w:t>
            </w:r>
          </w:p>
        </w:tc>
      </w:tr>
      <w:tr>
        <w:trPr>
          <w:cantSplit/>
        </w:trPr>
        <w:tc>
          <w:tcPr>
            <w:tcW w:type="dxa" w:w="3364"/>
          </w:tcPr>
          <w:p>
            <w:r>
              <w:rPr>
                <w:sz w:val="16"/>
              </w:rPr>
              <w:t>C-13 / H-06/H-11</w:t>
            </w:r>
          </w:p>
        </w:tc>
        <w:tc>
          <w:tcPr>
            <w:tcW w:type="dxa" w:w="3364"/>
          </w:tcPr>
          <w:p>
            <w:r>
              <w:rPr>
                <w:sz w:val="16"/>
              </w:rPr>
              <w:t>Segmentos confundidos con canales; recursos visuales sin procedencia</w:t>
            </w:r>
          </w:p>
        </w:tc>
        <w:tc>
          <w:tcPr>
            <w:tcW w:type="dxa" w:w="3364"/>
          </w:tcPr>
          <w:p>
            <w:r>
              <w:rPr>
                <w:sz w:val="16"/>
              </w:rPr>
              <w:t>Sustituto de presentación S2 en SVG/PDF, de elaboración propia; original se conserva como histórico</w:t>
            </w:r>
          </w:p>
        </w:tc>
      </w:tr>
      <w:tr>
        <w:trPr>
          <w:cantSplit/>
        </w:trPr>
        <w:tc>
          <w:tcPr>
            <w:tcW w:type="dxa" w:w="3364"/>
          </w:tcPr>
          <w:p>
            <w:r>
              <w:rPr>
                <w:sz w:val="16"/>
              </w:rPr>
              <w:t>C-14 / H-07/H-12</w:t>
            </w:r>
          </w:p>
        </w:tc>
        <w:tc>
          <w:tcPr>
            <w:tcW w:type="dxa" w:w="3364"/>
          </w:tcPr>
          <w:p>
            <w:r>
              <w:rPr>
                <w:sz w:val="16"/>
              </w:rPr>
              <w:t>CAPECE atribuida a H1 2026</w:t>
            </w:r>
          </w:p>
        </w:tc>
        <w:tc>
          <w:tcPr>
            <w:tcW w:type="dxa" w:w="3364"/>
          </w:tcPr>
          <w:p>
            <w:r>
              <w:rPr>
                <w:sz w:val="16"/>
              </w:rPr>
              <w:t>Retiro de cifras no respaldadas; página observada 2024–2025, sin extrapolación al caso</w:t>
            </w:r>
          </w:p>
        </w:tc>
      </w:tr>
      <w:tr>
        <w:trPr>
          <w:cantSplit/>
        </w:trPr>
        <w:tc>
          <w:tcPr>
            <w:tcW w:type="dxa" w:w="3364"/>
          </w:tcPr>
          <w:p>
            <w:r>
              <w:rPr>
                <w:sz w:val="16"/>
              </w:rPr>
              <w:t>C-15 / H-08</w:t>
            </w:r>
          </w:p>
        </w:tc>
        <w:tc>
          <w:tcPr>
            <w:tcW w:type="dxa" w:w="3364"/>
          </w:tcPr>
          <w:p>
            <w:r>
              <w:rPr>
                <w:sz w:val="16"/>
              </w:rPr>
              <w:t>Seis dimensiones dispersas o incompletas</w:t>
            </w:r>
          </w:p>
        </w:tc>
        <w:tc>
          <w:tcPr>
            <w:tcW w:type="dxa" w:w="3364"/>
          </w:tcPr>
          <w:p>
            <w:r>
              <w:rPr>
                <w:sz w:val="16"/>
              </w:rPr>
              <w:t>Matriz complementaria para APIs, gobierno y SSDF; se conservan los tres Canvas previos</w:t>
            </w:r>
          </w:p>
        </w:tc>
      </w:tr>
      <w:tr>
        <w:trPr>
          <w:cantSplit/>
        </w:trPr>
        <w:tc>
          <w:tcPr>
            <w:tcW w:type="dxa" w:w="3364"/>
          </w:tcPr>
          <w:p>
            <w:r>
              <w:rPr>
                <w:sz w:val="16"/>
              </w:rPr>
              <w:t>C-16 / H-09/H-10/H-13</w:t>
            </w:r>
          </w:p>
        </w:tc>
        <w:tc>
          <w:tcPr>
            <w:tcW w:type="dxa" w:w="3364"/>
          </w:tcPr>
          <w:p>
            <w:r>
              <w:rPr>
                <w:sz w:val="16"/>
              </w:rPr>
              <w:t>Identificación y vínculos mejorables</w:t>
            </w:r>
          </w:p>
        </w:tc>
        <w:tc>
          <w:tcPr>
            <w:tcW w:type="dxa" w:w="3364"/>
          </w:tcPr>
          <w:p>
            <w:r>
              <w:rPr>
                <w:sz w:val="16"/>
              </w:rPr>
              <w:t>Registros v1.2, evidencia Git con límites y navegación vigente; ninguna aprobación humana simulada</w:t>
            </w:r>
          </w:p>
        </w:tc>
      </w:tr>
    </w:tbl>
    <w:p/>
    <w:p>
      <w:r>
        <w:rPr>
          <w:b w:val="0"/>
        </w:rPr>
        <w:t xml:space="preserve">Los cambios C-01–C-08 de v1.1 siguen documentados en </w:t>
      </w:r>
      <w:r>
        <w:rPr>
          <w:b w:val="0"/>
        </w:rPr>
        <w:t>documentos/proyecto/Semana5_Hito_I_v1.1.md</w:t>
      </w:r>
      <w:r>
        <w:rPr>
          <w:b w:val="0"/>
        </w:rPr>
        <w:t>, §1. No se revierten la aclaración del stack, el diagnóstico hipotético ni el TO-BE proporcional.</w:t>
      </w:r>
    </w:p>
    <w:p>
      <w:pPr>
        <w:pStyle w:val="Heading2"/>
      </w:pPr>
      <w:r>
        <w:t>2. Semana 1: caso, Charter, Radar y seis dimensiones</w:t>
      </w:r>
    </w:p>
    <w:p>
      <w:pPr>
        <w:pStyle w:val="Heading3"/>
      </w:pPr>
      <w:r>
        <w:t>2.1 Organización y Charter consolidado</w:t>
      </w:r>
    </w:p>
    <w:p>
      <w:r>
        <w:rPr>
          <w:b w:val="0"/>
        </w:rPr>
        <w:t>Constructora peruana ficticia de tamaño mediano. Usuarios: Gerencia, Obra, Costos/Presupuestos, Administración, Compras/Logística y TI. Clientes: contratantes privados y compradores inmobiliarios; sector público solo si el contrato del escenario lo requiere. Servicios: ejecución de obras y venta de unidades. El ERP registra información económica y operacional. Edificación, seguridad laboral y protección de datos son ámbitos regulatorios pertinentes; no se certifica cumplimiento legal ni aplicabilidad contractual concreta.</w:t>
      </w:r>
    </w:p>
    <w:p>
      <w:r>
        <w:rPr>
          <w:b w:val="0"/>
        </w:rPr>
      </w:r>
      <w:r>
        <w:rPr>
          <w:b/>
        </w:rPr>
        <w:t>Problema:</w:t>
      </w:r>
      <w:r>
        <w:rPr>
          <w:b w:val="0"/>
        </w:rPr>
        <w:t xml:space="preserve"> los históricos de costos, horas y metrados no se reutilizan integradamente para presupuestar nuevas obras y comparar previsto con ejecutado.</w:t>
      </w:r>
    </w:p>
    <w:p>
      <w:r>
        <w:rPr>
          <w:b w:val="0"/>
        </w:rPr>
      </w:r>
      <w:r>
        <w:rPr>
          <w:b/>
        </w:rPr>
        <w:t>Oportunidad:</w:t>
      </w:r>
      <w:r>
        <w:rPr>
          <w:b w:val="0"/>
        </w:rPr>
        <w:t xml:space="preserve"> convertir registros existentes en referencias de costo y rendimiento trazables antes de automatizar decisiones con IA.</w:t>
      </w:r>
    </w:p>
    <w:p>
      <w:r>
        <w:rPr>
          <w:b w:val="0"/>
        </w:rPr>
      </w:r>
      <w:r>
        <w:rPr>
          <w:b/>
        </w:rPr>
        <w:t>Objetivo general:</w:t>
      </w:r>
      <w:r>
        <w:rPr>
          <w:b w:val="0"/>
        </w:rPr>
        <w:t xml:space="preserve"> diseñar una estrategia de adopción tecnológica 2026–2029 que mejore planificación, presupuestación y control mediante información confiable.</w:t>
      </w:r>
    </w:p>
    <w:p>
      <w:r>
        <w:rPr>
          <w:b w:val="0"/>
        </w:rPr>
      </w:r>
      <w:r>
        <w:rPr>
          <w:b/>
        </w:rPr>
        <w:t>Objetivos específicos:</w:t>
      </w:r>
      <w:r>
        <w:rPr>
          <w:b w:val="0"/>
        </w:rPr>
        <w:t xml:space="preserve"> (1) caracterizar procesos y brechas; (2) evaluar integración, datos, analítica e ingeniería segura; (3) diseñar arquitectura proporcional; (4) diseñar experimentos sobre incertidumbres; (5) secuenciar capacidades con responsables, riesgos y decisiones.</w:t>
      </w:r>
    </w:p>
    <w:p>
      <w:r>
        <w:rPr>
          <w:b w:val="0"/>
        </w:rPr>
      </w:r>
      <w:r>
        <w:rPr>
          <w:b/>
        </w:rPr>
        <w:t>Alcance:</w:t>
      </w:r>
      <w:r>
        <w:rPr>
          <w:b w:val="0"/>
        </w:rPr>
        <w:t xml:space="preserve"> obras, partidas, actividades, tareo, metrados, costos, históricos, presupuesto y analítica complementaria.</w:t>
      </w:r>
    </w:p>
    <w:p>
      <w:r>
        <w:rPr>
          <w:b w:val="0"/>
        </w:rPr>
      </w:r>
      <w:r>
        <w:rPr>
          <w:b/>
        </w:rPr>
        <w:t>Exclusiones:</w:t>
      </w:r>
      <w:r>
        <w:rPr>
          <w:b w:val="0"/>
        </w:rPr>
        <w:t xml:space="preserve"> reemplazo del ERP, intervención productiva, cambios de planillas laborales y decisiones económicas autónomas.</w:t>
      </w:r>
    </w:p>
    <w:p>
      <w:r>
        <w:rPr>
          <w:b w:val="0"/>
        </w:rPr>
      </w:r>
      <w:r>
        <w:rPr>
          <w:b/>
        </w:rPr>
        <w:t>Restricciones:</w:t>
      </w:r>
      <w:r>
        <w:rPr>
          <w:b w:val="0"/>
        </w:rPr>
        <w:t xml:space="preserve"> entorno académico, datos sintéticos o anonimizados autorizados, infraestructura/capacidades no inventariadas y ausencia de presupuesto financiero real.</w:t>
      </w:r>
    </w:p>
    <w:p>
      <w:r>
        <w:rPr>
          <w:b w:val="0"/>
        </w:rPr>
      </w:r>
      <w:r>
        <w:rPr>
          <w:b/>
        </w:rPr>
        <w:t>Éxito preliminar:</w:t>
      </w:r>
      <w:r>
        <w:rPr>
          <w:b w:val="0"/>
        </w:rPr>
        <w:t xml:space="preserve"> trazabilidad origen–indicador, reglas explícitas, decisiones justificadas y experimentos reproducibles. No se atribuyen ahorros reales.</w:t>
      </w:r>
    </w:p>
    <w:p>
      <w:r>
        <w:rPr>
          <w:b w:val="0"/>
        </w:rPr>
        <w:t xml:space="preserve">El Charter histórico ocupa una página en </w:t>
      </w:r>
      <w:r>
        <w:rPr>
          <w:b w:val="0"/>
        </w:rPr>
        <w:t>entregas/semana-01/TISG_E01_S01_ProyectoIntegrador_2026-09-04.pdf</w:t>
      </w:r>
      <w:r>
        <w:rPr>
          <w:b w:val="0"/>
        </w:rPr>
        <w:t>, p. 4. Su portada defectuosa no se reescribe. El registro S-08 refiere la brecha de §3.1 de ese documento, no una sección 3.3.</w:t>
      </w:r>
    </w:p>
    <w:p>
      <w:pPr>
        <w:pStyle w:val="Heading3"/>
      </w:pPr>
      <w:r>
        <w:t>2.2 Technology Radar conservado</w:t>
      </w:r>
    </w:p>
    <w:p>
      <w:r>
        <w:rPr>
          <w:b w:val="0"/>
        </w:rPr>
        <w:t xml:space="preserve">Editable: </w:t>
      </w:r>
      <w:r>
        <w:rPr>
          <w:b w:val="0"/>
        </w:rPr>
        <w:t>entregas/semana-01/TISG_E01_S01_TechnologyRadar_v0.1_2026-09-04.svg</w:t>
      </w:r>
      <w:r>
        <w:rPr>
          <w:b w:val="0"/>
        </w:rPr>
        <w:t xml:space="preserve">; exportaciones en </w:t>
      </w:r>
      <w:r>
        <w:rPr>
          <w:b w:val="0"/>
        </w:rPr>
        <w:t>radar/exportado/</w:t>
      </w:r>
      <w:r>
        <w:rPr>
          <w:b w:val="0"/>
        </w:rPr>
        <w:t>. Adoptar significa incorporar progresivamente una capacidad, no comprar un producto. Probar significa experimentar; Evaluar, investigar pertinencia; Esperar, postergar. No se cambian anillos en v1.2.</w:t>
      </w:r>
    </w:p>
    <w:tbl>
      <w:tblPr>
        <w:tblStyle w:val="LightShading-Accent1"/>
        <w:tblW w:type="auto" w:w="0"/>
        <w:tblLook w:firstColumn="1" w:firstRow="1" w:lastColumn="0" w:lastRow="0" w:noHBand="0" w:noVBand="1" w:val="04A0"/>
      </w:tblPr>
      <w:tblGrid>
        <w:gridCol w:w="2018"/>
        <w:gridCol w:w="2018"/>
        <w:gridCol w:w="2018"/>
        <w:gridCol w:w="2018"/>
        <w:gridCol w:w="2018"/>
      </w:tblGrid>
      <w:tr>
        <w:trPr>
          <w:tblHeader/>
          <w:cantSplit/>
        </w:trPr>
        <w:tc>
          <w:tcPr>
            <w:tcW w:type="dxa" w:w="2018"/>
          </w:tcPr>
          <w:p>
            <w:r>
              <w:rPr>
                <w:sz w:val="16"/>
              </w:rPr>
              <w:t>ID</w:t>
            </w:r>
          </w:p>
        </w:tc>
        <w:tc>
          <w:tcPr>
            <w:tcW w:type="dxa" w:w="2018"/>
          </w:tcPr>
          <w:p>
            <w:r>
              <w:rPr>
                <w:sz w:val="16"/>
              </w:rPr>
              <w:t>Tendencia</w:t>
            </w:r>
          </w:p>
        </w:tc>
        <w:tc>
          <w:tcPr>
            <w:tcW w:type="dxa" w:w="2018"/>
          </w:tcPr>
          <w:p>
            <w:r>
              <w:rPr>
                <w:sz w:val="16"/>
              </w:rPr>
              <w:t>Cuadrante</w:t>
            </w:r>
          </w:p>
        </w:tc>
        <w:tc>
          <w:tcPr>
            <w:tcW w:type="dxa" w:w="2018"/>
          </w:tcPr>
          <w:p>
            <w:r>
              <w:rPr>
                <w:sz w:val="16"/>
              </w:rPr>
              <w:t>Anillo</w:t>
            </w:r>
          </w:p>
        </w:tc>
        <w:tc>
          <w:tcPr>
            <w:tcW w:type="dxa" w:w="2018"/>
          </w:tcPr>
          <w:p>
            <w:r>
              <w:rPr>
                <w:sz w:val="16"/>
              </w:rPr>
              <w:t>Justificación vigente</w:t>
            </w:r>
          </w:p>
        </w:tc>
      </w:tr>
      <w:tr>
        <w:trPr>
          <w:cantSplit/>
        </w:trPr>
        <w:tc>
          <w:tcPr>
            <w:tcW w:type="dxa" w:w="2018"/>
          </w:tcPr>
          <w:p>
            <w:r>
              <w:rPr>
                <w:sz w:val="16"/>
              </w:rPr>
              <w:t>T1</w:t>
            </w:r>
          </w:p>
        </w:tc>
        <w:tc>
          <w:tcPr>
            <w:tcW w:type="dxa" w:w="2018"/>
          </w:tcPr>
          <w:p>
            <w:r>
              <w:rPr>
                <w:sz w:val="16"/>
              </w:rPr>
              <w:t>APIs e integración</w:t>
            </w:r>
          </w:p>
        </w:tc>
        <w:tc>
          <w:tcPr>
            <w:tcW w:type="dxa" w:w="2018"/>
          </w:tcPr>
          <w:p>
            <w:r>
              <w:rPr>
                <w:sz w:val="16"/>
              </w:rPr>
              <w:t>Integración y arquitectura</w:t>
            </w:r>
          </w:p>
        </w:tc>
        <w:tc>
          <w:tcPr>
            <w:tcW w:type="dxa" w:w="2018"/>
          </w:tcPr>
          <w:p>
            <w:r>
              <w:rPr>
                <w:sz w:val="16"/>
              </w:rPr>
              <w:t>Adoptar</w:t>
            </w:r>
          </w:p>
        </w:tc>
        <w:tc>
          <w:tcPr>
            <w:tcW w:type="dxa" w:w="2018"/>
          </w:tcPr>
          <w:p>
            <w:r>
              <w:rPr>
                <w:sz w:val="16"/>
              </w:rPr>
              <w:t>Contratos cuando exista consumidor; CSV basta para el primer experimento</w:t>
            </w:r>
          </w:p>
        </w:tc>
      </w:tr>
      <w:tr>
        <w:trPr>
          <w:cantSplit/>
        </w:trPr>
        <w:tc>
          <w:tcPr>
            <w:tcW w:type="dxa" w:w="2018"/>
          </w:tcPr>
          <w:p>
            <w:r>
              <w:rPr>
                <w:sz w:val="16"/>
              </w:rPr>
              <w:t>T2</w:t>
            </w:r>
          </w:p>
        </w:tc>
        <w:tc>
          <w:tcPr>
            <w:tcW w:type="dxa" w:w="2018"/>
          </w:tcPr>
          <w:p>
            <w:r>
              <w:rPr>
                <w:sz w:val="16"/>
              </w:rPr>
              <w:t>BI y analítica operacional</w:t>
            </w:r>
          </w:p>
        </w:tc>
        <w:tc>
          <w:tcPr>
            <w:tcW w:type="dxa" w:w="2018"/>
          </w:tcPr>
          <w:p>
            <w:r>
              <w:rPr>
                <w:sz w:val="16"/>
              </w:rPr>
              <w:t>Datos y analítica</w:t>
            </w:r>
          </w:p>
        </w:tc>
        <w:tc>
          <w:tcPr>
            <w:tcW w:type="dxa" w:w="2018"/>
          </w:tcPr>
          <w:p>
            <w:r>
              <w:rPr>
                <w:sz w:val="16"/>
              </w:rPr>
              <w:t>Adoptar</w:t>
            </w:r>
          </w:p>
        </w:tc>
        <w:tc>
          <w:tcPr>
            <w:tcW w:type="dxa" w:w="2018"/>
          </w:tcPr>
          <w:p>
            <w:r>
              <w:rPr>
                <w:sz w:val="16"/>
              </w:rPr>
              <w:t>Comparar previsto–ejecutado y reutilizar históricos</w:t>
            </w:r>
          </w:p>
        </w:tc>
      </w:tr>
      <w:tr>
        <w:trPr>
          <w:cantSplit/>
        </w:trPr>
        <w:tc>
          <w:tcPr>
            <w:tcW w:type="dxa" w:w="2018"/>
          </w:tcPr>
          <w:p>
            <w:r>
              <w:rPr>
                <w:sz w:val="16"/>
              </w:rPr>
              <w:t>T3</w:t>
            </w:r>
          </w:p>
        </w:tc>
        <w:tc>
          <w:tcPr>
            <w:tcW w:type="dxa" w:w="2018"/>
          </w:tcPr>
          <w:p>
            <w:r>
              <w:rPr>
                <w:sz w:val="16"/>
              </w:rPr>
              <w:t>Gobierno y calidad de datos</w:t>
            </w:r>
          </w:p>
        </w:tc>
        <w:tc>
          <w:tcPr>
            <w:tcW w:type="dxa" w:w="2018"/>
          </w:tcPr>
          <w:p>
            <w:r>
              <w:rPr>
                <w:sz w:val="16"/>
              </w:rPr>
              <w:t>Datos y analítica</w:t>
            </w:r>
          </w:p>
        </w:tc>
        <w:tc>
          <w:tcPr>
            <w:tcW w:type="dxa" w:w="2018"/>
          </w:tcPr>
          <w:p>
            <w:r>
              <w:rPr>
                <w:sz w:val="16"/>
              </w:rPr>
              <w:t>Adoptar</w:t>
            </w:r>
          </w:p>
        </w:tc>
        <w:tc>
          <w:tcPr>
            <w:tcW w:type="dxa" w:w="2018"/>
          </w:tcPr>
          <w:p>
            <w:r>
              <w:rPr>
                <w:sz w:val="16"/>
              </w:rPr>
              <w:t>IDs, unidades y significado antes de decidir</w:t>
            </w:r>
          </w:p>
        </w:tc>
      </w:tr>
      <w:tr>
        <w:trPr>
          <w:cantSplit/>
        </w:trPr>
        <w:tc>
          <w:tcPr>
            <w:tcW w:type="dxa" w:w="2018"/>
          </w:tcPr>
          <w:p>
            <w:r>
              <w:rPr>
                <w:sz w:val="16"/>
              </w:rPr>
              <w:t>T4</w:t>
            </w:r>
          </w:p>
        </w:tc>
        <w:tc>
          <w:tcPr>
            <w:tcW w:type="dxa" w:w="2018"/>
          </w:tcPr>
          <w:p>
            <w:r>
              <w:rPr>
                <w:sz w:val="16"/>
              </w:rPr>
              <w:t>Arquitectura analítica</w:t>
            </w:r>
          </w:p>
        </w:tc>
        <w:tc>
          <w:tcPr>
            <w:tcW w:type="dxa" w:w="2018"/>
          </w:tcPr>
          <w:p>
            <w:r>
              <w:rPr>
                <w:sz w:val="16"/>
              </w:rPr>
              <w:t>Datos y analítica</w:t>
            </w:r>
          </w:p>
        </w:tc>
        <w:tc>
          <w:tcPr>
            <w:tcW w:type="dxa" w:w="2018"/>
          </w:tcPr>
          <w:p>
            <w:r>
              <w:rPr>
                <w:sz w:val="16"/>
              </w:rPr>
              <w:t>Probar</w:t>
            </w:r>
          </w:p>
        </w:tc>
        <w:tc>
          <w:tcPr>
            <w:tcW w:type="dxa" w:w="2018"/>
          </w:tcPr>
          <w:p>
            <w:r>
              <w:rPr>
                <w:sz w:val="16"/>
              </w:rPr>
              <w:t>Separar cargas y probar modelo acotado</w:t>
            </w:r>
          </w:p>
        </w:tc>
      </w:tr>
      <w:tr>
        <w:trPr>
          <w:cantSplit/>
        </w:trPr>
        <w:tc>
          <w:tcPr>
            <w:tcW w:type="dxa" w:w="2018"/>
          </w:tcPr>
          <w:p>
            <w:r>
              <w:rPr>
                <w:sz w:val="16"/>
              </w:rPr>
              <w:t>T5</w:t>
            </w:r>
          </w:p>
        </w:tc>
        <w:tc>
          <w:tcPr>
            <w:tcW w:type="dxa" w:w="2018"/>
          </w:tcPr>
          <w:p>
            <w:r>
              <w:rPr>
                <w:sz w:val="16"/>
              </w:rPr>
              <w:t>IA generativa operacional</w:t>
            </w:r>
          </w:p>
        </w:tc>
        <w:tc>
          <w:tcPr>
            <w:tcW w:type="dxa" w:w="2018"/>
          </w:tcPr>
          <w:p>
            <w:r>
              <w:rPr>
                <w:sz w:val="16"/>
              </w:rPr>
              <w:t>IA y automatización</w:t>
            </w:r>
          </w:p>
        </w:tc>
        <w:tc>
          <w:tcPr>
            <w:tcW w:type="dxa" w:w="2018"/>
          </w:tcPr>
          <w:p>
            <w:r>
              <w:rPr>
                <w:sz w:val="16"/>
              </w:rPr>
              <w:t>Probar</w:t>
            </w:r>
          </w:p>
        </w:tc>
        <w:tc>
          <w:tcPr>
            <w:tcW w:type="dxa" w:w="2018"/>
          </w:tcPr>
          <w:p>
            <w:r>
              <w:rPr>
                <w:sz w:val="16"/>
              </w:rPr>
              <w:t>Solo datos autorizados y revisión humana; no forma parte de la PoC S4</w:t>
            </w:r>
          </w:p>
        </w:tc>
      </w:tr>
      <w:tr>
        <w:trPr>
          <w:cantSplit/>
        </w:trPr>
        <w:tc>
          <w:tcPr>
            <w:tcW w:type="dxa" w:w="2018"/>
          </w:tcPr>
          <w:p>
            <w:r>
              <w:rPr>
                <w:sz w:val="16"/>
              </w:rPr>
              <w:t>T6</w:t>
            </w:r>
          </w:p>
        </w:tc>
        <w:tc>
          <w:tcPr>
            <w:tcW w:type="dxa" w:w="2018"/>
          </w:tcPr>
          <w:p>
            <w:r>
              <w:rPr>
                <w:sz w:val="16"/>
              </w:rPr>
              <w:t>RAG</w:t>
            </w:r>
          </w:p>
        </w:tc>
        <w:tc>
          <w:tcPr>
            <w:tcW w:type="dxa" w:w="2018"/>
          </w:tcPr>
          <w:p>
            <w:r>
              <w:rPr>
                <w:sz w:val="16"/>
              </w:rPr>
              <w:t>IA y automatización</w:t>
            </w:r>
          </w:p>
        </w:tc>
        <w:tc>
          <w:tcPr>
            <w:tcW w:type="dxa" w:w="2018"/>
          </w:tcPr>
          <w:p>
            <w:r>
              <w:rPr>
                <w:sz w:val="16"/>
              </w:rPr>
              <w:t>Evaluar</w:t>
            </w:r>
          </w:p>
        </w:tc>
        <w:tc>
          <w:tcPr>
            <w:tcW w:type="dxa" w:w="2018"/>
          </w:tcPr>
          <w:p>
            <w:r>
              <w:rPr>
                <w:sz w:val="16"/>
              </w:rPr>
              <w:t>Necesidad documental no demostrada</w:t>
            </w:r>
          </w:p>
        </w:tc>
      </w:tr>
      <w:tr>
        <w:trPr>
          <w:cantSplit/>
        </w:trPr>
        <w:tc>
          <w:tcPr>
            <w:tcW w:type="dxa" w:w="2018"/>
          </w:tcPr>
          <w:p>
            <w:r>
              <w:rPr>
                <w:sz w:val="16"/>
              </w:rPr>
              <w:t>T7</w:t>
            </w:r>
          </w:p>
        </w:tc>
        <w:tc>
          <w:tcPr>
            <w:tcW w:type="dxa" w:w="2018"/>
          </w:tcPr>
          <w:p>
            <w:r>
              <w:rPr>
                <w:sz w:val="16"/>
              </w:rPr>
              <w:t>Agentes de IA</w:t>
            </w:r>
          </w:p>
        </w:tc>
        <w:tc>
          <w:tcPr>
            <w:tcW w:type="dxa" w:w="2018"/>
          </w:tcPr>
          <w:p>
            <w:r>
              <w:rPr>
                <w:sz w:val="16"/>
              </w:rPr>
              <w:t>IA y automatización</w:t>
            </w:r>
          </w:p>
        </w:tc>
        <w:tc>
          <w:tcPr>
            <w:tcW w:type="dxa" w:w="2018"/>
          </w:tcPr>
          <w:p>
            <w:r>
              <w:rPr>
                <w:sz w:val="16"/>
              </w:rPr>
              <w:t>Esperar</w:t>
            </w:r>
          </w:p>
        </w:tc>
        <w:tc>
          <w:tcPr>
            <w:tcW w:type="dxa" w:w="2018"/>
          </w:tcPr>
          <w:p>
            <w:r>
              <w:rPr>
                <w:sz w:val="16"/>
              </w:rPr>
              <w:t>No delegar acciones económicas</w:t>
            </w:r>
          </w:p>
        </w:tc>
      </w:tr>
      <w:tr>
        <w:trPr>
          <w:cantSplit/>
        </w:trPr>
        <w:tc>
          <w:tcPr>
            <w:tcW w:type="dxa" w:w="2018"/>
          </w:tcPr>
          <w:p>
            <w:r>
              <w:rPr>
                <w:sz w:val="16"/>
              </w:rPr>
              <w:t>T8</w:t>
            </w:r>
          </w:p>
        </w:tc>
        <w:tc>
          <w:tcPr>
            <w:tcW w:type="dxa" w:w="2018"/>
          </w:tcPr>
          <w:p>
            <w:r>
              <w:rPr>
                <w:sz w:val="16"/>
              </w:rPr>
              <w:t>Eventos</w:t>
            </w:r>
          </w:p>
        </w:tc>
        <w:tc>
          <w:tcPr>
            <w:tcW w:type="dxa" w:w="2018"/>
          </w:tcPr>
          <w:p>
            <w:r>
              <w:rPr>
                <w:sz w:val="16"/>
              </w:rPr>
              <w:t>Integración y arquitectura</w:t>
            </w:r>
          </w:p>
        </w:tc>
        <w:tc>
          <w:tcPr>
            <w:tcW w:type="dxa" w:w="2018"/>
          </w:tcPr>
          <w:p>
            <w:r>
              <w:rPr>
                <w:sz w:val="16"/>
              </w:rPr>
              <w:t>Evaluar</w:t>
            </w:r>
          </w:p>
        </w:tc>
        <w:tc>
          <w:tcPr>
            <w:tcW w:type="dxa" w:w="2018"/>
          </w:tcPr>
          <w:p>
            <w:r>
              <w:rPr>
                <w:sz w:val="16"/>
              </w:rPr>
              <w:t>No hay requisito probado de tiempo real</w:t>
            </w:r>
          </w:p>
        </w:tc>
      </w:tr>
      <w:tr>
        <w:trPr>
          <w:cantSplit/>
        </w:trPr>
        <w:tc>
          <w:tcPr>
            <w:tcW w:type="dxa" w:w="2018"/>
          </w:tcPr>
          <w:p>
            <w:r>
              <w:rPr>
                <w:sz w:val="16"/>
              </w:rPr>
              <w:t>T9</w:t>
            </w:r>
          </w:p>
        </w:tc>
        <w:tc>
          <w:tcPr>
            <w:tcW w:type="dxa" w:w="2018"/>
          </w:tcPr>
          <w:p>
            <w:r>
              <w:rPr>
                <w:sz w:val="16"/>
              </w:rPr>
              <w:t>DevSecOps / SSDF</w:t>
            </w:r>
          </w:p>
        </w:tc>
        <w:tc>
          <w:tcPr>
            <w:tcW w:type="dxa" w:w="2018"/>
          </w:tcPr>
          <w:p>
            <w:r>
              <w:rPr>
                <w:sz w:val="16"/>
              </w:rPr>
              <w:t>Ingeniería y operación</w:t>
            </w:r>
          </w:p>
        </w:tc>
        <w:tc>
          <w:tcPr>
            <w:tcW w:type="dxa" w:w="2018"/>
          </w:tcPr>
          <w:p>
            <w:r>
              <w:rPr>
                <w:sz w:val="16"/>
              </w:rPr>
              <w:t>Adoptar</w:t>
            </w:r>
          </w:p>
        </w:tc>
        <w:tc>
          <w:tcPr>
            <w:tcW w:type="dxa" w:w="2018"/>
          </w:tcPr>
          <w:p>
            <w:r>
              <w:rPr>
                <w:sz w:val="16"/>
              </w:rPr>
              <w:t>Pruebas, revisión, versionado y secretos fuera del repositorio</w:t>
            </w:r>
          </w:p>
        </w:tc>
      </w:tr>
      <w:tr>
        <w:trPr>
          <w:cantSplit/>
        </w:trPr>
        <w:tc>
          <w:tcPr>
            <w:tcW w:type="dxa" w:w="2018"/>
          </w:tcPr>
          <w:p>
            <w:r>
              <w:rPr>
                <w:sz w:val="16"/>
              </w:rPr>
              <w:t>T10</w:t>
            </w:r>
          </w:p>
        </w:tc>
        <w:tc>
          <w:tcPr>
            <w:tcW w:type="dxa" w:w="2018"/>
          </w:tcPr>
          <w:p>
            <w:r>
              <w:rPr>
                <w:sz w:val="16"/>
              </w:rPr>
              <w:t>Observabilidad</w:t>
            </w:r>
          </w:p>
        </w:tc>
        <w:tc>
          <w:tcPr>
            <w:tcW w:type="dxa" w:w="2018"/>
          </w:tcPr>
          <w:p>
            <w:r>
              <w:rPr>
                <w:sz w:val="16"/>
              </w:rPr>
              <w:t>Ingeniería y operación</w:t>
            </w:r>
          </w:p>
        </w:tc>
        <w:tc>
          <w:tcPr>
            <w:tcW w:type="dxa" w:w="2018"/>
          </w:tcPr>
          <w:p>
            <w:r>
              <w:rPr>
                <w:sz w:val="16"/>
              </w:rPr>
              <w:t>Probar</w:t>
            </w:r>
          </w:p>
        </w:tc>
        <w:tc>
          <w:tcPr>
            <w:tcW w:type="dxa" w:w="2018"/>
          </w:tcPr>
          <w:p>
            <w:r>
              <w:rPr>
                <w:sz w:val="16"/>
              </w:rPr>
              <w:t>Empezar por estado, duración y frescura</w:t>
            </w:r>
          </w:p>
        </w:tc>
      </w:tr>
      <w:tr>
        <w:trPr>
          <w:cantSplit/>
        </w:trPr>
        <w:tc>
          <w:tcPr>
            <w:tcW w:type="dxa" w:w="2018"/>
          </w:tcPr>
          <w:p>
            <w:r>
              <w:rPr>
                <w:sz w:val="16"/>
              </w:rPr>
              <w:t>T11</w:t>
            </w:r>
          </w:p>
        </w:tc>
        <w:tc>
          <w:tcPr>
            <w:tcW w:type="dxa" w:w="2018"/>
          </w:tcPr>
          <w:p>
            <w:r>
              <w:rPr>
                <w:sz w:val="16"/>
              </w:rPr>
              <w:t>Platform Engineering / IDP</w:t>
            </w:r>
          </w:p>
        </w:tc>
        <w:tc>
          <w:tcPr>
            <w:tcW w:type="dxa" w:w="2018"/>
          </w:tcPr>
          <w:p>
            <w:r>
              <w:rPr>
                <w:sz w:val="16"/>
              </w:rPr>
              <w:t>Ingeniería y operación</w:t>
            </w:r>
          </w:p>
        </w:tc>
        <w:tc>
          <w:tcPr>
            <w:tcW w:type="dxa" w:w="2018"/>
          </w:tcPr>
          <w:p>
            <w:r>
              <w:rPr>
                <w:sz w:val="16"/>
              </w:rPr>
              <w:t>Esperar</w:t>
            </w:r>
          </w:p>
        </w:tc>
        <w:tc>
          <w:tcPr>
            <w:tcW w:type="dxa" w:w="2018"/>
          </w:tcPr>
          <w:p>
            <w:r>
              <w:rPr>
                <w:sz w:val="16"/>
              </w:rPr>
              <w:t>Escala y fricción no dimensionadas</w:t>
            </w:r>
          </w:p>
        </w:tc>
      </w:tr>
      <w:tr>
        <w:trPr>
          <w:cantSplit/>
        </w:trPr>
        <w:tc>
          <w:tcPr>
            <w:tcW w:type="dxa" w:w="2018"/>
          </w:tcPr>
          <w:p>
            <w:r>
              <w:rPr>
                <w:sz w:val="16"/>
              </w:rPr>
              <w:t>T12</w:t>
            </w:r>
          </w:p>
        </w:tc>
        <w:tc>
          <w:tcPr>
            <w:tcW w:type="dxa" w:w="2018"/>
          </w:tcPr>
          <w:p>
            <w:r>
              <w:rPr>
                <w:sz w:val="16"/>
              </w:rPr>
              <w:t>FinOps / AI FinOps</w:t>
            </w:r>
          </w:p>
        </w:tc>
        <w:tc>
          <w:tcPr>
            <w:tcW w:type="dxa" w:w="2018"/>
          </w:tcPr>
          <w:p>
            <w:r>
              <w:rPr>
                <w:sz w:val="16"/>
              </w:rPr>
              <w:t>Ingeniería y operación</w:t>
            </w:r>
          </w:p>
        </w:tc>
        <w:tc>
          <w:tcPr>
            <w:tcW w:type="dxa" w:w="2018"/>
          </w:tcPr>
          <w:p>
            <w:r>
              <w:rPr>
                <w:sz w:val="16"/>
              </w:rPr>
              <w:t>Evaluar</w:t>
            </w:r>
          </w:p>
        </w:tc>
        <w:tc>
          <w:tcPr>
            <w:tcW w:type="dxa" w:w="2018"/>
          </w:tcPr>
          <w:p>
            <w:r>
              <w:rPr>
                <w:sz w:val="16"/>
              </w:rPr>
              <w:t>Aplicar al existir consumo variable material</w:t>
            </w:r>
          </w:p>
        </w:tc>
      </w:tr>
    </w:tbl>
    <w:p/>
    <w:p>
      <w:pPr>
        <w:pStyle w:val="Heading3"/>
      </w:pPr>
      <w:r>
        <w:t>2.3 Impact Canvas: continuidad y complemento</w:t>
      </w:r>
    </w:p>
    <w:p>
      <w:r>
        <w:rPr>
          <w:b w:val="0"/>
        </w:rPr>
        <w:t>Los tres Canvas iniciales siguen en S1, §7, pp. 9–10. Se integran sin exigir Canvas para tecnologías postergadas. La revisión distribuida se encuentra en v1.1 §§2.3/8.1/8.3; la matriz siguiente hace localizables las dimensiones de las seis capacidades recomendadas. SSDF usa la publicación final 1.1 (Souppaya et al., 2022), no el borrador 1.2 como norma final. Gobierno se apoya en el enfoque de producto de datos (Thoughtworks, 2025); ninguna fuente prescribe adoptar un producto específico.</w:t>
      </w:r>
    </w:p>
    <w:tbl>
      <w:tblPr>
        <w:tblStyle w:val="LightShading-Accent1"/>
        <w:tblW w:type="auto" w:w="0"/>
        <w:tblLook w:firstColumn="1" w:firstRow="1" w:lastColumn="0" w:lastRow="0" w:noHBand="0" w:noVBand="1" w:val="04A0"/>
      </w:tblPr>
      <w:tblGrid>
        <w:gridCol w:w="1442"/>
        <w:gridCol w:w="1442"/>
        <w:gridCol w:w="1442"/>
        <w:gridCol w:w="1442"/>
        <w:gridCol w:w="1442"/>
        <w:gridCol w:w="1442"/>
        <w:gridCol w:w="1442"/>
      </w:tblGrid>
      <w:tr>
        <w:trPr>
          <w:tblHeader/>
          <w:cantSplit/>
        </w:trPr>
        <w:tc>
          <w:tcPr>
            <w:tcW w:type="dxa" w:w="1442"/>
          </w:tcPr>
          <w:p>
            <w:r>
              <w:rPr>
                <w:sz w:val="16"/>
              </w:rPr>
              <w:t>Tendencia</w:t>
            </w:r>
          </w:p>
        </w:tc>
        <w:tc>
          <w:tcPr>
            <w:tcW w:type="dxa" w:w="1442"/>
          </w:tcPr>
          <w:p>
            <w:r>
              <w:rPr>
                <w:sz w:val="16"/>
              </w:rPr>
              <w:t>Valor</w:t>
            </w:r>
          </w:p>
        </w:tc>
        <w:tc>
          <w:tcPr>
            <w:tcW w:type="dxa" w:w="1442"/>
          </w:tcPr>
          <w:p>
            <w:r>
              <w:rPr>
                <w:sz w:val="16"/>
              </w:rPr>
              <w:t>Arquitectura</w:t>
            </w:r>
          </w:p>
        </w:tc>
        <w:tc>
          <w:tcPr>
            <w:tcW w:type="dxa" w:w="1442"/>
          </w:tcPr>
          <w:p>
            <w:r>
              <w:rPr>
                <w:sz w:val="16"/>
              </w:rPr>
              <w:t>Personas</w:t>
            </w:r>
          </w:p>
        </w:tc>
        <w:tc>
          <w:tcPr>
            <w:tcW w:type="dxa" w:w="1442"/>
          </w:tcPr>
          <w:p>
            <w:r>
              <w:rPr>
                <w:sz w:val="16"/>
              </w:rPr>
              <w:t>Seguridad</w:t>
            </w:r>
          </w:p>
        </w:tc>
        <w:tc>
          <w:tcPr>
            <w:tcW w:type="dxa" w:w="1442"/>
          </w:tcPr>
          <w:p>
            <w:r>
              <w:rPr>
                <w:sz w:val="16"/>
              </w:rPr>
              <w:t>Economía</w:t>
            </w:r>
          </w:p>
        </w:tc>
        <w:tc>
          <w:tcPr>
            <w:tcW w:type="dxa" w:w="1442"/>
          </w:tcPr>
          <w:p>
            <w:r>
              <w:rPr>
                <w:sz w:val="16"/>
              </w:rPr>
              <w:t>Sostenibilidad</w:t>
            </w:r>
          </w:p>
        </w:tc>
      </w:tr>
      <w:tr>
        <w:trPr>
          <w:cantSplit/>
        </w:trPr>
        <w:tc>
          <w:tcPr>
            <w:tcW w:type="dxa" w:w="1442"/>
          </w:tcPr>
          <w:p>
            <w:r>
              <w:rPr>
                <w:sz w:val="16"/>
              </w:rPr>
              <w:t>BI operacional</w:t>
            </w:r>
          </w:p>
        </w:tc>
        <w:tc>
          <w:tcPr>
            <w:tcW w:type="dxa" w:w="1442"/>
          </w:tcPr>
          <w:p>
            <w:r>
              <w:rPr>
                <w:sz w:val="16"/>
              </w:rPr>
              <w:t>Comparación previsto–ejecutado y referencia de presupuesto</w:t>
            </w:r>
          </w:p>
        </w:tc>
        <w:tc>
          <w:tcPr>
            <w:tcW w:type="dxa" w:w="1442"/>
          </w:tcPr>
          <w:p>
            <w:r>
              <w:rPr>
                <w:sz w:val="16"/>
              </w:rPr>
              <w:t>Modelo separado y tablero acotado</w:t>
            </w:r>
          </w:p>
        </w:tc>
        <w:tc>
          <w:tcPr>
            <w:tcW w:type="dxa" w:w="1442"/>
          </w:tcPr>
          <w:p>
            <w:r>
              <w:rPr>
                <w:sz w:val="16"/>
              </w:rPr>
              <w:t>Costos valida definiciones; Obra interpreta desvíos</w:t>
            </w:r>
          </w:p>
        </w:tc>
        <w:tc>
          <w:tcPr>
            <w:tcW w:type="dxa" w:w="1442"/>
          </w:tcPr>
          <w:p>
            <w:r>
              <w:rPr>
                <w:sz w:val="16"/>
              </w:rPr>
              <w:t>Acceso por obra y revisión de publicación</w:t>
            </w:r>
          </w:p>
        </w:tc>
        <w:tc>
          <w:tcPr>
            <w:tcW w:type="dxa" w:w="1442"/>
          </w:tcPr>
          <w:p>
            <w:r>
              <w:rPr>
                <w:sz w:val="16"/>
              </w:rPr>
              <w:t>Comparar licencias/esfuerzo con horas medidas, sin ahorro inventado</w:t>
            </w:r>
          </w:p>
        </w:tc>
        <w:tc>
          <w:tcPr>
            <w:tcW w:type="dxa" w:w="1442"/>
          </w:tcPr>
          <w:p>
            <w:r>
              <w:rPr>
                <w:sz w:val="16"/>
              </w:rPr>
              <w:t>Refrescos proporcionales y reutilización</w:t>
            </w:r>
          </w:p>
        </w:tc>
      </w:tr>
      <w:tr>
        <w:trPr>
          <w:cantSplit/>
        </w:trPr>
        <w:tc>
          <w:tcPr>
            <w:tcW w:type="dxa" w:w="1442"/>
          </w:tcPr>
          <w:p>
            <w:r>
              <w:rPr>
                <w:sz w:val="16"/>
              </w:rPr>
              <w:t>Arquitectura analítica</w:t>
            </w:r>
          </w:p>
        </w:tc>
        <w:tc>
          <w:tcPr>
            <w:tcW w:type="dxa" w:w="1442"/>
          </w:tcPr>
          <w:p>
            <w:r>
              <w:rPr>
                <w:sz w:val="16"/>
              </w:rPr>
              <w:t>Históricos comparables y reutilizables</w:t>
            </w:r>
          </w:p>
        </w:tc>
        <w:tc>
          <w:tcPr>
            <w:tcW w:type="dxa" w:w="1442"/>
          </w:tcPr>
          <w:p>
            <w:r>
              <w:rPr>
                <w:sz w:val="16"/>
              </w:rPr>
              <w:t>Staging, transformaciones y modelo dimensional</w:t>
            </w:r>
          </w:p>
        </w:tc>
        <w:tc>
          <w:tcPr>
            <w:tcW w:type="dxa" w:w="1442"/>
          </w:tcPr>
          <w:p>
            <w:r>
              <w:rPr>
                <w:sz w:val="16"/>
              </w:rPr>
              <w:t>Formación y responsable funcional de datos</w:t>
            </w:r>
          </w:p>
        </w:tc>
        <w:tc>
          <w:tcPr>
            <w:tcW w:type="dxa" w:w="1442"/>
          </w:tcPr>
          <w:p>
            <w:r>
              <w:rPr>
                <w:sz w:val="16"/>
              </w:rPr>
              <w:t>Mínimo privilegio y conciliación</w:t>
            </w:r>
          </w:p>
        </w:tc>
        <w:tc>
          <w:tcPr>
            <w:tcW w:type="dxa" w:w="1442"/>
          </w:tcPr>
          <w:p>
            <w:r>
              <w:rPr>
                <w:sz w:val="16"/>
              </w:rPr>
              <w:t>Medir operación antes de escalar</w:t>
            </w:r>
          </w:p>
        </w:tc>
        <w:tc>
          <w:tcPr>
            <w:tcW w:type="dxa" w:w="1442"/>
          </w:tcPr>
          <w:p>
            <w:r>
              <w:rPr>
                <w:sz w:val="16"/>
              </w:rPr>
              <w:t>Retención acotada, evitar copias redundantes</w:t>
            </w:r>
          </w:p>
        </w:tc>
      </w:tr>
      <w:tr>
        <w:trPr>
          <w:cantSplit/>
        </w:trPr>
        <w:tc>
          <w:tcPr>
            <w:tcW w:type="dxa" w:w="1442"/>
          </w:tcPr>
          <w:p>
            <w:r>
              <w:rPr>
                <w:sz w:val="16"/>
              </w:rPr>
              <w:t>IA generativa</w:t>
            </w:r>
          </w:p>
        </w:tc>
        <w:tc>
          <w:tcPr>
            <w:tcW w:type="dxa" w:w="1442"/>
          </w:tcPr>
          <w:p>
            <w:r>
              <w:rPr>
                <w:sz w:val="16"/>
              </w:rPr>
              <w:t>Explicación asistida potencial, aún no validada</w:t>
            </w:r>
          </w:p>
        </w:tc>
        <w:tc>
          <w:tcPr>
            <w:tcW w:type="dxa" w:w="1442"/>
          </w:tcPr>
          <w:p>
            <w:r>
              <w:rPr>
                <w:sz w:val="16"/>
              </w:rPr>
              <w:t>Acceso acotado futuro, sin escritura al ERP</w:t>
            </w:r>
          </w:p>
        </w:tc>
        <w:tc>
          <w:tcPr>
            <w:tcW w:type="dxa" w:w="1442"/>
          </w:tcPr>
          <w:p>
            <w:r>
              <w:rPr>
                <w:sz w:val="16"/>
              </w:rPr>
              <w:t>Aceptación/rechazo humano</w:t>
            </w:r>
          </w:p>
        </w:tc>
        <w:tc>
          <w:tcPr>
            <w:tcW w:type="dxa" w:w="1442"/>
          </w:tcPr>
          <w:p>
            <w:r>
              <w:rPr>
                <w:sz w:val="16"/>
              </w:rPr>
              <w:t>Fuga, alucinación e inyección como riesgos</w:t>
            </w:r>
          </w:p>
        </w:tc>
        <w:tc>
          <w:tcPr>
            <w:tcW w:type="dxa" w:w="1442"/>
          </w:tcPr>
          <w:p>
            <w:r>
              <w:rPr>
                <w:sz w:val="16"/>
              </w:rPr>
              <w:t>Evaluar costo/utilidad antes de consumir</w:t>
            </w:r>
          </w:p>
        </w:tc>
        <w:tc>
          <w:tcPr>
            <w:tcW w:type="dxa" w:w="1442"/>
          </w:tcPr>
          <w:p>
            <w:r>
              <w:rPr>
                <w:sz w:val="16"/>
              </w:rPr>
              <w:t>Preferir BI o reglas si bastan</w:t>
            </w:r>
          </w:p>
        </w:tc>
      </w:tr>
      <w:tr>
        <w:trPr>
          <w:cantSplit/>
        </w:trPr>
        <w:tc>
          <w:tcPr>
            <w:tcW w:type="dxa" w:w="1442"/>
          </w:tcPr>
          <w:p>
            <w:r>
              <w:rPr>
                <w:sz w:val="16"/>
              </w:rPr>
              <w:t>APIs e integración</w:t>
            </w:r>
          </w:p>
        </w:tc>
        <w:tc>
          <w:tcPr>
            <w:tcW w:type="dxa" w:w="1442"/>
          </w:tcPr>
          <w:p>
            <w:r>
              <w:rPr>
                <w:sz w:val="16"/>
              </w:rPr>
              <w:t>Evitar redigitación futura en P-03; no ingreso por API</w:t>
            </w:r>
          </w:p>
        </w:tc>
        <w:tc>
          <w:tcPr>
            <w:tcW w:type="dxa" w:w="1442"/>
          </w:tcPr>
          <w:p>
            <w:r>
              <w:rPr>
                <w:sz w:val="16"/>
              </w:rPr>
              <w:t>Contrato de campos/unidades/versiones; API solo con consumidor, lote ahora</w:t>
            </w:r>
          </w:p>
        </w:tc>
        <w:tc>
          <w:tcPr>
            <w:tcW w:type="dxa" w:w="1442"/>
          </w:tcPr>
          <w:p>
            <w:r>
              <w:rPr>
                <w:sz w:val="16"/>
              </w:rPr>
              <w:t>TI y Costos acuerdan cambios y soporte</w:t>
            </w:r>
          </w:p>
        </w:tc>
        <w:tc>
          <w:tcPr>
            <w:tcW w:type="dxa" w:w="1442"/>
          </w:tcPr>
          <w:p>
            <w:r>
              <w:rPr>
                <w:sz w:val="16"/>
              </w:rPr>
              <w:t>Autenticación/autorización, mínimo privilegio y no exponer MySQL</w:t>
            </w:r>
          </w:p>
        </w:tc>
        <w:tc>
          <w:tcPr>
            <w:tcW w:type="dxa" w:w="1442"/>
          </w:tcPr>
          <w:p>
            <w:r>
              <w:rPr>
                <w:sz w:val="16"/>
              </w:rPr>
              <w:t>Desarrollo y mantenimiento frente a errores/horas por medir</w:t>
            </w:r>
          </w:p>
        </w:tc>
        <w:tc>
          <w:tcPr>
            <w:tcW w:type="dxa" w:w="1442"/>
          </w:tcPr>
          <w:p>
            <w:r>
              <w:rPr>
                <w:sz w:val="16"/>
              </w:rPr>
              <w:t>Lotes y paginación para no transferir datos innecesarios</w:t>
            </w:r>
          </w:p>
        </w:tc>
      </w:tr>
      <w:tr>
        <w:trPr>
          <w:cantSplit/>
        </w:trPr>
        <w:tc>
          <w:tcPr>
            <w:tcW w:type="dxa" w:w="1442"/>
          </w:tcPr>
          <w:p>
            <w:r>
              <w:rPr>
                <w:sz w:val="16"/>
              </w:rPr>
              <w:t>Gobierno y calidad</w:t>
            </w:r>
          </w:p>
        </w:tc>
        <w:tc>
          <w:tcPr>
            <w:tcW w:type="dxa" w:w="1442"/>
          </w:tcPr>
          <w:p>
            <w:r>
              <w:rPr>
                <w:sz w:val="16"/>
              </w:rPr>
              <w:t>Evitar ratios incomparables de P-01</w:t>
            </w:r>
          </w:p>
        </w:tc>
        <w:tc>
          <w:tcPr>
            <w:tcW w:type="dxa" w:w="1442"/>
          </w:tcPr>
          <w:p>
            <w:r>
              <w:rPr>
                <w:sz w:val="16"/>
              </w:rPr>
              <w:t>Diccionario, ID de obra/partida, unidades, linaje y reglas de rechazo</w:t>
            </w:r>
          </w:p>
        </w:tc>
        <w:tc>
          <w:tcPr>
            <w:tcW w:type="dxa" w:w="1442"/>
          </w:tcPr>
          <w:p>
            <w:r>
              <w:rPr>
                <w:sz w:val="16"/>
              </w:rPr>
              <w:t>Costos es custodio propuesto; TI implementa, Obra corrige origen</w:t>
            </w:r>
          </w:p>
        </w:tc>
        <w:tc>
          <w:tcPr>
            <w:tcW w:type="dxa" w:w="1442"/>
          </w:tcPr>
          <w:p>
            <w:r>
              <w:rPr>
                <w:sz w:val="16"/>
              </w:rPr>
              <w:t>Clasificar, minimizar, retener y limitar datos personales</w:t>
            </w:r>
          </w:p>
        </w:tc>
        <w:tc>
          <w:tcPr>
            <w:tcW w:type="dxa" w:w="1442"/>
          </w:tcPr>
          <w:p>
            <w:r>
              <w:rPr>
                <w:sz w:val="16"/>
              </w:rPr>
              <w:t>Registrar costo de depuración y fallos; no suponer calidad gratuita</w:t>
            </w:r>
          </w:p>
        </w:tc>
        <w:tc>
          <w:tcPr>
            <w:tcW w:type="dxa" w:w="1442"/>
          </w:tcPr>
          <w:p>
            <w:r>
              <w:rPr>
                <w:sz w:val="16"/>
              </w:rPr>
              <w:t>Reutilizar catálogo, evitar históricos duplicados y borrar según política aprobada</w:t>
            </w:r>
          </w:p>
        </w:tc>
      </w:tr>
      <w:tr>
        <w:trPr>
          <w:cantSplit/>
        </w:trPr>
        <w:tc>
          <w:tcPr>
            <w:tcW w:type="dxa" w:w="1442"/>
          </w:tcPr>
          <w:p>
            <w:r>
              <w:rPr>
                <w:sz w:val="16"/>
              </w:rPr>
              <w:t>DevSecOps / SSDF</w:t>
            </w:r>
          </w:p>
        </w:tc>
        <w:tc>
          <w:tcPr>
            <w:tcW w:type="dxa" w:w="1442"/>
          </w:tcPr>
          <w:p>
            <w:r>
              <w:rPr>
                <w:sz w:val="16"/>
              </w:rPr>
              <w:t>Cambios repetibles y menos fallos evitables, sin garantía cuantificada</w:t>
            </w:r>
          </w:p>
        </w:tc>
        <w:tc>
          <w:tcPr>
            <w:tcW w:type="dxa" w:w="1442"/>
          </w:tcPr>
          <w:p>
            <w:r>
              <w:rPr>
                <w:sz w:val="16"/>
              </w:rPr>
              <w:t>Git, pruebas locales, revisión y plan de recuperación; CI condicional</w:t>
            </w:r>
          </w:p>
        </w:tc>
        <w:tc>
          <w:tcPr>
            <w:tcW w:type="dxa" w:w="1442"/>
          </w:tcPr>
          <w:p>
            <w:r>
              <w:rPr>
                <w:sz w:val="16"/>
              </w:rPr>
              <w:t>Autor/revisor designados, formación en pruebas y secretos</w:t>
            </w:r>
          </w:p>
        </w:tc>
        <w:tc>
          <w:tcPr>
            <w:tcW w:type="dxa" w:w="1442"/>
          </w:tcPr>
          <w:p>
            <w:r>
              <w:rPr>
                <w:sz w:val="16"/>
              </w:rPr>
              <w:t>Revisar dependencias, accesos y exposición antes de publicar</w:t>
            </w:r>
          </w:p>
        </w:tc>
        <w:tc>
          <w:tcPr>
            <w:tcW w:type="dxa" w:w="1442"/>
          </w:tcPr>
          <w:p>
            <w:r>
              <w:rPr>
                <w:sz w:val="16"/>
              </w:rPr>
              <w:t>Contabilizar pruebas/revisión frente a retrabajo futuro</w:t>
            </w:r>
          </w:p>
        </w:tc>
        <w:tc>
          <w:tcPr>
            <w:tcW w:type="dxa" w:w="1442"/>
          </w:tcPr>
          <w:p>
            <w:r>
              <w:rPr>
                <w:sz w:val="16"/>
              </w:rPr>
              <w:t>Reutilizar pruebas y ejecutar suites proporcionales, no infraestructura ociosa</w:t>
            </w:r>
          </w:p>
        </w:tc>
      </w:tr>
    </w:tbl>
    <w:p/>
    <w:p>
      <w:pPr>
        <w:pStyle w:val="Heading2"/>
      </w:pPr>
      <w:r>
        <w:t>3. Semana 2: modelo de negocio y corrección bibliográfica</w:t>
      </w:r>
    </w:p>
    <w:p>
      <w:pPr>
        <w:pStyle w:val="Heading3"/>
      </w:pPr>
      <w:r>
        <w:t>3.1 BMC AS-IS vigente</w:t>
      </w:r>
    </w:p>
    <w:tbl>
      <w:tblPr>
        <w:tblStyle w:val="LightShading-Accent1"/>
        <w:tblW w:type="auto" w:w="0"/>
        <w:tblLook w:firstColumn="1" w:firstRow="1" w:lastColumn="0" w:lastRow="0" w:noHBand="0" w:noVBand="1" w:val="04A0"/>
      </w:tblPr>
      <w:tblGrid>
        <w:gridCol w:w="5046"/>
        <w:gridCol w:w="5046"/>
      </w:tblGrid>
      <w:tr>
        <w:trPr>
          <w:tblHeader/>
          <w:cantSplit/>
        </w:trPr>
        <w:tc>
          <w:tcPr>
            <w:tcW w:type="dxa" w:w="5046"/>
          </w:tcPr>
          <w:p>
            <w:r>
              <w:rPr>
                <w:sz w:val="16"/>
              </w:rPr>
              <w:t>Bloque BMC AS-IS</w:t>
            </w:r>
          </w:p>
        </w:tc>
        <w:tc>
          <w:tcPr>
            <w:tcW w:type="dxa" w:w="5046"/>
          </w:tcPr>
          <w:p>
            <w:r>
              <w:rPr>
                <w:sz w:val="16"/>
              </w:rPr>
              <w:t>Contenido del escenario</w:t>
            </w:r>
          </w:p>
        </w:tc>
      </w:tr>
      <w:tr>
        <w:trPr>
          <w:cantSplit/>
        </w:trPr>
        <w:tc>
          <w:tcPr>
            <w:tcW w:type="dxa" w:w="5046"/>
          </w:tcPr>
          <w:p>
            <w:r>
              <w:rPr>
                <w:sz w:val="16"/>
              </w:rPr>
              <w:t>Socios</w:t>
            </w:r>
          </w:p>
        </w:tc>
        <w:tc>
          <w:tcPr>
            <w:tcW w:type="dxa" w:w="5046"/>
          </w:tcPr>
          <w:p>
            <w:r>
              <w:rPr>
                <w:sz w:val="16"/>
              </w:rPr>
              <w:t>Proveedores, subcontratistas, proyectistas y entidades financieras</w:t>
            </w:r>
          </w:p>
        </w:tc>
      </w:tr>
      <w:tr>
        <w:trPr>
          <w:cantSplit/>
        </w:trPr>
        <w:tc>
          <w:tcPr>
            <w:tcW w:type="dxa" w:w="5046"/>
          </w:tcPr>
          <w:p>
            <w:r>
              <w:rPr>
                <w:sz w:val="16"/>
              </w:rPr>
              <w:t>Actividades</w:t>
            </w:r>
          </w:p>
        </w:tc>
        <w:tc>
          <w:tcPr>
            <w:tcW w:type="dxa" w:w="5046"/>
          </w:tcPr>
          <w:p>
            <w:r>
              <w:rPr>
                <w:sz w:val="16"/>
              </w:rPr>
              <w:t>Presupuestar, ejecutar, tarear, medir, comprar, valorizar y atender posventa contractual</w:t>
            </w:r>
          </w:p>
        </w:tc>
      </w:tr>
      <w:tr>
        <w:trPr>
          <w:cantSplit/>
        </w:trPr>
        <w:tc>
          <w:tcPr>
            <w:tcW w:type="dxa" w:w="5046"/>
          </w:tcPr>
          <w:p>
            <w:r>
              <w:rPr>
                <w:sz w:val="16"/>
              </w:rPr>
              <w:t>Propuesta de valor</w:t>
            </w:r>
          </w:p>
        </w:tc>
        <w:tc>
          <w:tcPr>
            <w:tcW w:type="dxa" w:w="5046"/>
          </w:tcPr>
          <w:p>
            <w:r>
              <w:rPr>
                <w:sz w:val="16"/>
              </w:rPr>
              <w:t>Obras/unidades conforme a alcance, plazo, calidad y obligaciones contractuales</w:t>
            </w:r>
          </w:p>
        </w:tc>
      </w:tr>
      <w:tr>
        <w:trPr>
          <w:cantSplit/>
        </w:trPr>
        <w:tc>
          <w:tcPr>
            <w:tcW w:type="dxa" w:w="5046"/>
          </w:tcPr>
          <w:p>
            <w:r>
              <w:rPr>
                <w:sz w:val="16"/>
              </w:rPr>
              <w:t>Relación con clientes</w:t>
            </w:r>
          </w:p>
        </w:tc>
        <w:tc>
          <w:tcPr>
            <w:tcW w:type="dxa" w:w="5046"/>
          </w:tcPr>
          <w:p>
            <w:r>
              <w:rPr>
                <w:sz w:val="16"/>
              </w:rPr>
              <w:t>Contrato, reuniones de avance, valorizaciones y posventa</w:t>
            </w:r>
          </w:p>
        </w:tc>
      </w:tr>
      <w:tr>
        <w:trPr>
          <w:cantSplit/>
        </w:trPr>
        <w:tc>
          <w:tcPr>
            <w:tcW w:type="dxa" w:w="5046"/>
          </w:tcPr>
          <w:p>
            <w:r>
              <w:rPr>
                <w:sz w:val="16"/>
              </w:rPr>
              <w:t>Segmentos</w:t>
            </w:r>
          </w:p>
        </w:tc>
        <w:tc>
          <w:tcPr>
            <w:tcW w:type="dxa" w:w="5046"/>
          </w:tcPr>
          <w:p>
            <w:r>
              <w:rPr>
                <w:sz w:val="16"/>
              </w:rPr>
              <w:t>Contratantes privados y compradores inmobiliarios; públicos solo cuando corresponda</w:t>
            </w:r>
          </w:p>
        </w:tc>
      </w:tr>
      <w:tr>
        <w:trPr>
          <w:cantSplit/>
        </w:trPr>
        <w:tc>
          <w:tcPr>
            <w:tcW w:type="dxa" w:w="5046"/>
          </w:tcPr>
          <w:p>
            <w:r>
              <w:rPr>
                <w:sz w:val="16"/>
              </w:rPr>
              <w:t>Recursos</w:t>
            </w:r>
          </w:p>
        </w:tc>
        <w:tc>
          <w:tcPr>
            <w:tcW w:type="dxa" w:w="5046"/>
          </w:tcPr>
          <w:p>
            <w:r>
              <w:rPr>
                <w:sz w:val="16"/>
              </w:rPr>
              <w:t>Personal, equipos, capital, ERP propio e históricos; cantidades no confirmadas</w:t>
            </w:r>
          </w:p>
        </w:tc>
      </w:tr>
      <w:tr>
        <w:trPr>
          <w:cantSplit/>
        </w:trPr>
        <w:tc>
          <w:tcPr>
            <w:tcW w:type="dxa" w:w="5046"/>
          </w:tcPr>
          <w:p>
            <w:r>
              <w:rPr>
                <w:sz w:val="16"/>
              </w:rPr>
              <w:t>Canales</w:t>
            </w:r>
          </w:p>
        </w:tc>
        <w:tc>
          <w:tcPr>
            <w:tcW w:type="dxa" w:w="5046"/>
          </w:tcPr>
          <w:p>
            <w:r>
              <w:rPr>
                <w:sz w:val="16"/>
              </w:rPr>
              <w:t>Comerciales supuestos: fuerza/sala de ventas e invitaciones; digitales supuestos: web, redes, portales y correo al cliente</w:t>
            </w:r>
          </w:p>
        </w:tc>
      </w:tr>
      <w:tr>
        <w:trPr>
          <w:cantSplit/>
        </w:trPr>
        <w:tc>
          <w:tcPr>
            <w:tcW w:type="dxa" w:w="5046"/>
          </w:tcPr>
          <w:p>
            <w:r>
              <w:rPr>
                <w:sz w:val="16"/>
              </w:rPr>
              <w:t>Costos</w:t>
            </w:r>
          </w:p>
        </w:tc>
        <w:tc>
          <w:tcPr>
            <w:tcW w:type="dxa" w:w="5046"/>
          </w:tcPr>
          <w:p>
            <w:r>
              <w:rPr>
                <w:sz w:val="16"/>
              </w:rPr>
              <w:t>Mano de obra, materiales, subcontratos, equipos, logística, administración y TI</w:t>
            </w:r>
          </w:p>
        </w:tc>
      </w:tr>
      <w:tr>
        <w:trPr>
          <w:cantSplit/>
        </w:trPr>
        <w:tc>
          <w:tcPr>
            <w:tcW w:type="dxa" w:w="5046"/>
          </w:tcPr>
          <w:p>
            <w:r>
              <w:rPr>
                <w:sz w:val="16"/>
              </w:rPr>
              <w:t>Ingresos</w:t>
            </w:r>
          </w:p>
        </w:tc>
        <w:tc>
          <w:tcPr>
            <w:tcW w:type="dxa" w:w="5046"/>
          </w:tcPr>
          <w:p>
            <w:r>
              <w:rPr>
                <w:sz w:val="16"/>
              </w:rPr>
              <w:t>Contratos valorizados, venta de unidades y adicionales reconocidos; no SaaS ni monetización de APIs</w:t>
            </w:r>
          </w:p>
        </w:tc>
      </w:tr>
    </w:tbl>
    <w:p/>
    <w:p>
      <w:r>
        <w:rPr>
          <w:b w:val="0"/>
        </w:rPr>
        <w:t>El ERP es recurso/soporte de operación interna, no segmento de clientes ni canal comercial de entrega al cliente. Pagos bancarios son mecanismo de cobro supuesto, no un nuevo ingreso. La posventa es actividad/relación; no se añade como flujo de ingreso salvo contrato y evidencia futuros.</w:t>
      </w:r>
    </w:p>
    <w:p>
      <w:r>
        <w:rPr>
          <w:b w:val="0"/>
        </w:rPr>
        <w:t xml:space="preserve">La presentación histórica </w:t>
      </w:r>
      <w:r>
        <w:rPr>
          <w:b w:val="0"/>
        </w:rPr>
        <w:t>entregas/semana-02/Grupo 1 - Proyecto - S2.pdf</w:t>
      </w:r>
      <w:r>
        <w:rPr>
          <w:b w:val="0"/>
        </w:rPr>
        <w:t xml:space="preserve">, p. 1, ubica fuerza de ventas, licitaciones y web en segmentos. Se sustituye para uso vigente por </w:t>
      </w:r>
      <w:r>
        <w:rPr>
          <w:b w:val="0"/>
        </w:rPr>
        <w:t>entregas/semana-02/revision-v1.2/Presentacion_S2_v1.2.pdf</w:t>
      </w:r>
      <w:r>
        <w:rPr>
          <w:b w:val="0"/>
        </w:rPr>
        <w:t xml:space="preserve"> y su fuente </w:t>
      </w:r>
      <w:r>
        <w:rPr>
          <w:b w:val="0"/>
        </w:rPr>
        <w:t>documentos/proyecto/Semana2_MaterialComplementario_v1.2.md</w:t>
      </w:r>
      <w:r>
        <w:rPr>
          <w:b w:val="0"/>
        </w:rPr>
        <w:t>; los SVG de sus cinco láminas son editables. No se modificó ni se afirma corregido el PDF original.</w:t>
      </w:r>
    </w:p>
    <w:tbl>
      <w:tblPr>
        <w:tblStyle w:val="LightShading-Accent1"/>
        <w:tblW w:type="auto" w:w="0"/>
        <w:tblLook w:firstColumn="1" w:firstRow="1" w:lastColumn="0" w:lastRow="0" w:noHBand="0" w:noVBand="1" w:val="04A0"/>
      </w:tblPr>
      <w:tblGrid>
        <w:gridCol w:w="2018"/>
        <w:gridCol w:w="2018"/>
        <w:gridCol w:w="2018"/>
        <w:gridCol w:w="2018"/>
        <w:gridCol w:w="2018"/>
      </w:tblGrid>
      <w:tr>
        <w:trPr>
          <w:tblHeader/>
          <w:cantSplit/>
        </w:trPr>
        <w:tc>
          <w:tcPr>
            <w:tcW w:type="dxa" w:w="2018"/>
          </w:tcPr>
          <w:p>
            <w:r>
              <w:rPr>
                <w:sz w:val="16"/>
              </w:rPr>
              <w:t>Propuesta</w:t>
            </w:r>
          </w:p>
        </w:tc>
        <w:tc>
          <w:tcPr>
            <w:tcW w:type="dxa" w:w="2018"/>
          </w:tcPr>
          <w:p>
            <w:r>
              <w:rPr>
                <w:sz w:val="16"/>
              </w:rPr>
              <w:t>Cambio y efecto económico</w:t>
            </w:r>
          </w:p>
        </w:tc>
        <w:tc>
          <w:tcPr>
            <w:tcW w:type="dxa" w:w="2018"/>
          </w:tcPr>
          <w:p>
            <w:r>
              <w:rPr>
                <w:sz w:val="16"/>
              </w:rPr>
              <w:t>Beneficio esperado</w:t>
            </w:r>
          </w:p>
        </w:tc>
        <w:tc>
          <w:tcPr>
            <w:tcW w:type="dxa" w:w="2018"/>
          </w:tcPr>
          <w:p>
            <w:r>
              <w:rPr>
                <w:sz w:val="16"/>
              </w:rPr>
              <w:t>Riesgo principal</w:t>
            </w:r>
          </w:p>
        </w:tc>
        <w:tc>
          <w:tcPr>
            <w:tcW w:type="dxa" w:w="2018"/>
          </w:tcPr>
          <w:p>
            <w:r>
              <w:rPr>
                <w:sz w:val="16"/>
              </w:rPr>
              <w:t>Validación</w:t>
            </w:r>
          </w:p>
        </w:tc>
      </w:tr>
      <w:tr>
        <w:trPr>
          <w:cantSplit/>
        </w:trPr>
        <w:tc>
          <w:tcPr>
            <w:tcW w:type="dxa" w:w="2018"/>
          </w:tcPr>
          <w:p>
            <w:r>
              <w:rPr>
                <w:sz w:val="16"/>
              </w:rPr>
              <w:t>P-01</w:t>
            </w:r>
          </w:p>
        </w:tc>
        <w:tc>
          <w:tcPr>
            <w:tcW w:type="dxa" w:w="2018"/>
          </w:tcPr>
          <w:p>
            <w:r>
              <w:rPr>
                <w:sz w:val="16"/>
              </w:rPr>
              <w:t>Históricos gobernados; eficiencia/costo, no ingreso nuevo</w:t>
            </w:r>
          </w:p>
        </w:tc>
        <w:tc>
          <w:tcPr>
            <w:tcW w:type="dxa" w:w="2018"/>
          </w:tcPr>
          <w:p>
            <w:r>
              <w:rPr>
                <w:sz w:val="16"/>
              </w:rPr>
              <w:t>Presupuestar y detectar desvíos</w:t>
            </w:r>
          </w:p>
        </w:tc>
        <w:tc>
          <w:tcPr>
            <w:tcW w:type="dxa" w:w="2018"/>
          </w:tcPr>
          <w:p>
            <w:r>
              <w:rPr>
                <w:sz w:val="16"/>
              </w:rPr>
              <w:t>Calidad/comparabilidad</w:t>
            </w:r>
          </w:p>
        </w:tc>
        <w:tc>
          <w:tcPr>
            <w:tcW w:type="dxa" w:w="2018"/>
          </w:tcPr>
          <w:p>
            <w:r>
              <w:rPr>
                <w:sz w:val="16"/>
              </w:rPr>
              <w:t>Nuevo diseño S4 y posterior contraste autorizado</w:t>
            </w:r>
          </w:p>
        </w:tc>
      </w:tr>
      <w:tr>
        <w:trPr>
          <w:cantSplit/>
        </w:trPr>
        <w:tc>
          <w:tcPr>
            <w:tcW w:type="dxa" w:w="2018"/>
          </w:tcPr>
          <w:p>
            <w:r>
              <w:rPr>
                <w:sz w:val="16"/>
              </w:rPr>
              <w:t>P-02</w:t>
            </w:r>
          </w:p>
        </w:tc>
        <w:tc>
          <w:tcPr>
            <w:tcW w:type="dxa" w:w="2018"/>
          </w:tcPr>
          <w:p>
            <w:r>
              <w:rPr>
                <w:sz w:val="16"/>
              </w:rPr>
              <w:t>Portal informativo acotado; valor percibido</w:t>
            </w:r>
          </w:p>
        </w:tc>
        <w:tc>
          <w:tcPr>
            <w:tcW w:type="dxa" w:w="2018"/>
          </w:tcPr>
          <w:p>
            <w:r>
              <w:rPr>
                <w:sz w:val="16"/>
              </w:rPr>
              <w:t>Transparencia y menos consultas</w:t>
            </w:r>
          </w:p>
        </w:tc>
        <w:tc>
          <w:tcPr>
            <w:tcW w:type="dxa" w:w="2018"/>
          </w:tcPr>
          <w:p>
            <w:r>
              <w:rPr>
                <w:sz w:val="16"/>
              </w:rPr>
              <w:t>Publicar información errónea/confidencial</w:t>
            </w:r>
          </w:p>
        </w:tc>
        <w:tc>
          <w:tcPr>
            <w:tcW w:type="dxa" w:w="2018"/>
          </w:tcPr>
          <w:p>
            <w:r>
              <w:rPr>
                <w:sz w:val="16"/>
              </w:rPr>
              <w:t>Piloto posterior; fuera del TO-BE inicial</w:t>
            </w:r>
          </w:p>
        </w:tc>
      </w:tr>
      <w:tr>
        <w:trPr>
          <w:cantSplit/>
        </w:trPr>
        <w:tc>
          <w:tcPr>
            <w:tcW w:type="dxa" w:w="2018"/>
          </w:tcPr>
          <w:p>
            <w:r>
              <w:rPr>
                <w:sz w:val="16"/>
              </w:rPr>
              <w:t>P-03</w:t>
            </w:r>
          </w:p>
        </w:tc>
        <w:tc>
          <w:tcPr>
            <w:tcW w:type="dxa" w:w="2018"/>
          </w:tcPr>
          <w:p>
            <w:r>
              <w:rPr>
                <w:sz w:val="16"/>
              </w:rPr>
              <w:t>Integración de abastecimiento; eficiencia interna</w:t>
            </w:r>
          </w:p>
        </w:tc>
        <w:tc>
          <w:tcPr>
            <w:tcW w:type="dxa" w:w="2018"/>
          </w:tcPr>
          <w:p>
            <w:r>
              <w:rPr>
                <w:sz w:val="16"/>
              </w:rPr>
              <w:t>Menor redigitación</w:t>
            </w:r>
          </w:p>
        </w:tc>
        <w:tc>
          <w:tcPr>
            <w:tcW w:type="dxa" w:w="2018"/>
          </w:tcPr>
          <w:p>
            <w:r>
              <w:rPr>
                <w:sz w:val="16"/>
              </w:rPr>
              <w:t>Capacidad y dependencia de terceros</w:t>
            </w:r>
          </w:p>
        </w:tc>
        <w:tc>
          <w:tcPr>
            <w:tcW w:type="dxa" w:w="2018"/>
          </w:tcPr>
          <w:p>
            <w:r>
              <w:rPr>
                <w:sz w:val="16"/>
              </w:rPr>
              <w:t>Diagnóstico de proveedores; sin eventos obligatorios</w:t>
            </w:r>
          </w:p>
        </w:tc>
      </w:tr>
    </w:tbl>
    <w:p/>
    <w:p>
      <w:r>
        <w:rPr>
          <w:b w:val="0"/>
        </w:rPr>
        <w:t>SaaS se considera consumo potencial, no producto propio. Una plataforma se limita a participantes del caso, no marketplace abierto. API economy se orienta a integración, no venta de APIs. e-Business se ajusta a compras y documentación. e-Commerce queda como posibilidad de captación/reserva/pago, sin prometer cierre íntegro en línea. La elección depende del proceso contractual hipotético, no de extrapolar estadísticas nacionales (Postman, 2025, solo como contexto tecnológico).</w:t>
      </w:r>
    </w:p>
    <w:p>
      <w:pPr>
        <w:pStyle w:val="Heading3"/>
      </w:pPr>
      <w:r>
        <w:t>3.2 CAPECE: retiro explícito de afirmaciones</w:t>
      </w:r>
    </w:p>
    <w:p>
      <w:r>
        <w:rPr>
          <w:b w:val="0"/>
        </w:rPr>
        <w:t xml:space="preserve">La consulta del 25/10/2026 a </w:t>
      </w:r>
      <w:r>
        <w:rPr>
          <w:b w:val="0"/>
        </w:rPr>
        <w:t>https://www.capece.org.pe/observatorio-ecommerce/</w:t>
      </w:r>
      <w:r>
        <w:rPr>
          <w:b w:val="0"/>
        </w:rPr>
        <w:t xml:space="preserve"> muestra el encabezado «Comercio Electrónico Perú 2024–2025». No se descargó el informe mediante formulario ni se entregaron datos personales. Se verifica la página, no todos los datos del informe completo (Cámara Peruana de Comercio Electrónico, s. f.).</w:t>
      </w:r>
    </w:p>
    <w:tbl>
      <w:tblPr>
        <w:tblStyle w:val="LightShading-Accent1"/>
        <w:tblW w:type="auto" w:w="0"/>
        <w:tblLook w:firstColumn="1" w:firstRow="1" w:lastColumn="0" w:lastRow="0" w:noHBand="0" w:noVBand="1" w:val="04A0"/>
      </w:tblPr>
      <w:tblGrid>
        <w:gridCol w:w="3364"/>
        <w:gridCol w:w="3364"/>
        <w:gridCol w:w="3364"/>
      </w:tblGrid>
      <w:tr>
        <w:trPr>
          <w:tblHeader/>
          <w:cantSplit/>
        </w:trPr>
        <w:tc>
          <w:tcPr>
            <w:tcW w:type="dxa" w:w="3364"/>
          </w:tcPr>
          <w:p>
            <w:r>
              <w:rPr>
                <w:sz w:val="16"/>
              </w:rPr>
              <w:t>Afirmación histórica S2</w:t>
            </w:r>
          </w:p>
        </w:tc>
        <w:tc>
          <w:tcPr>
            <w:tcW w:type="dxa" w:w="3364"/>
          </w:tcPr>
          <w:p>
            <w:r>
              <w:rPr>
                <w:sz w:val="16"/>
              </w:rPr>
              <w:t>Localización original</w:t>
            </w:r>
          </w:p>
        </w:tc>
        <w:tc>
          <w:tcPr>
            <w:tcW w:type="dxa" w:w="3364"/>
          </w:tcPr>
          <w:p>
            <w:r>
              <w:rPr>
                <w:sz w:val="16"/>
              </w:rPr>
              <w:t>Tratamiento vigente v1.2</w:t>
            </w:r>
          </w:p>
        </w:tc>
      </w:tr>
      <w:tr>
        <w:trPr>
          <w:cantSplit/>
        </w:trPr>
        <w:tc>
          <w:tcPr>
            <w:tcW w:type="dxa" w:w="3364"/>
          </w:tcPr>
          <w:p>
            <w:r>
              <w:rPr>
                <w:sz w:val="16"/>
              </w:rPr>
              <w:t>Billeteras 37,6 % en H1 2026</w:t>
            </w:r>
          </w:p>
        </w:tc>
        <w:tc>
          <w:tcPr>
            <w:tcW w:type="dxa" w:w="3364"/>
          </w:tcPr>
          <w:p>
            <w:r>
              <w:rPr>
                <w:sz w:val="16"/>
              </w:rPr>
              <w:t>§2.5, p. 5</w:t>
            </w:r>
          </w:p>
        </w:tc>
        <w:tc>
          <w:tcPr>
            <w:tcW w:type="dxa" w:w="3364"/>
          </w:tcPr>
          <w:p>
            <w:r>
              <w:rPr>
                <w:sz w:val="16"/>
              </w:rPr>
              <w:t>Retirada: el enlace no respalda esa cifra/periodo</w:t>
            </w:r>
          </w:p>
        </w:tc>
      </w:tr>
      <w:tr>
        <w:trPr>
          <w:cantSplit/>
        </w:trPr>
        <w:tc>
          <w:tcPr>
            <w:tcW w:type="dxa" w:w="3364"/>
          </w:tcPr>
          <w:p>
            <w:r>
              <w:rPr>
                <w:sz w:val="16"/>
              </w:rPr>
              <w:t>Mercado US$19 300 millones en H1 2026</w:t>
            </w:r>
          </w:p>
        </w:tc>
        <w:tc>
          <w:tcPr>
            <w:tcW w:type="dxa" w:w="3364"/>
          </w:tcPr>
          <w:p>
            <w:r>
              <w:rPr>
                <w:sz w:val="16"/>
              </w:rPr>
              <w:t>§4.5, p. 8</w:t>
            </w:r>
          </w:p>
        </w:tc>
        <w:tc>
          <w:tcPr>
            <w:tcW w:type="dxa" w:w="3364"/>
          </w:tcPr>
          <w:p>
            <w:r>
              <w:rPr>
                <w:sz w:val="16"/>
              </w:rPr>
              <w:t>Retirada: no sustituida por otra cifra sin contexto verificable</w:t>
            </w:r>
          </w:p>
        </w:tc>
      </w:tr>
      <w:tr>
        <w:trPr>
          <w:cantSplit/>
        </w:trPr>
        <w:tc>
          <w:tcPr>
            <w:tcW w:type="dxa" w:w="3364"/>
          </w:tcPr>
          <w:p>
            <w:r>
              <w:rPr>
                <w:sz w:val="16"/>
              </w:rPr>
              <w:t>Crecimiento 50,4 %</w:t>
            </w:r>
          </w:p>
        </w:tc>
        <w:tc>
          <w:tcPr>
            <w:tcW w:type="dxa" w:w="3364"/>
          </w:tcPr>
          <w:p>
            <w:r>
              <w:rPr>
                <w:sz w:val="16"/>
              </w:rPr>
              <w:t>§4.5, p. 8</w:t>
            </w:r>
          </w:p>
        </w:tc>
        <w:tc>
          <w:tcPr>
            <w:tcW w:type="dxa" w:w="3364"/>
          </w:tcPr>
          <w:p>
            <w:r>
              <w:rPr>
                <w:sz w:val="16"/>
              </w:rPr>
              <w:t>Retirado por falta de respaldo de la edición atribuida</w:t>
            </w:r>
          </w:p>
        </w:tc>
      </w:tr>
      <w:tr>
        <w:trPr>
          <w:cantSplit/>
        </w:trPr>
        <w:tc>
          <w:tcPr>
            <w:tcW w:type="dxa" w:w="3364"/>
          </w:tcPr>
          <w:p>
            <w:r>
              <w:rPr>
                <w:sz w:val="16"/>
              </w:rPr>
              <w:t>Más de 1 000 millones de transacciones y billeteras como principal medio</w:t>
            </w:r>
          </w:p>
        </w:tc>
        <w:tc>
          <w:tcPr>
            <w:tcW w:type="dxa" w:w="3364"/>
          </w:tcPr>
          <w:p>
            <w:r>
              <w:rPr>
                <w:sz w:val="16"/>
              </w:rPr>
              <w:t>§4.5, p. 8</w:t>
            </w:r>
          </w:p>
        </w:tc>
        <w:tc>
          <w:tcPr>
            <w:tcW w:type="dxa" w:w="3364"/>
          </w:tcPr>
          <w:p>
            <w:r>
              <w:rPr>
                <w:sz w:val="16"/>
              </w:rPr>
              <w:t>Retirado junto con la inferencia de pago digital como estándar</w:t>
            </w:r>
          </w:p>
        </w:tc>
      </w:tr>
      <w:tr>
        <w:trPr>
          <w:cantSplit/>
        </w:trPr>
        <w:tc>
          <w:tcPr>
            <w:tcW w:type="dxa" w:w="3364"/>
          </w:tcPr>
          <w:p>
            <w:r>
              <w:rPr>
                <w:sz w:val="16"/>
              </w:rPr>
              <w:t>El mercado confirma D-10</w:t>
            </w:r>
          </w:p>
        </w:tc>
        <w:tc>
          <w:tcPr>
            <w:tcW w:type="dxa" w:w="3364"/>
          </w:tcPr>
          <w:p>
            <w:r>
              <w:rPr>
                <w:sz w:val="16"/>
              </w:rPr>
              <w:t>§6, p. 12</w:t>
            </w:r>
          </w:p>
        </w:tc>
        <w:tc>
          <w:tcPr>
            <w:tcW w:type="dxa" w:w="3364"/>
          </w:tcPr>
          <w:p>
            <w:r>
              <w:rPr>
                <w:sz w:val="16"/>
              </w:rPr>
              <w:t>Se retira ese fundamento; D-10 se mantiene por alcance contractual supuesto</w:t>
            </w:r>
          </w:p>
        </w:tc>
      </w:tr>
      <w:tr>
        <w:trPr>
          <w:cantSplit/>
        </w:trPr>
        <w:tc>
          <w:tcPr>
            <w:tcW w:type="dxa" w:w="3364"/>
          </w:tcPr>
          <w:p>
            <w:r>
              <w:rPr>
                <w:sz w:val="16"/>
              </w:rPr>
              <w:t>Observatorio H1 2026 como G-02</w:t>
            </w:r>
          </w:p>
        </w:tc>
        <w:tc>
          <w:tcPr>
            <w:tcW w:type="dxa" w:w="3364"/>
          </w:tcPr>
          <w:p>
            <w:r>
              <w:rPr>
                <w:sz w:val="16"/>
              </w:rPr>
              <w:t>§§8/10, pp. 13/15</w:t>
            </w:r>
          </w:p>
        </w:tc>
        <w:tc>
          <w:tcPr>
            <w:tcW w:type="dxa" w:w="3364"/>
          </w:tcPr>
          <w:p>
            <w:r>
              <w:rPr>
                <w:sz w:val="16"/>
              </w:rPr>
              <w:t>Sustituido por referencia a la página 2024–2025, sin usarla como benchmark</w:t>
            </w:r>
          </w:p>
        </w:tc>
      </w:tr>
    </w:tbl>
    <w:p/>
    <w:p>
      <w:r>
        <w:rPr>
          <w:b w:val="0"/>
        </w:rPr>
        <w:t xml:space="preserve">Texto sustitutivo: «El escenario admite captación y coordinación digital; reserva y pago se evaluarán según contrato, autorización y capacidad. No se presupone demanda, ahorro o ingreso a partir de cifras nacionales no verificadas». Registro detallado: </w:t>
      </w:r>
      <w:r>
        <w:rPr>
          <w:b w:val="0"/>
        </w:rPr>
        <w:t>fuentes/revision-v1.2/VERIFICACION_FUENTES.md</w:t>
      </w:r>
      <w:r>
        <w:rPr>
          <w:b w:val="0"/>
        </w:rPr>
        <w:t>.</w:t>
      </w:r>
    </w:p>
    <w:p>
      <w:r>
        <w:rPr>
          <w:b w:val="0"/>
        </w:rPr>
        <w:t>Los supuestos económicos SE-01–SE-10 se preservan en el libro v1.2: ingresos contractuales; costos directos; TI fija no medida; reprocesos hipotéticos; transparencia sin ingreso garantizado; costo incremental del portal; medir horas/discrepancias antes de monetizar; sin comisiones/publicidad propias; proveedores por evaluar; gasto variable condicionado.</w:t>
      </w:r>
    </w:p>
    <w:p>
      <w:pPr>
        <w:pStyle w:val="Heading2"/>
      </w:pPr>
      <w:r>
        <w:t>4. Semana 3: instrumento de madurez y plan de cambio</w:t>
      </w:r>
    </w:p>
    <w:p>
      <w:pPr>
        <w:pStyle w:val="Heading3"/>
      </w:pPr>
      <w:r>
        <w:t>4.1 Método y escala</w:t>
      </w:r>
    </w:p>
    <w:p>
      <w:r>
        <w:rPr>
          <w:b w:val="0"/>
        </w:rPr>
      </w:r>
      <w:r>
        <w:rPr>
          <w:b/>
        </w:rPr>
        <w:t>Instrumento académico propio, no modelo certificado ni medición empresarial.</w:t>
      </w:r>
      <w:r>
        <w:rPr>
          <w:b w:val="0"/>
        </w:rPr>
        <w:t xml:space="preserve"> DORA (2025) y Boyagi (2025) orientan capacidades y fricción, no puntúan esta organización. La v1.1 asignaba niveles con poco sustento; la v1.2 no convierte desconocimiento en inmadurez.</w:t>
      </w:r>
    </w:p>
    <w:p>
      <w:r>
        <w:rPr>
          <w:b w:val="0"/>
        </w:rPr>
        <w:t xml:space="preserve">Escala: N1 = práctica aislada/reactiva explícitamente descrita; N2 = repetición local documentable; N3 = definición común con responsable; N4 = medición y seguimiento; N5 = mejora verificada por ciclos. </w:t>
      </w:r>
      <w:r>
        <w:rPr>
          <w:b/>
        </w:rPr>
        <w:t>ND = No determinado</w:t>
      </w:r>
      <w:r>
        <w:rPr>
          <w:b w:val="0"/>
        </w:rPr>
        <w:t>, no cero ni N1.</w:t>
      </w:r>
    </w:p>
    <w:p>
      <w:r>
        <w:rPr>
          <w:b w:val="0"/>
        </w:rPr>
        <w:t>Regla: para cada dimensión, registrar fuente, indicador y alcance; asignar el mayor nivel cuyos descriptores y prerrequisitos estén sustentados. En el caso ficticio, una condición asumida puede justificar solo un nivel hipotético, rotulado H; no acredita nivel empírico. Sin información suficiente, ND. No promediar ordinales ni imputar ND. El objetivo N3 es propuesto y no equivale a una brecha numérica medida.</w:t>
      </w:r>
    </w:p>
    <w:tbl>
      <w:tblPr>
        <w:tblStyle w:val="LightShading-Accent1"/>
        <w:tblW w:type="auto" w:w="0"/>
        <w:tblLook w:firstColumn="1" w:firstRow="1" w:lastColumn="0" w:lastRow="0" w:noHBand="0" w:noVBand="1" w:val="04A0"/>
      </w:tblPr>
      <w:tblGrid>
        <w:gridCol w:w="1682"/>
        <w:gridCol w:w="1682"/>
        <w:gridCol w:w="1682"/>
        <w:gridCol w:w="1682"/>
        <w:gridCol w:w="1682"/>
        <w:gridCol w:w="1682"/>
      </w:tblGrid>
      <w:tr>
        <w:trPr>
          <w:tblHeader/>
          <w:cantSplit/>
        </w:trPr>
        <w:tc>
          <w:tcPr>
            <w:tcW w:type="dxa" w:w="1682"/>
          </w:tcPr>
          <w:p>
            <w:r>
              <w:rPr>
                <w:sz w:val="16"/>
              </w:rPr>
              <w:t>Dimensión del instrumento</w:t>
            </w:r>
          </w:p>
        </w:tc>
        <w:tc>
          <w:tcPr>
            <w:tcW w:type="dxa" w:w="1682"/>
          </w:tcPr>
          <w:p>
            <w:r>
              <w:rPr>
                <w:sz w:val="16"/>
              </w:rPr>
              <w:t>N1 aislado</w:t>
            </w:r>
          </w:p>
        </w:tc>
        <w:tc>
          <w:tcPr>
            <w:tcW w:type="dxa" w:w="1682"/>
          </w:tcPr>
          <w:p>
            <w:r>
              <w:rPr>
                <w:sz w:val="16"/>
              </w:rPr>
              <w:t>N2 repetible local</w:t>
            </w:r>
          </w:p>
        </w:tc>
        <w:tc>
          <w:tcPr>
            <w:tcW w:type="dxa" w:w="1682"/>
          </w:tcPr>
          <w:p>
            <w:r>
              <w:rPr>
                <w:sz w:val="16"/>
              </w:rPr>
              <w:t>N3 definido común</w:t>
            </w:r>
          </w:p>
        </w:tc>
        <w:tc>
          <w:tcPr>
            <w:tcW w:type="dxa" w:w="1682"/>
          </w:tcPr>
          <w:p>
            <w:r>
              <w:rPr>
                <w:sz w:val="16"/>
              </w:rPr>
              <w:t>N4 medido</w:t>
            </w:r>
          </w:p>
        </w:tc>
        <w:tc>
          <w:tcPr>
            <w:tcW w:type="dxa" w:w="1682"/>
          </w:tcPr>
          <w:p>
            <w:r>
              <w:rPr>
                <w:sz w:val="16"/>
              </w:rPr>
              <w:t>N5 mejora verificada</w:t>
            </w:r>
          </w:p>
        </w:tc>
      </w:tr>
      <w:tr>
        <w:trPr>
          <w:cantSplit/>
        </w:trPr>
        <w:tc>
          <w:tcPr>
            <w:tcW w:type="dxa" w:w="1682"/>
          </w:tcPr>
          <w:p>
            <w:r>
              <w:rPr>
                <w:sz w:val="16"/>
              </w:rPr>
              <w:t>Cultura</w:t>
            </w:r>
          </w:p>
        </w:tc>
        <w:tc>
          <w:tcPr>
            <w:tcW w:type="dxa" w:w="1682"/>
          </w:tcPr>
          <w:p>
            <w:r>
              <w:rPr>
                <w:sz w:val="16"/>
              </w:rPr>
              <w:t>Acuerdos individuales reactivos</w:t>
            </w:r>
          </w:p>
        </w:tc>
        <w:tc>
          <w:tcPr>
            <w:tcW w:type="dxa" w:w="1682"/>
          </w:tcPr>
          <w:p>
            <w:r>
              <w:rPr>
                <w:sz w:val="16"/>
              </w:rPr>
              <w:t>Rutina local de revisión</w:t>
            </w:r>
          </w:p>
        </w:tc>
        <w:tc>
          <w:tcPr>
            <w:tcW w:type="dxa" w:w="1682"/>
          </w:tcPr>
          <w:p>
            <w:r>
              <w:rPr>
                <w:sz w:val="16"/>
              </w:rPr>
              <w:t>Acuerdos compartidos y dueño</w:t>
            </w:r>
          </w:p>
        </w:tc>
        <w:tc>
          <w:tcPr>
            <w:tcW w:type="dxa" w:w="1682"/>
          </w:tcPr>
          <w:p>
            <w:r>
              <w:rPr>
                <w:sz w:val="16"/>
              </w:rPr>
              <w:t>Seguimiento de acuerdos y feedback</w:t>
            </w:r>
          </w:p>
        </w:tc>
        <w:tc>
          <w:tcPr>
            <w:tcW w:type="dxa" w:w="1682"/>
          </w:tcPr>
          <w:p>
            <w:r>
              <w:rPr>
                <w:sz w:val="16"/>
              </w:rPr>
              <w:t>Ajustes y efecto documentado</w:t>
            </w:r>
          </w:p>
        </w:tc>
      </w:tr>
      <w:tr>
        <w:trPr>
          <w:cantSplit/>
        </w:trPr>
        <w:tc>
          <w:tcPr>
            <w:tcW w:type="dxa" w:w="1682"/>
          </w:tcPr>
          <w:p>
            <w:r>
              <w:rPr>
                <w:sz w:val="16"/>
              </w:rPr>
              <w:t>Colaboración</w:t>
            </w:r>
          </w:p>
        </w:tc>
        <w:tc>
          <w:tcPr>
            <w:tcW w:type="dxa" w:w="1682"/>
          </w:tcPr>
          <w:p>
            <w:r>
              <w:rPr>
                <w:sz w:val="16"/>
              </w:rPr>
              <w:t>Traspasos informales aislados</w:t>
            </w:r>
          </w:p>
        </w:tc>
        <w:tc>
          <w:tcPr>
            <w:tcW w:type="dxa" w:w="1682"/>
          </w:tcPr>
          <w:p>
            <w:r>
              <w:rPr>
                <w:sz w:val="16"/>
              </w:rPr>
              <w:t>Intercambio local repetido</w:t>
            </w:r>
          </w:p>
        </w:tc>
        <w:tc>
          <w:tcPr>
            <w:tcW w:type="dxa" w:w="1682"/>
          </w:tcPr>
          <w:p>
            <w:r>
              <w:rPr>
                <w:sz w:val="16"/>
              </w:rPr>
              <w:t>Entregables y responsables comunes</w:t>
            </w:r>
          </w:p>
        </w:tc>
        <w:tc>
          <w:tcPr>
            <w:tcW w:type="dxa" w:w="1682"/>
          </w:tcPr>
          <w:p>
            <w:r>
              <w:rPr>
                <w:sz w:val="16"/>
              </w:rPr>
              <w:t>Tiempo/errores de traspaso medidos</w:t>
            </w:r>
          </w:p>
        </w:tc>
        <w:tc>
          <w:tcPr>
            <w:tcW w:type="dxa" w:w="1682"/>
          </w:tcPr>
          <w:p>
            <w:r>
              <w:rPr>
                <w:sz w:val="16"/>
              </w:rPr>
              <w:t>Reducción sostenida verificada</w:t>
            </w:r>
          </w:p>
        </w:tc>
      </w:tr>
      <w:tr>
        <w:trPr>
          <w:cantSplit/>
        </w:trPr>
        <w:tc>
          <w:tcPr>
            <w:tcW w:type="dxa" w:w="1682"/>
          </w:tcPr>
          <w:p>
            <w:r>
              <w:rPr>
                <w:sz w:val="16"/>
              </w:rPr>
              <w:t>DevEx</w:t>
            </w:r>
          </w:p>
        </w:tc>
        <w:tc>
          <w:tcPr>
            <w:tcW w:type="dxa" w:w="1682"/>
          </w:tcPr>
          <w:p>
            <w:r>
              <w:rPr>
                <w:sz w:val="16"/>
              </w:rPr>
              <w:t>Ejecución dependiente de memoria</w:t>
            </w:r>
          </w:p>
        </w:tc>
        <w:tc>
          <w:tcPr>
            <w:tcW w:type="dxa" w:w="1682"/>
          </w:tcPr>
          <w:p>
            <w:r>
              <w:rPr>
                <w:sz w:val="16"/>
              </w:rPr>
              <w:t>Guía local repetible</w:t>
            </w:r>
          </w:p>
        </w:tc>
        <w:tc>
          <w:tcPr>
            <w:tcW w:type="dxa" w:w="1682"/>
          </w:tcPr>
          <w:p>
            <w:r>
              <w:rPr>
                <w:sz w:val="16"/>
              </w:rPr>
              <w:t>Pruebas/guías mantenidas y revisión</w:t>
            </w:r>
          </w:p>
        </w:tc>
        <w:tc>
          <w:tcPr>
            <w:tcW w:type="dxa" w:w="1682"/>
          </w:tcPr>
          <w:p>
            <w:r>
              <w:rPr>
                <w:sz w:val="16"/>
              </w:rPr>
              <w:t>Fricción y fallos medidos</w:t>
            </w:r>
          </w:p>
        </w:tc>
        <w:tc>
          <w:tcPr>
            <w:tcW w:type="dxa" w:w="1682"/>
          </w:tcPr>
          <w:p>
            <w:r>
              <w:rPr>
                <w:sz w:val="16"/>
              </w:rPr>
              <w:t>Mejora de flujo verificada</w:t>
            </w:r>
          </w:p>
        </w:tc>
      </w:tr>
      <w:tr>
        <w:trPr>
          <w:cantSplit/>
        </w:trPr>
        <w:tc>
          <w:tcPr>
            <w:tcW w:type="dxa" w:w="1682"/>
          </w:tcPr>
          <w:p>
            <w:r>
              <w:rPr>
                <w:sz w:val="16"/>
              </w:rPr>
              <w:t>Equipos virtuales</w:t>
            </w:r>
          </w:p>
        </w:tc>
        <w:tc>
          <w:tcPr>
            <w:tcW w:type="dxa" w:w="1682"/>
          </w:tcPr>
          <w:p>
            <w:r>
              <w:rPr>
                <w:sz w:val="16"/>
              </w:rPr>
              <w:t>Coordinación remota ocasional sin regla</w:t>
            </w:r>
          </w:p>
        </w:tc>
        <w:tc>
          <w:tcPr>
            <w:tcW w:type="dxa" w:w="1682"/>
          </w:tcPr>
          <w:p>
            <w:r>
              <w:rPr>
                <w:sz w:val="16"/>
              </w:rPr>
              <w:t>Canal y rutina locales</w:t>
            </w:r>
          </w:p>
        </w:tc>
        <w:tc>
          <w:tcPr>
            <w:tcW w:type="dxa" w:w="1682"/>
          </w:tcPr>
          <w:p>
            <w:r>
              <w:rPr>
                <w:sz w:val="16"/>
              </w:rPr>
              <w:t>Acuerdo asíncrono y repositorio común</w:t>
            </w:r>
          </w:p>
        </w:tc>
        <w:tc>
          <w:tcPr>
            <w:tcW w:type="dxa" w:w="1682"/>
          </w:tcPr>
          <w:p>
            <w:r>
              <w:rPr>
                <w:sz w:val="16"/>
              </w:rPr>
              <w:t>Esperas/handoffs medidos</w:t>
            </w:r>
          </w:p>
        </w:tc>
        <w:tc>
          <w:tcPr>
            <w:tcW w:type="dxa" w:w="1682"/>
          </w:tcPr>
          <w:p>
            <w:r>
              <w:rPr>
                <w:sz w:val="16"/>
              </w:rPr>
              <w:t>Ajustes de coordinación evaluados</w:t>
            </w:r>
          </w:p>
        </w:tc>
      </w:tr>
      <w:tr>
        <w:trPr>
          <w:cantSplit/>
        </w:trPr>
        <w:tc>
          <w:tcPr>
            <w:tcW w:type="dxa" w:w="1682"/>
          </w:tcPr>
          <w:p>
            <w:r>
              <w:rPr>
                <w:sz w:val="16"/>
              </w:rPr>
              <w:t>Datos</w:t>
            </w:r>
          </w:p>
        </w:tc>
        <w:tc>
          <w:tcPr>
            <w:tcW w:type="dxa" w:w="1682"/>
          </w:tcPr>
          <w:p>
            <w:r>
              <w:rPr>
                <w:sz w:val="16"/>
              </w:rPr>
              <w:t>Registros aislados sin rutina descrita</w:t>
            </w:r>
          </w:p>
        </w:tc>
        <w:tc>
          <w:tcPr>
            <w:tcW w:type="dxa" w:w="1682"/>
          </w:tcPr>
          <w:p>
            <w:r>
              <w:rPr>
                <w:sz w:val="16"/>
              </w:rPr>
              <w:t>Registro estructurado recurrente, sin contrato común</w:t>
            </w:r>
          </w:p>
        </w:tc>
        <w:tc>
          <w:tcPr>
            <w:tcW w:type="dxa" w:w="1682"/>
          </w:tcPr>
          <w:p>
            <w:r>
              <w:rPr>
                <w:sz w:val="16"/>
              </w:rPr>
              <w:t>IDs/unidades/reglas y custodio común</w:t>
            </w:r>
          </w:p>
        </w:tc>
        <w:tc>
          <w:tcPr>
            <w:tcW w:type="dxa" w:w="1682"/>
          </w:tcPr>
          <w:p>
            <w:r>
              <w:rPr>
                <w:sz w:val="16"/>
              </w:rPr>
              <w:t>Calidad/frescura seguidas</w:t>
            </w:r>
          </w:p>
        </w:tc>
        <w:tc>
          <w:tcPr>
            <w:tcW w:type="dxa" w:w="1682"/>
          </w:tcPr>
          <w:p>
            <w:r>
              <w:rPr>
                <w:sz w:val="16"/>
              </w:rPr>
              <w:t>Calidad mejora por ciclos</w:t>
            </w:r>
          </w:p>
        </w:tc>
      </w:tr>
      <w:tr>
        <w:trPr>
          <w:cantSplit/>
        </w:trPr>
        <w:tc>
          <w:tcPr>
            <w:tcW w:type="dxa" w:w="1682"/>
          </w:tcPr>
          <w:p>
            <w:r>
              <w:rPr>
                <w:sz w:val="16"/>
              </w:rPr>
              <w:t>Seguridad</w:t>
            </w:r>
          </w:p>
        </w:tc>
        <w:tc>
          <w:tcPr>
            <w:tcW w:type="dxa" w:w="1682"/>
          </w:tcPr>
          <w:p>
            <w:r>
              <w:rPr>
                <w:sz w:val="16"/>
              </w:rPr>
              <w:t>Respuesta reactiva expresamente descrita</w:t>
            </w:r>
          </w:p>
        </w:tc>
        <w:tc>
          <w:tcPr>
            <w:tcW w:type="dxa" w:w="1682"/>
          </w:tcPr>
          <w:p>
            <w:r>
              <w:rPr>
                <w:sz w:val="16"/>
              </w:rPr>
              <w:t>Accesos/revisión locales repetidos</w:t>
            </w:r>
          </w:p>
        </w:tc>
        <w:tc>
          <w:tcPr>
            <w:tcW w:type="dxa" w:w="1682"/>
          </w:tcPr>
          <w:p>
            <w:r>
              <w:rPr>
                <w:sz w:val="16"/>
              </w:rPr>
              <w:t>Política, matriz y responsables</w:t>
            </w:r>
          </w:p>
        </w:tc>
        <w:tc>
          <w:tcPr>
            <w:tcW w:type="dxa" w:w="1682"/>
          </w:tcPr>
          <w:p>
            <w:r>
              <w:rPr>
                <w:sz w:val="16"/>
              </w:rPr>
              <w:t>Pruebas/revisión de accesos periódicas</w:t>
            </w:r>
          </w:p>
        </w:tc>
        <w:tc>
          <w:tcPr>
            <w:tcW w:type="dxa" w:w="1682"/>
          </w:tcPr>
          <w:p>
            <w:r>
              <w:rPr>
                <w:sz w:val="16"/>
              </w:rPr>
              <w:t>Tratamientos y eficacia revisados</w:t>
            </w:r>
          </w:p>
        </w:tc>
      </w:tr>
      <w:tr>
        <w:trPr>
          <w:cantSplit/>
        </w:trPr>
        <w:tc>
          <w:tcPr>
            <w:tcW w:type="dxa" w:w="1682"/>
          </w:tcPr>
          <w:p>
            <w:r>
              <w:rPr>
                <w:sz w:val="16"/>
              </w:rPr>
              <w:t>Capacidad de cambio</w:t>
            </w:r>
          </w:p>
        </w:tc>
        <w:tc>
          <w:tcPr>
            <w:tcW w:type="dxa" w:w="1682"/>
          </w:tcPr>
          <w:p>
            <w:r>
              <w:rPr>
                <w:sz w:val="16"/>
              </w:rPr>
              <w:t>Reacciones puntuales descritas</w:t>
            </w:r>
          </w:p>
        </w:tc>
        <w:tc>
          <w:tcPr>
            <w:tcW w:type="dxa" w:w="1682"/>
          </w:tcPr>
          <w:p>
            <w:r>
              <w:rPr>
                <w:sz w:val="16"/>
              </w:rPr>
              <w:t>Piloto local repetido</w:t>
            </w:r>
          </w:p>
        </w:tc>
        <w:tc>
          <w:tcPr>
            <w:tcW w:type="dxa" w:w="1682"/>
          </w:tcPr>
          <w:p>
            <w:r>
              <w:rPr>
                <w:sz w:val="16"/>
              </w:rPr>
              <w:t>Plan, dueño y criterios de adopción</w:t>
            </w:r>
          </w:p>
        </w:tc>
        <w:tc>
          <w:tcPr>
            <w:tcW w:type="dxa" w:w="1682"/>
          </w:tcPr>
          <w:p>
            <w:r>
              <w:rPr>
                <w:sz w:val="16"/>
              </w:rPr>
              <w:t>Uso/carga de cambio medidos</w:t>
            </w:r>
          </w:p>
        </w:tc>
        <w:tc>
          <w:tcPr>
            <w:tcW w:type="dxa" w:w="1682"/>
          </w:tcPr>
          <w:p>
            <w:r>
              <w:rPr>
                <w:sz w:val="16"/>
              </w:rPr>
              <w:t>Aprendizaje modifica el plan</w:t>
            </w:r>
          </w:p>
        </w:tc>
      </w:tr>
      <w:tr>
        <w:trPr>
          <w:cantSplit/>
        </w:trPr>
        <w:tc>
          <w:tcPr>
            <w:tcW w:type="dxa" w:w="1682"/>
          </w:tcPr>
          <w:p>
            <w:r>
              <w:rPr>
                <w:sz w:val="16"/>
              </w:rPr>
              <w:t>Habilidades</w:t>
            </w:r>
          </w:p>
        </w:tc>
        <w:tc>
          <w:tcPr>
            <w:tcW w:type="dxa" w:w="1682"/>
          </w:tcPr>
          <w:p>
            <w:r>
              <w:rPr>
                <w:sz w:val="16"/>
              </w:rPr>
              <w:t>Dependencia individual descrita</w:t>
            </w:r>
          </w:p>
        </w:tc>
        <w:tc>
          <w:tcPr>
            <w:tcW w:type="dxa" w:w="1682"/>
          </w:tcPr>
          <w:p>
            <w:r>
              <w:rPr>
                <w:sz w:val="16"/>
              </w:rPr>
              <w:t>Transferencia local recurrente</w:t>
            </w:r>
          </w:p>
        </w:tc>
        <w:tc>
          <w:tcPr>
            <w:tcW w:type="dxa" w:w="1682"/>
          </w:tcPr>
          <w:p>
            <w:r>
              <w:rPr>
                <w:sz w:val="16"/>
              </w:rPr>
              <w:t>Mapa de roles y formación común</w:t>
            </w:r>
          </w:p>
        </w:tc>
        <w:tc>
          <w:tcPr>
            <w:tcW w:type="dxa" w:w="1682"/>
          </w:tcPr>
          <w:p>
            <w:r>
              <w:rPr>
                <w:sz w:val="16"/>
              </w:rPr>
              <w:t>Evaluación de desempeño y brechas</w:t>
            </w:r>
          </w:p>
        </w:tc>
        <w:tc>
          <w:tcPr>
            <w:tcW w:type="dxa" w:w="1682"/>
          </w:tcPr>
          <w:p>
            <w:r>
              <w:rPr>
                <w:sz w:val="16"/>
              </w:rPr>
              <w:t>Formación ajustada por resultados</w:t>
            </w:r>
          </w:p>
        </w:tc>
      </w:tr>
      <w:tr>
        <w:trPr>
          <w:cantSplit/>
        </w:trPr>
        <w:tc>
          <w:tcPr>
            <w:tcW w:type="dxa" w:w="1682"/>
          </w:tcPr>
          <w:p>
            <w:r>
              <w:rPr>
                <w:sz w:val="16"/>
              </w:rPr>
              <w:t>Postura ante IA</w:t>
            </w:r>
          </w:p>
        </w:tc>
        <w:tc>
          <w:tcPr>
            <w:tcW w:type="dxa" w:w="1682"/>
          </w:tcPr>
          <w:p>
            <w:r>
              <w:rPr>
                <w:sz w:val="16"/>
              </w:rPr>
              <w:t>Uso sin reglas expresamente supuesto</w:t>
            </w:r>
          </w:p>
        </w:tc>
        <w:tc>
          <w:tcPr>
            <w:tcW w:type="dxa" w:w="1682"/>
          </w:tcPr>
          <w:p>
            <w:r>
              <w:rPr>
                <w:sz w:val="16"/>
              </w:rPr>
              <w:t>Revisión local repetida</w:t>
            </w:r>
          </w:p>
        </w:tc>
        <w:tc>
          <w:tcPr>
            <w:tcW w:type="dxa" w:w="1682"/>
          </w:tcPr>
          <w:p>
            <w:r>
              <w:rPr>
                <w:sz w:val="16"/>
              </w:rPr>
              <w:t>Política de datos y autonomía</w:t>
            </w:r>
          </w:p>
        </w:tc>
        <w:tc>
          <w:tcPr>
            <w:tcW w:type="dxa" w:w="1682"/>
          </w:tcPr>
          <w:p>
            <w:r>
              <w:rPr>
                <w:sz w:val="16"/>
              </w:rPr>
              <w:t>Evaluación de errores y uso</w:t>
            </w:r>
          </w:p>
        </w:tc>
        <w:tc>
          <w:tcPr>
            <w:tcW w:type="dxa" w:w="1682"/>
          </w:tcPr>
          <w:p>
            <w:r>
              <w:rPr>
                <w:sz w:val="16"/>
              </w:rPr>
              <w:t>Revisión de riesgos y beneficio</w:t>
            </w:r>
          </w:p>
        </w:tc>
      </w:tr>
    </w:tbl>
    <w:p/>
    <w:p>
      <w:pPr>
        <w:pStyle w:val="Heading3"/>
      </w:pPr>
      <w:r>
        <w:t>4.2 Asignación revisada y acciones</w:t>
      </w:r>
    </w:p>
    <w:tbl>
      <w:tblPr>
        <w:tblStyle w:val="LightShading-Accent1"/>
        <w:tblW w:type="auto" w:w="0"/>
        <w:tblLook w:firstColumn="1" w:firstRow="1" w:lastColumn="0" w:lastRow="0" w:noHBand="0" w:noVBand="1" w:val="04A0"/>
      </w:tblPr>
      <w:tblGrid>
        <w:gridCol w:w="2018"/>
        <w:gridCol w:w="2018"/>
        <w:gridCol w:w="2018"/>
        <w:gridCol w:w="2018"/>
        <w:gridCol w:w="2018"/>
      </w:tblGrid>
      <w:tr>
        <w:trPr>
          <w:tblHeader/>
          <w:cantSplit/>
        </w:trPr>
        <w:tc>
          <w:tcPr>
            <w:tcW w:type="dxa" w:w="2018"/>
          </w:tcPr>
          <w:p>
            <w:r>
              <w:rPr>
                <w:sz w:val="16"/>
              </w:rPr>
              <w:t>Dimensión evaluada</w:t>
            </w:r>
          </w:p>
        </w:tc>
        <w:tc>
          <w:tcPr>
            <w:tcW w:type="dxa" w:w="2018"/>
          </w:tcPr>
          <w:p>
            <w:r>
              <w:rPr>
                <w:sz w:val="16"/>
              </w:rPr>
              <w:t>Nivel v1.1</w:t>
            </w:r>
          </w:p>
        </w:tc>
        <w:tc>
          <w:tcPr>
            <w:tcW w:type="dxa" w:w="2018"/>
          </w:tcPr>
          <w:p>
            <w:r>
              <w:rPr>
                <w:sz w:val="16"/>
              </w:rPr>
              <w:t>Nivel v1.2</w:t>
            </w:r>
          </w:p>
        </w:tc>
        <w:tc>
          <w:tcPr>
            <w:tcW w:type="dxa" w:w="2018"/>
          </w:tcPr>
          <w:p>
            <w:r>
              <w:rPr>
                <w:sz w:val="16"/>
              </w:rPr>
              <w:t>Sustento y límite</w:t>
            </w:r>
          </w:p>
        </w:tc>
        <w:tc>
          <w:tcPr>
            <w:tcW w:type="dxa" w:w="2018"/>
          </w:tcPr>
          <w:p>
            <w:r>
              <w:rPr>
                <w:sz w:val="16"/>
              </w:rPr>
              <w:t>Acción vinculada / evidencia futura</w:t>
            </w:r>
          </w:p>
        </w:tc>
      </w:tr>
      <w:tr>
        <w:trPr>
          <w:cantSplit/>
        </w:trPr>
        <w:tc>
          <w:tcPr>
            <w:tcW w:type="dxa" w:w="2018"/>
          </w:tcPr>
          <w:p>
            <w:r>
              <w:rPr>
                <w:sz w:val="16"/>
              </w:rPr>
              <w:t>Cultura</w:t>
            </w:r>
          </w:p>
        </w:tc>
        <w:tc>
          <w:tcPr>
            <w:tcW w:type="dxa" w:w="2018"/>
          </w:tcPr>
          <w:p>
            <w:r>
              <w:rPr>
                <w:sz w:val="16"/>
              </w:rPr>
              <w:t>2</w:t>
            </w:r>
          </w:p>
        </w:tc>
        <w:tc>
          <w:tcPr>
            <w:tcW w:type="dxa" w:w="2018"/>
          </w:tcPr>
          <w:p>
            <w:r>
              <w:rPr>
                <w:sz w:val="16"/>
              </w:rPr>
              <w:t>No determinado</w:t>
            </w:r>
          </w:p>
        </w:tc>
        <w:tc>
          <w:tcPr>
            <w:tcW w:type="dxa" w:w="2018"/>
          </w:tcPr>
          <w:p>
            <w:r>
              <w:rPr>
                <w:sz w:val="16"/>
              </w:rPr>
              <w:t>S3 hipotético no establece acuerdos observables suficientes</w:t>
            </w:r>
          </w:p>
        </w:tc>
        <w:tc>
          <w:tcPr>
            <w:tcW w:type="dxa" w:w="2018"/>
          </w:tcPr>
          <w:p>
            <w:r>
              <w:rPr>
                <w:sz w:val="16"/>
              </w:rPr>
              <w:t>Gerencia: co-diseño, registrar acuerdos y revisión</w:t>
            </w:r>
          </w:p>
        </w:tc>
      </w:tr>
      <w:tr>
        <w:trPr>
          <w:cantSplit/>
        </w:trPr>
        <w:tc>
          <w:tcPr>
            <w:tcW w:type="dxa" w:w="2018"/>
          </w:tcPr>
          <w:p>
            <w:r>
              <w:rPr>
                <w:sz w:val="16"/>
              </w:rPr>
              <w:t>Colaboración</w:t>
            </w:r>
          </w:p>
        </w:tc>
        <w:tc>
          <w:tcPr>
            <w:tcW w:type="dxa" w:w="2018"/>
          </w:tcPr>
          <w:p>
            <w:r>
              <w:rPr>
                <w:sz w:val="16"/>
              </w:rPr>
              <w:t>2 combinado</w:t>
            </w:r>
          </w:p>
        </w:tc>
        <w:tc>
          <w:tcPr>
            <w:tcW w:type="dxa" w:w="2018"/>
          </w:tcPr>
          <w:p>
            <w:r>
              <w:rPr>
                <w:sz w:val="16"/>
              </w:rPr>
              <w:t>No determinado</w:t>
            </w:r>
          </w:p>
        </w:tc>
        <w:tc>
          <w:tcPr>
            <w:tcW w:type="dxa" w:w="2018"/>
          </w:tcPr>
          <w:p>
            <w:r>
              <w:rPr>
                <w:sz w:val="16"/>
              </w:rPr>
              <w:t>Exportaciones no acreditan rutina de colaboración</w:t>
            </w:r>
          </w:p>
        </w:tc>
        <w:tc>
          <w:tcPr>
            <w:tcW w:type="dxa" w:w="2018"/>
          </w:tcPr>
          <w:p>
            <w:r>
              <w:rPr>
                <w:sz w:val="16"/>
              </w:rPr>
              <w:t>Obra/Costos: definir handoffs y registrar tiempos</w:t>
            </w:r>
          </w:p>
        </w:tc>
      </w:tr>
      <w:tr>
        <w:trPr>
          <w:cantSplit/>
        </w:trPr>
        <w:tc>
          <w:tcPr>
            <w:tcW w:type="dxa" w:w="2018"/>
          </w:tcPr>
          <w:p>
            <w:r>
              <w:rPr>
                <w:sz w:val="16"/>
              </w:rPr>
              <w:t>DevEx</w:t>
            </w:r>
          </w:p>
        </w:tc>
        <w:tc>
          <w:tcPr>
            <w:tcW w:type="dxa" w:w="2018"/>
          </w:tcPr>
          <w:p>
            <w:r>
              <w:rPr>
                <w:sz w:val="16"/>
              </w:rPr>
              <w:t>2</w:t>
            </w:r>
          </w:p>
        </w:tc>
        <w:tc>
          <w:tcPr>
            <w:tcW w:type="dxa" w:w="2018"/>
          </w:tcPr>
          <w:p>
            <w:r>
              <w:rPr>
                <w:sz w:val="16"/>
              </w:rPr>
              <w:t>No determinado</w:t>
            </w:r>
          </w:p>
        </w:tc>
        <w:tc>
          <w:tcPr>
            <w:tcW w:type="dxa" w:w="2018"/>
          </w:tcPr>
          <w:p>
            <w:r>
              <w:rPr>
                <w:sz w:val="16"/>
              </w:rPr>
              <w:t>No existe inventario de prácticas del equipo ERP</w:t>
            </w:r>
          </w:p>
        </w:tc>
        <w:tc>
          <w:tcPr>
            <w:tcW w:type="dxa" w:w="2018"/>
          </w:tcPr>
          <w:p>
            <w:r>
              <w:rPr>
                <w:sz w:val="16"/>
              </w:rPr>
              <w:t>TI: levantar guías/pruebas y medir fricción</w:t>
            </w:r>
          </w:p>
        </w:tc>
      </w:tr>
      <w:tr>
        <w:trPr>
          <w:cantSplit/>
        </w:trPr>
        <w:tc>
          <w:tcPr>
            <w:tcW w:type="dxa" w:w="2018"/>
          </w:tcPr>
          <w:p>
            <w:r>
              <w:rPr>
                <w:sz w:val="16"/>
              </w:rPr>
              <w:t>Equipos virtuales</w:t>
            </w:r>
          </w:p>
        </w:tc>
        <w:tc>
          <w:tcPr>
            <w:tcW w:type="dxa" w:w="2018"/>
          </w:tcPr>
          <w:p>
            <w:r>
              <w:rPr>
                <w:sz w:val="16"/>
              </w:rPr>
              <w:t>2 combinado</w:t>
            </w:r>
          </w:p>
        </w:tc>
        <w:tc>
          <w:tcPr>
            <w:tcW w:type="dxa" w:w="2018"/>
          </w:tcPr>
          <w:p>
            <w:r>
              <w:rPr>
                <w:sz w:val="16"/>
              </w:rPr>
              <w:t>No determinado</w:t>
            </w:r>
          </w:p>
        </w:tc>
        <w:tc>
          <w:tcPr>
            <w:tcW w:type="dxa" w:w="2018"/>
          </w:tcPr>
          <w:p>
            <w:r>
              <w:rPr>
                <w:sz w:val="16"/>
              </w:rPr>
              <w:t>Dispersión y prácticas remotas no confirmadas</w:t>
            </w:r>
          </w:p>
        </w:tc>
        <w:tc>
          <w:tcPr>
            <w:tcW w:type="dxa" w:w="2018"/>
          </w:tcPr>
          <w:p>
            <w:r>
              <w:rPr>
                <w:sz w:val="16"/>
              </w:rPr>
              <w:t>Operaciones: validar sedes/canales; acuerdo asíncrono si aplica</w:t>
            </w:r>
          </w:p>
        </w:tc>
      </w:tr>
      <w:tr>
        <w:trPr>
          <w:cantSplit/>
        </w:trPr>
        <w:tc>
          <w:tcPr>
            <w:tcW w:type="dxa" w:w="2018"/>
          </w:tcPr>
          <w:p>
            <w:r>
              <w:rPr>
                <w:sz w:val="16"/>
              </w:rPr>
              <w:t>Datos</w:t>
            </w:r>
          </w:p>
        </w:tc>
        <w:tc>
          <w:tcPr>
            <w:tcW w:type="dxa" w:w="2018"/>
          </w:tcPr>
          <w:p>
            <w:r>
              <w:rPr>
                <w:sz w:val="16"/>
              </w:rPr>
              <w:t>2</w:t>
            </w:r>
          </w:p>
        </w:tc>
        <w:tc>
          <w:tcPr>
            <w:tcW w:type="dxa" w:w="2018"/>
          </w:tcPr>
          <w:p>
            <w:r>
              <w:rPr>
                <w:sz w:val="16"/>
              </w:rPr>
              <w:t>2-H, solo escenario</w:t>
            </w:r>
          </w:p>
        </w:tc>
        <w:tc>
          <w:tcPr>
            <w:tcW w:type="dxa" w:w="2018"/>
          </w:tcPr>
          <w:p>
            <w:r>
              <w:rPr>
                <w:sz w:val="16"/>
              </w:rPr>
              <w:t>S-08 y registro ERP recurrente supuesto S-24: cumple N2; no contrato común N3</w:t>
            </w:r>
          </w:p>
        </w:tc>
        <w:tc>
          <w:tcPr>
            <w:tcW w:type="dxa" w:w="2018"/>
          </w:tcPr>
          <w:p>
            <w:r>
              <w:rPr>
                <w:sz w:val="16"/>
              </w:rPr>
              <w:t>Costos/TI: diccionario, conciliación y custodio; revisar muestra autorizada</w:t>
            </w:r>
          </w:p>
        </w:tc>
      </w:tr>
      <w:tr>
        <w:trPr>
          <w:cantSplit/>
        </w:trPr>
        <w:tc>
          <w:tcPr>
            <w:tcW w:type="dxa" w:w="2018"/>
          </w:tcPr>
          <w:p>
            <w:r>
              <w:rPr>
                <w:sz w:val="16"/>
              </w:rPr>
              <w:t>Seguridad</w:t>
            </w:r>
          </w:p>
        </w:tc>
        <w:tc>
          <w:tcPr>
            <w:tcW w:type="dxa" w:w="2018"/>
          </w:tcPr>
          <w:p>
            <w:r>
              <w:rPr>
                <w:sz w:val="16"/>
              </w:rPr>
              <w:t>2</w:t>
            </w:r>
          </w:p>
        </w:tc>
        <w:tc>
          <w:tcPr>
            <w:tcW w:type="dxa" w:w="2018"/>
          </w:tcPr>
          <w:p>
            <w:r>
              <w:rPr>
                <w:sz w:val="16"/>
              </w:rPr>
              <w:t>No determinado</w:t>
            </w:r>
          </w:p>
        </w:tc>
        <w:tc>
          <w:tcPr>
            <w:tcW w:type="dxa" w:w="2018"/>
          </w:tcPr>
          <w:p>
            <w:r>
              <w:rPr>
                <w:sz w:val="16"/>
              </w:rPr>
              <w:t>Controles desconocidos; no prueba de ausencia</w:t>
            </w:r>
          </w:p>
        </w:tc>
        <w:tc>
          <w:tcPr>
            <w:tcW w:type="dxa" w:w="2018"/>
          </w:tcPr>
          <w:p>
            <w:r>
              <w:rPr>
                <w:sz w:val="16"/>
              </w:rPr>
              <w:t>TI/seguridad: inventario y matriz; pruebas permitidas/denegadas</w:t>
            </w:r>
          </w:p>
        </w:tc>
      </w:tr>
      <w:tr>
        <w:trPr>
          <w:cantSplit/>
        </w:trPr>
        <w:tc>
          <w:tcPr>
            <w:tcW w:type="dxa" w:w="2018"/>
          </w:tcPr>
          <w:p>
            <w:r>
              <w:rPr>
                <w:sz w:val="16"/>
              </w:rPr>
              <w:t>Capacidad de cambio</w:t>
            </w:r>
          </w:p>
        </w:tc>
        <w:tc>
          <w:tcPr>
            <w:tcW w:type="dxa" w:w="2018"/>
          </w:tcPr>
          <w:p>
            <w:r>
              <w:rPr>
                <w:sz w:val="16"/>
              </w:rPr>
              <w:t>1</w:t>
            </w:r>
          </w:p>
        </w:tc>
        <w:tc>
          <w:tcPr>
            <w:tcW w:type="dxa" w:w="2018"/>
          </w:tcPr>
          <w:p>
            <w:r>
              <w:rPr>
                <w:sz w:val="16"/>
              </w:rPr>
              <w:t>No determinado</w:t>
            </w:r>
          </w:p>
        </w:tc>
        <w:tc>
          <w:tcPr>
            <w:tcW w:type="dxa" w:w="2018"/>
          </w:tcPr>
          <w:p>
            <w:r>
              <w:rPr>
                <w:sz w:val="16"/>
              </w:rPr>
              <w:t>Adopción no medida no demuestra N1</w:t>
            </w:r>
          </w:p>
        </w:tc>
        <w:tc>
          <w:tcPr>
            <w:tcW w:type="dxa" w:w="2018"/>
          </w:tcPr>
          <w:p>
            <w:r>
              <w:rPr>
                <w:sz w:val="16"/>
              </w:rPr>
              <w:t>Gerencia/Costos: plan, responsables y piloto con feedback</w:t>
            </w:r>
          </w:p>
        </w:tc>
      </w:tr>
      <w:tr>
        <w:trPr>
          <w:cantSplit/>
        </w:trPr>
        <w:tc>
          <w:tcPr>
            <w:tcW w:type="dxa" w:w="2018"/>
          </w:tcPr>
          <w:p>
            <w:r>
              <w:rPr>
                <w:sz w:val="16"/>
              </w:rPr>
              <w:t>Habilidades</w:t>
            </w:r>
          </w:p>
        </w:tc>
        <w:tc>
          <w:tcPr>
            <w:tcW w:type="dxa" w:w="2018"/>
          </w:tcPr>
          <w:p>
            <w:r>
              <w:rPr>
                <w:sz w:val="16"/>
              </w:rPr>
              <w:t>2</w:t>
            </w:r>
          </w:p>
        </w:tc>
        <w:tc>
          <w:tcPr>
            <w:tcW w:type="dxa" w:w="2018"/>
          </w:tcPr>
          <w:p>
            <w:r>
              <w:rPr>
                <w:sz w:val="16"/>
              </w:rPr>
              <w:t>No determinado</w:t>
            </w:r>
          </w:p>
        </w:tc>
        <w:tc>
          <w:tcPr>
            <w:tcW w:type="dxa" w:w="2018"/>
          </w:tcPr>
          <w:p>
            <w:r>
              <w:rPr>
                <w:sz w:val="16"/>
              </w:rPr>
              <w:t>No hay evaluación individual de competencias ERP</w:t>
            </w:r>
          </w:p>
        </w:tc>
        <w:tc>
          <w:tcPr>
            <w:tcW w:type="dxa" w:w="2018"/>
          </w:tcPr>
          <w:p>
            <w:r>
              <w:rPr>
                <w:sz w:val="16"/>
              </w:rPr>
              <w:t>TI/Costos: evaluar tareas y formación acotada</w:t>
            </w:r>
          </w:p>
        </w:tc>
      </w:tr>
      <w:tr>
        <w:trPr>
          <w:cantSplit/>
        </w:trPr>
        <w:tc>
          <w:tcPr>
            <w:tcW w:type="dxa" w:w="2018"/>
          </w:tcPr>
          <w:p>
            <w:r>
              <w:rPr>
                <w:sz w:val="16"/>
              </w:rPr>
              <w:t>Postura ante IA</w:t>
            </w:r>
          </w:p>
        </w:tc>
        <w:tc>
          <w:tcPr>
            <w:tcW w:type="dxa" w:w="2018"/>
          </w:tcPr>
          <w:p>
            <w:r>
              <w:rPr>
                <w:sz w:val="16"/>
              </w:rPr>
              <w:t>1</w:t>
            </w:r>
          </w:p>
        </w:tc>
        <w:tc>
          <w:tcPr>
            <w:tcW w:type="dxa" w:w="2018"/>
          </w:tcPr>
          <w:p>
            <w:r>
              <w:rPr>
                <w:sz w:val="16"/>
              </w:rPr>
              <w:t>No determinado</w:t>
            </w:r>
          </w:p>
        </w:tc>
        <w:tc>
          <w:tcPr>
            <w:tcW w:type="dxa" w:w="2018"/>
          </w:tcPr>
          <w:p>
            <w:r>
              <w:rPr>
                <w:sz w:val="16"/>
              </w:rPr>
              <w:t>No conocer política no implica ausencia de política</w:t>
            </w:r>
          </w:p>
        </w:tc>
        <w:tc>
          <w:tcPr>
            <w:tcW w:type="dxa" w:w="2018"/>
          </w:tcPr>
          <w:p>
            <w:r>
              <w:rPr>
                <w:sz w:val="16"/>
              </w:rPr>
              <w:t>Equipo/seguridad: validar política antes de usar datos</w:t>
            </w:r>
          </w:p>
        </w:tc>
      </w:tr>
    </w:tbl>
    <w:p/>
    <w:p>
      <w:r>
        <w:rPr>
          <w:b w:val="0"/>
        </w:rPr>
        <w:t>El único nivel conservado es una inferencia hipotética, no diagnóstico empírico. La falta de sustentación de la mayoría de dimensiones queda pendiente; documentar el instrumento no crea evidencia de campo. Objetivo propuesto N3 en todas las dimensiones aplicables, sujeto a revisión de viabilidad humana.</w:t>
      </w:r>
    </w:p>
    <w:p>
      <w:pPr>
        <w:pStyle w:val="Heading3"/>
      </w:pPr>
      <w:r>
        <w:t>4.3 Stakeholders, brechas y adopción</w:t>
      </w:r>
    </w:p>
    <w:tbl>
      <w:tblPr>
        <w:tblStyle w:val="LightShading-Accent1"/>
        <w:tblW w:type="auto" w:w="0"/>
        <w:tblLook w:firstColumn="1" w:firstRow="1" w:lastColumn="0" w:lastRow="0" w:noHBand="0" w:noVBand="1" w:val="04A0"/>
      </w:tblPr>
      <w:tblGrid>
        <w:gridCol w:w="1682"/>
        <w:gridCol w:w="1682"/>
        <w:gridCol w:w="1682"/>
        <w:gridCol w:w="1682"/>
        <w:gridCol w:w="1682"/>
        <w:gridCol w:w="1682"/>
      </w:tblGrid>
      <w:tr>
        <w:trPr>
          <w:tblHeader/>
          <w:cantSplit/>
        </w:trPr>
        <w:tc>
          <w:tcPr>
            <w:tcW w:type="dxa" w:w="1682"/>
          </w:tcPr>
          <w:p>
            <w:r>
              <w:rPr>
                <w:sz w:val="16"/>
              </w:rPr>
              <w:t>Stakeholder</w:t>
            </w:r>
          </w:p>
        </w:tc>
        <w:tc>
          <w:tcPr>
            <w:tcW w:type="dxa" w:w="1682"/>
          </w:tcPr>
          <w:p>
            <w:r>
              <w:rPr>
                <w:sz w:val="16"/>
              </w:rPr>
              <w:t>Influencia</w:t>
            </w:r>
          </w:p>
        </w:tc>
        <w:tc>
          <w:tcPr>
            <w:tcW w:type="dxa" w:w="1682"/>
          </w:tcPr>
          <w:p>
            <w:r>
              <w:rPr>
                <w:sz w:val="16"/>
              </w:rPr>
              <w:t>Interés</w:t>
            </w:r>
          </w:p>
        </w:tc>
        <w:tc>
          <w:tcPr>
            <w:tcW w:type="dxa" w:w="1682"/>
          </w:tcPr>
          <w:p>
            <w:r>
              <w:rPr>
                <w:sz w:val="16"/>
              </w:rPr>
              <w:t>Impacto</w:t>
            </w:r>
          </w:p>
        </w:tc>
        <w:tc>
          <w:tcPr>
            <w:tcW w:type="dxa" w:w="1682"/>
          </w:tcPr>
          <w:p>
            <w:r>
              <w:rPr>
                <w:sz w:val="16"/>
              </w:rPr>
              <w:t>Estrategia</w:t>
            </w:r>
          </w:p>
        </w:tc>
        <w:tc>
          <w:tcPr>
            <w:tcW w:type="dxa" w:w="1682"/>
          </w:tcPr>
          <w:p>
            <w:r>
              <w:rPr>
                <w:sz w:val="16"/>
              </w:rPr>
              <w:t>Base</w:t>
            </w:r>
          </w:p>
        </w:tc>
      </w:tr>
      <w:tr>
        <w:trPr>
          <w:cantSplit/>
        </w:trPr>
        <w:tc>
          <w:tcPr>
            <w:tcW w:type="dxa" w:w="1682"/>
          </w:tcPr>
          <w:p>
            <w:r>
              <w:rPr>
                <w:sz w:val="16"/>
              </w:rPr>
              <w:t>Gerencia</w:t>
            </w:r>
          </w:p>
        </w:tc>
        <w:tc>
          <w:tcPr>
            <w:tcW w:type="dxa" w:w="1682"/>
          </w:tcPr>
          <w:p>
            <w:r>
              <w:rPr>
                <w:sz w:val="16"/>
              </w:rPr>
              <w:t>Alta</w:t>
            </w:r>
          </w:p>
        </w:tc>
        <w:tc>
          <w:tcPr>
            <w:tcW w:type="dxa" w:w="1682"/>
          </w:tcPr>
          <w:p>
            <w:r>
              <w:rPr>
                <w:sz w:val="16"/>
              </w:rPr>
              <w:t>Alto</w:t>
            </w:r>
          </w:p>
        </w:tc>
        <w:tc>
          <w:tcPr>
            <w:tcW w:type="dxa" w:w="1682"/>
          </w:tcPr>
          <w:p>
            <w:r>
              <w:rPr>
                <w:sz w:val="16"/>
              </w:rPr>
              <w:t>Alto</w:t>
            </w:r>
          </w:p>
        </w:tc>
        <w:tc>
          <w:tcPr>
            <w:tcW w:type="dxa" w:w="1682"/>
          </w:tcPr>
          <w:p>
            <w:r>
              <w:rPr>
                <w:sz w:val="16"/>
              </w:rPr>
              <w:t>Acordar alcance y continuidad</w:t>
            </w:r>
          </w:p>
        </w:tc>
        <w:tc>
          <w:tcPr>
            <w:tcW w:type="dxa" w:w="1682"/>
          </w:tcPr>
          <w:p>
            <w:r>
              <w:rPr>
                <w:sz w:val="16"/>
              </w:rPr>
              <w:t>Rol del escenario, no entrevista</w:t>
            </w:r>
          </w:p>
        </w:tc>
      </w:tr>
      <w:tr>
        <w:trPr>
          <w:cantSplit/>
        </w:trPr>
        <w:tc>
          <w:tcPr>
            <w:tcW w:type="dxa" w:w="1682"/>
          </w:tcPr>
          <w:p>
            <w:r>
              <w:rPr>
                <w:sz w:val="16"/>
              </w:rPr>
              <w:t>Costos/Presupuestos</w:t>
            </w:r>
          </w:p>
        </w:tc>
        <w:tc>
          <w:tcPr>
            <w:tcW w:type="dxa" w:w="1682"/>
          </w:tcPr>
          <w:p>
            <w:r>
              <w:rPr>
                <w:sz w:val="16"/>
              </w:rPr>
              <w:t>Alta</w:t>
            </w:r>
          </w:p>
        </w:tc>
        <w:tc>
          <w:tcPr>
            <w:tcW w:type="dxa" w:w="1682"/>
          </w:tcPr>
          <w:p>
            <w:r>
              <w:rPr>
                <w:sz w:val="16"/>
              </w:rPr>
              <w:t>Alto</w:t>
            </w:r>
          </w:p>
        </w:tc>
        <w:tc>
          <w:tcPr>
            <w:tcW w:type="dxa" w:w="1682"/>
          </w:tcPr>
          <w:p>
            <w:r>
              <w:rPr>
                <w:sz w:val="16"/>
              </w:rPr>
              <w:t>Muy alto</w:t>
            </w:r>
          </w:p>
        </w:tc>
        <w:tc>
          <w:tcPr>
            <w:tcW w:type="dxa" w:w="1682"/>
          </w:tcPr>
          <w:p>
            <w:r>
              <w:rPr>
                <w:sz w:val="16"/>
              </w:rPr>
              <w:t>Definir ratios, casos y aceptación</w:t>
            </w:r>
          </w:p>
        </w:tc>
        <w:tc>
          <w:tcPr>
            <w:tcW w:type="dxa" w:w="1682"/>
          </w:tcPr>
          <w:p>
            <w:r>
              <w:rPr>
                <w:sz w:val="16"/>
              </w:rPr>
              <w:t>Usuario principal supuesto</w:t>
            </w:r>
          </w:p>
        </w:tc>
      </w:tr>
      <w:tr>
        <w:trPr>
          <w:cantSplit/>
        </w:trPr>
        <w:tc>
          <w:tcPr>
            <w:tcW w:type="dxa" w:w="1682"/>
          </w:tcPr>
          <w:p>
            <w:r>
              <w:rPr>
                <w:sz w:val="16"/>
              </w:rPr>
              <w:t>Obra/Administración</w:t>
            </w:r>
          </w:p>
        </w:tc>
        <w:tc>
          <w:tcPr>
            <w:tcW w:type="dxa" w:w="1682"/>
          </w:tcPr>
          <w:p>
            <w:r>
              <w:rPr>
                <w:sz w:val="16"/>
              </w:rPr>
              <w:t>Alta</w:t>
            </w:r>
          </w:p>
        </w:tc>
        <w:tc>
          <w:tcPr>
            <w:tcW w:type="dxa" w:w="1682"/>
          </w:tcPr>
          <w:p>
            <w:r>
              <w:rPr>
                <w:sz w:val="16"/>
              </w:rPr>
              <w:t>Medio-alto</w:t>
            </w:r>
          </w:p>
        </w:tc>
        <w:tc>
          <w:tcPr>
            <w:tcW w:type="dxa" w:w="1682"/>
          </w:tcPr>
          <w:p>
            <w:r>
              <w:rPr>
                <w:sz w:val="16"/>
              </w:rPr>
              <w:t>Alto</w:t>
            </w:r>
          </w:p>
        </w:tc>
        <w:tc>
          <w:tcPr>
            <w:tcW w:type="dxa" w:w="1682"/>
          </w:tcPr>
          <w:p>
            <w:r>
              <w:rPr>
                <w:sz w:val="16"/>
              </w:rPr>
              <w:t>Captura simple y devolución de desvíos</w:t>
            </w:r>
          </w:p>
        </w:tc>
        <w:tc>
          <w:tcPr>
            <w:tcW w:type="dxa" w:w="1682"/>
          </w:tcPr>
          <w:p>
            <w:r>
              <w:rPr>
                <w:sz w:val="16"/>
              </w:rPr>
              <w:t>Hipótesis funcional</w:t>
            </w:r>
          </w:p>
        </w:tc>
      </w:tr>
      <w:tr>
        <w:trPr>
          <w:cantSplit/>
        </w:trPr>
        <w:tc>
          <w:tcPr>
            <w:tcW w:type="dxa" w:w="1682"/>
          </w:tcPr>
          <w:p>
            <w:r>
              <w:rPr>
                <w:sz w:val="16"/>
              </w:rPr>
              <w:t>Compras/Logística</w:t>
            </w:r>
          </w:p>
        </w:tc>
        <w:tc>
          <w:tcPr>
            <w:tcW w:type="dxa" w:w="1682"/>
          </w:tcPr>
          <w:p>
            <w:r>
              <w:rPr>
                <w:sz w:val="16"/>
              </w:rPr>
              <w:t>Alta</w:t>
            </w:r>
          </w:p>
        </w:tc>
        <w:tc>
          <w:tcPr>
            <w:tcW w:type="dxa" w:w="1682"/>
          </w:tcPr>
          <w:p>
            <w:r>
              <w:rPr>
                <w:sz w:val="16"/>
              </w:rPr>
              <w:t>Alto</w:t>
            </w:r>
          </w:p>
        </w:tc>
        <w:tc>
          <w:tcPr>
            <w:tcW w:type="dxa" w:w="1682"/>
          </w:tcPr>
          <w:p>
            <w:r>
              <w:rPr>
                <w:sz w:val="16"/>
              </w:rPr>
              <w:t>Alto</w:t>
            </w:r>
          </w:p>
        </w:tc>
        <w:tc>
          <w:tcPr>
            <w:tcW w:type="dxa" w:w="1682"/>
          </w:tcPr>
          <w:p>
            <w:r>
              <w:rPr>
                <w:sz w:val="16"/>
              </w:rPr>
              <w:t>Homologar catálogo y conciliar</w:t>
            </w:r>
          </w:p>
        </w:tc>
        <w:tc>
          <w:tcPr>
            <w:tcW w:type="dxa" w:w="1682"/>
          </w:tcPr>
          <w:p>
            <w:r>
              <w:rPr>
                <w:sz w:val="16"/>
              </w:rPr>
              <w:t>P-03 propuesta</w:t>
            </w:r>
          </w:p>
        </w:tc>
      </w:tr>
      <w:tr>
        <w:trPr>
          <w:cantSplit/>
        </w:trPr>
        <w:tc>
          <w:tcPr>
            <w:tcW w:type="dxa" w:w="1682"/>
          </w:tcPr>
          <w:p>
            <w:r>
              <w:rPr>
                <w:sz w:val="16"/>
              </w:rPr>
              <w:t>TI</w:t>
            </w:r>
          </w:p>
        </w:tc>
        <w:tc>
          <w:tcPr>
            <w:tcW w:type="dxa" w:w="1682"/>
          </w:tcPr>
          <w:p>
            <w:r>
              <w:rPr>
                <w:sz w:val="16"/>
              </w:rPr>
              <w:t>Alta</w:t>
            </w:r>
          </w:p>
        </w:tc>
        <w:tc>
          <w:tcPr>
            <w:tcW w:type="dxa" w:w="1682"/>
          </w:tcPr>
          <w:p>
            <w:r>
              <w:rPr>
                <w:sz w:val="16"/>
              </w:rPr>
              <w:t>Alto</w:t>
            </w:r>
          </w:p>
        </w:tc>
        <w:tc>
          <w:tcPr>
            <w:tcW w:type="dxa" w:w="1682"/>
          </w:tcPr>
          <w:p>
            <w:r>
              <w:rPr>
                <w:sz w:val="16"/>
              </w:rPr>
              <w:t>Alto</w:t>
            </w:r>
          </w:p>
        </w:tc>
        <w:tc>
          <w:tcPr>
            <w:tcW w:type="dxa" w:w="1682"/>
          </w:tcPr>
          <w:p>
            <w:r>
              <w:rPr>
                <w:sz w:val="16"/>
              </w:rPr>
              <w:t>Piloto mantenible y accesos</w:t>
            </w:r>
          </w:p>
        </w:tc>
        <w:tc>
          <w:tcPr>
            <w:tcW w:type="dxa" w:w="1682"/>
          </w:tcPr>
          <w:p>
            <w:r>
              <w:rPr>
                <w:sz w:val="16"/>
              </w:rPr>
              <w:t>Stack aclarado; skills/dotación ND</w:t>
            </w:r>
          </w:p>
        </w:tc>
      </w:tr>
      <w:tr>
        <w:trPr>
          <w:cantSplit/>
        </w:trPr>
        <w:tc>
          <w:tcPr>
            <w:tcW w:type="dxa" w:w="1682"/>
          </w:tcPr>
          <w:p>
            <w:r>
              <w:rPr>
                <w:sz w:val="16"/>
              </w:rPr>
              <w:t>Seguridad/administración TI</w:t>
            </w:r>
          </w:p>
        </w:tc>
        <w:tc>
          <w:tcPr>
            <w:tcW w:type="dxa" w:w="1682"/>
          </w:tcPr>
          <w:p>
            <w:r>
              <w:rPr>
                <w:sz w:val="16"/>
              </w:rPr>
              <w:t>Alta</w:t>
            </w:r>
          </w:p>
        </w:tc>
        <w:tc>
          <w:tcPr>
            <w:tcW w:type="dxa" w:w="1682"/>
          </w:tcPr>
          <w:p>
            <w:r>
              <w:rPr>
                <w:sz w:val="16"/>
              </w:rPr>
              <w:t>Alto</w:t>
            </w:r>
          </w:p>
        </w:tc>
        <w:tc>
          <w:tcPr>
            <w:tcW w:type="dxa" w:w="1682"/>
          </w:tcPr>
          <w:p>
            <w:r>
              <w:rPr>
                <w:sz w:val="16"/>
              </w:rPr>
              <w:t>Alto</w:t>
            </w:r>
          </w:p>
        </w:tc>
        <w:tc>
          <w:tcPr>
            <w:tcW w:type="dxa" w:w="1682"/>
          </w:tcPr>
          <w:p>
            <w:r>
              <w:rPr>
                <w:sz w:val="16"/>
              </w:rPr>
              <w:t>Revisar permisos y retención</w:t>
            </w:r>
          </w:p>
        </w:tc>
        <w:tc>
          <w:tcPr>
            <w:tcW w:type="dxa" w:w="1682"/>
          </w:tcPr>
          <w:p>
            <w:r>
              <w:rPr>
                <w:sz w:val="16"/>
              </w:rPr>
              <w:t>Función propuesta, no nuevo puesto confirmado</w:t>
            </w:r>
          </w:p>
        </w:tc>
      </w:tr>
      <w:tr>
        <w:trPr>
          <w:cantSplit/>
        </w:trPr>
        <w:tc>
          <w:tcPr>
            <w:tcW w:type="dxa" w:w="1682"/>
          </w:tcPr>
          <w:p>
            <w:r>
              <w:rPr>
                <w:sz w:val="16"/>
              </w:rPr>
              <w:t>Clientes</w:t>
            </w:r>
          </w:p>
        </w:tc>
        <w:tc>
          <w:tcPr>
            <w:tcW w:type="dxa" w:w="1682"/>
          </w:tcPr>
          <w:p>
            <w:r>
              <w:rPr>
                <w:sz w:val="16"/>
              </w:rPr>
              <w:t>Media</w:t>
            </w:r>
          </w:p>
        </w:tc>
        <w:tc>
          <w:tcPr>
            <w:tcW w:type="dxa" w:w="1682"/>
          </w:tcPr>
          <w:p>
            <w:r>
              <w:rPr>
                <w:sz w:val="16"/>
              </w:rPr>
              <w:t>Alto</w:t>
            </w:r>
          </w:p>
        </w:tc>
        <w:tc>
          <w:tcPr>
            <w:tcW w:type="dxa" w:w="1682"/>
          </w:tcPr>
          <w:p>
            <w:r>
              <w:rPr>
                <w:sz w:val="16"/>
              </w:rPr>
              <w:t>Alto</w:t>
            </w:r>
          </w:p>
        </w:tc>
        <w:tc>
          <w:tcPr>
            <w:tcW w:type="dxa" w:w="1682"/>
          </w:tcPr>
          <w:p>
            <w:r>
              <w:rPr>
                <w:sz w:val="16"/>
              </w:rPr>
              <w:t>Información sin exponer costos internos</w:t>
            </w:r>
          </w:p>
        </w:tc>
        <w:tc>
          <w:tcPr>
            <w:tcW w:type="dxa" w:w="1682"/>
          </w:tcPr>
          <w:p>
            <w:r>
              <w:rPr>
                <w:sz w:val="16"/>
              </w:rPr>
              <w:t>Portal fuera de primer piloto</w:t>
            </w:r>
          </w:p>
        </w:tc>
      </w:tr>
      <w:tr>
        <w:trPr>
          <w:cantSplit/>
        </w:trPr>
        <w:tc>
          <w:tcPr>
            <w:tcW w:type="dxa" w:w="1682"/>
          </w:tcPr>
          <w:p>
            <w:r>
              <w:rPr>
                <w:sz w:val="16"/>
              </w:rPr>
              <w:t>Campo</w:t>
            </w:r>
          </w:p>
        </w:tc>
        <w:tc>
          <w:tcPr>
            <w:tcW w:type="dxa" w:w="1682"/>
          </w:tcPr>
          <w:p>
            <w:r>
              <w:rPr>
                <w:sz w:val="16"/>
              </w:rPr>
              <w:t>Baja-media</w:t>
            </w:r>
          </w:p>
        </w:tc>
        <w:tc>
          <w:tcPr>
            <w:tcW w:type="dxa" w:w="1682"/>
          </w:tcPr>
          <w:p>
            <w:r>
              <w:rPr>
                <w:sz w:val="16"/>
              </w:rPr>
              <w:t>Medio</w:t>
            </w:r>
          </w:p>
        </w:tc>
        <w:tc>
          <w:tcPr>
            <w:tcW w:type="dxa" w:w="1682"/>
          </w:tcPr>
          <w:p>
            <w:r>
              <w:rPr>
                <w:sz w:val="16"/>
              </w:rPr>
              <w:t>Medio</w:t>
            </w:r>
          </w:p>
        </w:tc>
        <w:tc>
          <w:tcPr>
            <w:tcW w:type="dxa" w:w="1682"/>
          </w:tcPr>
          <w:p>
            <w:r>
              <w:rPr>
                <w:sz w:val="16"/>
              </w:rPr>
              <w:t>Explicar finalidad; evitar vigilancia indebida</w:t>
            </w:r>
          </w:p>
        </w:tc>
        <w:tc>
          <w:tcPr>
            <w:tcW w:type="dxa" w:w="1682"/>
          </w:tcPr>
          <w:p>
            <w:r>
              <w:rPr>
                <w:sz w:val="16"/>
              </w:rPr>
              <w:t>No cambiar jornada/planilla</w:t>
            </w:r>
          </w:p>
        </w:tc>
      </w:tr>
    </w:tbl>
    <w:p/>
    <w:tbl>
      <w:tblPr>
        <w:tblStyle w:val="LightShading-Accent1"/>
        <w:tblW w:type="auto" w:w="0"/>
        <w:tblLook w:firstColumn="1" w:firstRow="1" w:lastColumn="0" w:lastRow="0" w:noHBand="0" w:noVBand="1" w:val="04A0"/>
      </w:tblPr>
      <w:tblGrid>
        <w:gridCol w:w="2018"/>
        <w:gridCol w:w="2018"/>
        <w:gridCol w:w="2018"/>
        <w:gridCol w:w="2018"/>
        <w:gridCol w:w="2018"/>
      </w:tblGrid>
      <w:tr>
        <w:trPr>
          <w:tblHeader/>
          <w:cantSplit/>
        </w:trPr>
        <w:tc>
          <w:tcPr>
            <w:tcW w:type="dxa" w:w="2018"/>
          </w:tcPr>
          <w:p>
            <w:r>
              <w:rPr>
                <w:sz w:val="16"/>
              </w:rPr>
              <w:t>Rol del escenario</w:t>
            </w:r>
          </w:p>
        </w:tc>
        <w:tc>
          <w:tcPr>
            <w:tcW w:type="dxa" w:w="2018"/>
          </w:tcPr>
          <w:p>
            <w:r>
              <w:rPr>
                <w:sz w:val="16"/>
              </w:rPr>
              <w:t>Actual / brecha hipotética</w:t>
            </w:r>
          </w:p>
        </w:tc>
        <w:tc>
          <w:tcPr>
            <w:tcW w:type="dxa" w:w="2018"/>
          </w:tcPr>
          <w:p>
            <w:r>
              <w:rPr>
                <w:sz w:val="16"/>
              </w:rPr>
              <w:t>Objetivo propuesto</w:t>
            </w:r>
          </w:p>
        </w:tc>
        <w:tc>
          <w:tcPr>
            <w:tcW w:type="dxa" w:w="2018"/>
          </w:tcPr>
          <w:p>
            <w:r>
              <w:rPr>
                <w:sz w:val="16"/>
              </w:rPr>
              <w:t>Acción y responsable</w:t>
            </w:r>
          </w:p>
        </w:tc>
        <w:tc>
          <w:tcPr>
            <w:tcW w:type="dxa" w:w="2018"/>
          </w:tcPr>
          <w:p>
            <w:r>
              <w:rPr>
                <w:sz w:val="16"/>
              </w:rPr>
              <w:t>Horizonte organizacional</w:t>
            </w:r>
          </w:p>
        </w:tc>
      </w:tr>
      <w:tr>
        <w:trPr>
          <w:cantSplit/>
        </w:trPr>
        <w:tc>
          <w:tcPr>
            <w:tcW w:type="dxa" w:w="2018"/>
          </w:tcPr>
          <w:p>
            <w:r>
              <w:rPr>
                <w:sz w:val="16"/>
              </w:rPr>
              <w:t>Costos</w:t>
            </w:r>
          </w:p>
        </w:tc>
        <w:tc>
          <w:tcPr>
            <w:tcW w:type="dxa" w:w="2018"/>
          </w:tcPr>
          <w:p>
            <w:r>
              <w:rPr>
                <w:sz w:val="16"/>
              </w:rPr>
              <w:t>Planilla local e históricos no integrados</w:t>
            </w:r>
          </w:p>
        </w:tc>
        <w:tc>
          <w:tcPr>
            <w:tcW w:type="dxa" w:w="2018"/>
          </w:tcPr>
          <w:p>
            <w:r>
              <w:rPr>
                <w:sz w:val="16"/>
              </w:rPr>
              <w:t>Ratios con definiciones comunes</w:t>
            </w:r>
          </w:p>
        </w:tc>
        <w:tc>
          <w:tcPr>
            <w:tcW w:type="dxa" w:w="2018"/>
          </w:tcPr>
          <w:p>
            <w:r>
              <w:rPr>
                <w:sz w:val="16"/>
              </w:rPr>
              <w:t>Taller y validación de unidades; Costos</w:t>
            </w:r>
          </w:p>
        </w:tc>
        <w:tc>
          <w:tcPr>
            <w:tcW w:type="dxa" w:w="2018"/>
          </w:tcPr>
          <w:p>
            <w:r>
              <w:rPr>
                <w:sz w:val="16"/>
              </w:rPr>
              <w:t>Q1 2027, por validar</w:t>
            </w:r>
          </w:p>
        </w:tc>
      </w:tr>
      <w:tr>
        <w:trPr>
          <w:cantSplit/>
        </w:trPr>
        <w:tc>
          <w:tcPr>
            <w:tcW w:type="dxa" w:w="2018"/>
          </w:tcPr>
          <w:p>
            <w:r>
              <w:rPr>
                <w:sz w:val="16"/>
              </w:rPr>
              <w:t>Compras</w:t>
            </w:r>
          </w:p>
        </w:tc>
        <w:tc>
          <w:tcPr>
            <w:tcW w:type="dxa" w:w="2018"/>
          </w:tcPr>
          <w:p>
            <w:r>
              <w:rPr>
                <w:sz w:val="16"/>
              </w:rPr>
              <w:t>Codificación dispersa supuesta</w:t>
            </w:r>
          </w:p>
        </w:tc>
        <w:tc>
          <w:tcPr>
            <w:tcW w:type="dxa" w:w="2018"/>
          </w:tcPr>
          <w:p>
            <w:r>
              <w:rPr>
                <w:sz w:val="16"/>
              </w:rPr>
              <w:t>Catálogo homologado</w:t>
            </w:r>
          </w:p>
        </w:tc>
        <w:tc>
          <w:tcPr>
            <w:tcW w:type="dxa" w:w="2018"/>
          </w:tcPr>
          <w:p>
            <w:r>
              <w:rPr>
                <w:sz w:val="16"/>
              </w:rPr>
              <w:t>Acuerdo y muestras de conciliación; Logística</w:t>
            </w:r>
          </w:p>
        </w:tc>
        <w:tc>
          <w:tcPr>
            <w:tcW w:type="dxa" w:w="2018"/>
          </w:tcPr>
          <w:p>
            <w:r>
              <w:rPr>
                <w:sz w:val="16"/>
              </w:rPr>
              <w:t>Q1 2027, por validar</w:t>
            </w:r>
          </w:p>
        </w:tc>
      </w:tr>
      <w:tr>
        <w:trPr>
          <w:cantSplit/>
        </w:trPr>
        <w:tc>
          <w:tcPr>
            <w:tcW w:type="dxa" w:w="2018"/>
          </w:tcPr>
          <w:p>
            <w:r>
              <w:rPr>
                <w:sz w:val="16"/>
              </w:rPr>
              <w:t>Desarrollo ERP</w:t>
            </w:r>
          </w:p>
        </w:tc>
        <w:tc>
          <w:tcPr>
            <w:tcW w:type="dxa" w:w="2018"/>
          </w:tcPr>
          <w:p>
            <w:r>
              <w:rPr>
                <w:sz w:val="16"/>
              </w:rPr>
              <w:t>Prácticas de extracción/pruebas ND</w:t>
            </w:r>
          </w:p>
        </w:tc>
        <w:tc>
          <w:tcPr>
            <w:tcW w:type="dxa" w:w="2018"/>
          </w:tcPr>
          <w:p>
            <w:r>
              <w:rPr>
                <w:sz w:val="16"/>
              </w:rPr>
              <w:t>Extracción segura reproducible</w:t>
            </w:r>
          </w:p>
        </w:tc>
        <w:tc>
          <w:tcPr>
            <w:tcW w:type="dxa" w:w="2018"/>
          </w:tcPr>
          <w:p>
            <w:r>
              <w:rPr>
                <w:sz w:val="16"/>
              </w:rPr>
              <w:t>Evaluación de skills antes de formación SQL/Python; TI</w:t>
            </w:r>
          </w:p>
        </w:tc>
        <w:tc>
          <w:tcPr>
            <w:tcW w:type="dxa" w:w="2018"/>
          </w:tcPr>
          <w:p>
            <w:r>
              <w:rPr>
                <w:sz w:val="16"/>
              </w:rPr>
              <w:t>Q1–Q2 2027, por validar</w:t>
            </w:r>
          </w:p>
        </w:tc>
      </w:tr>
      <w:tr>
        <w:trPr>
          <w:cantSplit/>
        </w:trPr>
        <w:tc>
          <w:tcPr>
            <w:tcW w:type="dxa" w:w="2018"/>
          </w:tcPr>
          <w:p>
            <w:r>
              <w:rPr>
                <w:sz w:val="16"/>
              </w:rPr>
              <w:t>Administración TI</w:t>
            </w:r>
          </w:p>
        </w:tc>
        <w:tc>
          <w:tcPr>
            <w:tcW w:type="dxa" w:w="2018"/>
          </w:tcPr>
          <w:p>
            <w:r>
              <w:rPr>
                <w:sz w:val="16"/>
              </w:rPr>
              <w:t>Accesos/recuperación ND</w:t>
            </w:r>
          </w:p>
        </w:tc>
        <w:tc>
          <w:tcPr>
            <w:tcW w:type="dxa" w:w="2018"/>
          </w:tcPr>
          <w:p>
            <w:r>
              <w:rPr>
                <w:sz w:val="16"/>
              </w:rPr>
              <w:t>Permisos y recuperación definidos</w:t>
            </w:r>
          </w:p>
        </w:tc>
        <w:tc>
          <w:tcPr>
            <w:tcW w:type="dxa" w:w="2018"/>
          </w:tcPr>
          <w:p>
            <w:r>
              <w:rPr>
                <w:sz w:val="16"/>
              </w:rPr>
              <w:t>Inventario y ensayo autorizado; TI/seguridad</w:t>
            </w:r>
          </w:p>
        </w:tc>
        <w:tc>
          <w:tcPr>
            <w:tcW w:type="dxa" w:w="2018"/>
          </w:tcPr>
          <w:p>
            <w:r>
              <w:rPr>
                <w:sz w:val="16"/>
              </w:rPr>
              <w:t>Antes de compartir datos</w:t>
            </w:r>
          </w:p>
        </w:tc>
      </w:tr>
      <w:tr>
        <w:trPr>
          <w:cantSplit/>
        </w:trPr>
        <w:tc>
          <w:tcPr>
            <w:tcW w:type="dxa" w:w="2018"/>
          </w:tcPr>
          <w:p>
            <w:r>
              <w:rPr>
                <w:sz w:val="16"/>
              </w:rPr>
              <w:t>Jefatura de obra</w:t>
            </w:r>
          </w:p>
        </w:tc>
        <w:tc>
          <w:tcPr>
            <w:tcW w:type="dxa" w:w="2018"/>
          </w:tcPr>
          <w:p>
            <w:r>
              <w:rPr>
                <w:sz w:val="16"/>
              </w:rPr>
              <w:t>Interpretación de indicadores ND</w:t>
            </w:r>
          </w:p>
        </w:tc>
        <w:tc>
          <w:tcPr>
            <w:tcW w:type="dxa" w:w="2018"/>
          </w:tcPr>
          <w:p>
            <w:r>
              <w:rPr>
                <w:sz w:val="16"/>
              </w:rPr>
              <w:t>Interpretar desvíos sin decisiones automáticas</w:t>
            </w:r>
          </w:p>
        </w:tc>
        <w:tc>
          <w:tcPr>
            <w:tcW w:type="dxa" w:w="2018"/>
          </w:tcPr>
          <w:p>
            <w:r>
              <w:rPr>
                <w:sz w:val="16"/>
              </w:rPr>
              <w:t>Taller con casos sintéticos; Operaciones</w:t>
            </w:r>
          </w:p>
        </w:tc>
        <w:tc>
          <w:tcPr>
            <w:tcW w:type="dxa" w:w="2018"/>
          </w:tcPr>
          <w:p>
            <w:r>
              <w:rPr>
                <w:sz w:val="16"/>
              </w:rPr>
              <w:t>Antes de piloto humano</w:t>
            </w:r>
          </w:p>
        </w:tc>
      </w:tr>
      <w:tr>
        <w:trPr>
          <w:cantSplit/>
        </w:trPr>
        <w:tc>
          <w:tcPr>
            <w:tcW w:type="dxa" w:w="2018"/>
          </w:tcPr>
          <w:p>
            <w:r>
              <w:rPr>
                <w:sz w:val="16"/>
              </w:rPr>
              <w:t>Custodio de datos</w:t>
            </w:r>
          </w:p>
        </w:tc>
        <w:tc>
          <w:tcPr>
            <w:tcW w:type="dxa" w:w="2018"/>
          </w:tcPr>
          <w:p>
            <w:r>
              <w:rPr>
                <w:sz w:val="16"/>
              </w:rPr>
              <w:t>Función no formalizada en el escenario</w:t>
            </w:r>
          </w:p>
        </w:tc>
        <w:tc>
          <w:tcPr>
            <w:tcW w:type="dxa" w:w="2018"/>
          </w:tcPr>
          <w:p>
            <w:r>
              <w:rPr>
                <w:sz w:val="16"/>
              </w:rPr>
              <w:t>Definiciones y aceptación a cargo de Costos</w:t>
            </w:r>
          </w:p>
        </w:tc>
        <w:tc>
          <w:tcPr>
            <w:tcW w:type="dxa" w:w="2018"/>
          </w:tcPr>
          <w:p>
            <w:r>
              <w:rPr>
                <w:sz w:val="16"/>
              </w:rPr>
              <w:t>Asignar función, no crear puesto por defecto; Gerencia</w:t>
            </w:r>
          </w:p>
        </w:tc>
        <w:tc>
          <w:tcPr>
            <w:tcW w:type="dxa" w:w="2018"/>
          </w:tcPr>
          <w:p>
            <w:r>
              <w:rPr>
                <w:sz w:val="16"/>
              </w:rPr>
              <w:t>Antes de extracción</w:t>
            </w:r>
          </w:p>
        </w:tc>
      </w:tr>
    </w:tbl>
    <w:p/>
    <w:p>
      <w:r>
        <w:rPr>
          <w:b w:val="0"/>
        </w:rPr>
        <w:t>Cinco resistencias hipotéticas: carga de registro, dependencia de planillas, temor a complejidad, oposición a homologar códigos y distancia obra/sede. Acciones respectivas: captura mínima, paralelo limitado, guion sencillo, acuerdos de catálogo y devolución de tableros. No se afirma que ocurrieran. Comunicación propuesta: sesión inicial de alcance con Gerencia/Costos, guía corta para Obra, registro asíncrono de dudas y revisión semanal durante el piloto; responsables por confirmar.</w:t>
      </w:r>
    </w:p>
    <w:p>
      <w:r>
        <w:rPr>
          <w:b w:val="0"/>
        </w:rPr>
        <w:t>Plan: Q4 2026, acordar alcance/responsables; Q1 2027, preparar datos y formación según diagnóstico; Q2 2027, piloto autorizado y marcha en paralelo; después, evaluar. Son horizontes del escenario, no ejecución ni semanas académicas. H2 no presupone una cantidad de personal TI; si no hay capacidad asignada se modifica el calendario.</w:t>
      </w:r>
    </w:p>
    <w:p>
      <w:pPr>
        <w:pStyle w:val="Heading2"/>
      </w:pPr>
      <w:r>
        <w:t>5. Semana 4: hipótesis, métricas y protocolo independiente</w:t>
      </w:r>
    </w:p>
    <w:p>
      <w:pPr>
        <w:pStyle w:val="Heading3"/>
      </w:pPr>
      <w:r>
        <w:t>5.1 Propuesta de valor e hipótesis</w:t>
      </w:r>
    </w:p>
    <w:p>
      <w:r>
        <w:rPr>
          <w:b w:val="0"/>
        </w:rPr>
        <w:t>Usuario principal: Costos/Presupuestos; secundarios: Obra y Gerencia. Tareas: presupuestar y explicar desvíos. Dolores hipotéticos: referencias dispersas y diferencias entre cifras. Ganancias esperadas: ratios comparables, trazabilidad y oportunidad. Aliviadores: reglas de calidad y referencia por partida. Creadores de ganancia: estimación con históricos y comparación previsto–ejecutado. Es un lienzo equivalente, no validación con usuarios.</w:t>
      </w:r>
    </w:p>
    <w:tbl>
      <w:tblPr>
        <w:tblStyle w:val="LightShading-Accent1"/>
        <w:tblW w:type="auto" w:w="0"/>
        <w:tblLook w:firstColumn="1" w:firstRow="1" w:lastColumn="0" w:lastRow="0" w:noHBand="0" w:noVBand="1" w:val="04A0"/>
      </w:tblPr>
      <w:tblGrid>
        <w:gridCol w:w="2018"/>
        <w:gridCol w:w="2018"/>
        <w:gridCol w:w="2018"/>
        <w:gridCol w:w="2018"/>
        <w:gridCol w:w="2018"/>
      </w:tblGrid>
      <w:tr>
        <w:trPr>
          <w:tblHeader/>
          <w:cantSplit/>
        </w:trPr>
        <w:tc>
          <w:tcPr>
            <w:tcW w:type="dxa" w:w="2018"/>
          </w:tcPr>
          <w:p>
            <w:r>
              <w:rPr>
                <w:sz w:val="16"/>
              </w:rPr>
              <w:t>Hipótesis</w:t>
            </w:r>
          </w:p>
        </w:tc>
        <w:tc>
          <w:tcPr>
            <w:tcW w:type="dxa" w:w="2018"/>
          </w:tcPr>
          <w:p>
            <w:r>
              <w:rPr>
                <w:sz w:val="16"/>
              </w:rPr>
              <w:t>Diseño y métrica</w:t>
            </w:r>
          </w:p>
        </w:tc>
        <w:tc>
          <w:tcPr>
            <w:tcW w:type="dxa" w:w="2018"/>
          </w:tcPr>
          <w:p>
            <w:r>
              <w:rPr>
                <w:sz w:val="16"/>
              </w:rPr>
              <w:t>Continuar</w:t>
            </w:r>
          </w:p>
        </w:tc>
        <w:tc>
          <w:tcPr>
            <w:tcW w:type="dxa" w:w="2018"/>
          </w:tcPr>
          <w:p>
            <w:r>
              <w:rPr>
                <w:sz w:val="16"/>
              </w:rPr>
              <w:t>Modificar</w:t>
            </w:r>
          </w:p>
        </w:tc>
        <w:tc>
          <w:tcPr>
            <w:tcW w:type="dxa" w:w="2018"/>
          </w:tcPr>
          <w:p>
            <w:r>
              <w:rPr>
                <w:sz w:val="16"/>
              </w:rPr>
              <w:t>Detener / estado</w:t>
            </w:r>
          </w:p>
        </w:tc>
      </w:tr>
      <w:tr>
        <w:trPr>
          <w:cantSplit/>
        </w:trPr>
        <w:tc>
          <w:tcPr>
            <w:tcW w:type="dxa" w:w="2018"/>
          </w:tcPr>
          <w:p>
            <w:r>
              <w:rPr>
                <w:sz w:val="16"/>
              </w:rPr>
              <w:t>H1-v1.2: ratio histórico ponderado mejora error frente a mediana histórica</w:t>
            </w:r>
          </w:p>
        </w:tc>
        <w:tc>
          <w:tcPr>
            <w:tcW w:type="dxa" w:w="2018"/>
          </w:tcPr>
          <w:p>
            <w:r>
              <w:rPr>
                <w:sz w:val="16"/>
              </w:rPr>
              <w:t>Separar seis obras cerradas y obra nueva; MAPE y reducción relativa sobre mismas partidas</w:t>
            </w:r>
          </w:p>
        </w:tc>
        <w:tc>
          <w:tcPr>
            <w:tcW w:type="dxa" w:w="2018"/>
          </w:tcPr>
          <w:p>
            <w:r>
              <w:rPr>
                <w:sz w:val="16"/>
              </w:rPr>
              <w:t>MAPE ≤15 % y reducción ≥30 %, cobertura 100 % de partidas previstas y sin fuga</w:t>
            </w:r>
          </w:p>
        </w:tc>
        <w:tc>
          <w:tcPr>
            <w:tcW w:type="dxa" w:w="2018"/>
          </w:tcPr>
          <w:p>
            <w:r>
              <w:rPr>
                <w:sz w:val="16"/>
              </w:rPr>
              <w:t>Datos válidos pero falla una meta; baseline cero; historial insuficiente</w:t>
            </w:r>
          </w:p>
        </w:tc>
        <w:tc>
          <w:tcPr>
            <w:tcW w:type="dxa" w:w="2018"/>
          </w:tcPr>
          <w:p>
            <w:r>
              <w:rPr>
                <w:sz w:val="16"/>
              </w:rPr>
              <w:t>Detener evaluación ante fuga/datos inválidos; detener esa variante si MAPE &gt;30 %. No ejecutada</w:t>
            </w:r>
          </w:p>
        </w:tc>
      </w:tr>
      <w:tr>
        <w:trPr>
          <w:cantSplit/>
        </w:trPr>
        <w:tc>
          <w:tcPr>
            <w:tcW w:type="dxa" w:w="2018"/>
          </w:tcPr>
          <w:p>
            <w:r>
              <w:rPr>
                <w:sz w:val="16"/>
              </w:rPr>
              <w:t>H2: flujo aislado viable en esfuerzo acotado</w:t>
            </w:r>
          </w:p>
        </w:tc>
        <w:tc>
          <w:tcPr>
            <w:tcW w:type="dxa" w:w="2018"/>
          </w:tcPr>
          <w:p>
            <w:r>
              <w:rPr>
                <w:sz w:val="16"/>
              </w:rPr>
              <w:t>Extraer sintético, validar/cargar, modelo, tablero, permisos, logs y reproducción; horas-persona</w:t>
            </w:r>
          </w:p>
        </w:tc>
        <w:tc>
          <w:tcPr>
            <w:tcW w:type="dxa" w:w="2018"/>
          </w:tcPr>
          <w:p>
            <w:r>
              <w:rPr>
                <w:sz w:val="16"/>
              </w:rPr>
              <w:t>Todas las etapas verificadas en ≤160 h-persona y sin conexión productiva</w:t>
            </w:r>
          </w:p>
        </w:tc>
        <w:tc>
          <w:tcPr>
            <w:tcW w:type="dxa" w:w="2018"/>
          </w:tcPr>
          <w:p>
            <w:r>
              <w:rPr>
                <w:sz w:val="16"/>
              </w:rPr>
              <w:t>Falta una etapa o excede presupuesto; replanificar</w:t>
            </w:r>
          </w:p>
        </w:tc>
        <w:tc>
          <w:tcPr>
            <w:tcW w:type="dxa" w:w="2018"/>
          </w:tcPr>
          <w:p>
            <w:r>
              <w:rPr>
                <w:sz w:val="16"/>
              </w:rPr>
              <w:t>Acceso no autorizado/daño; no continuar conexión. Pendiente</w:t>
            </w:r>
          </w:p>
        </w:tc>
      </w:tr>
      <w:tr>
        <w:trPr>
          <w:cantSplit/>
        </w:trPr>
        <w:tc>
          <w:tcPr>
            <w:tcW w:type="dxa" w:w="2018"/>
          </w:tcPr>
          <w:p>
            <w:r>
              <w:rPr>
                <w:sz w:val="16"/>
              </w:rPr>
              <w:t>H3: adopción y menor tiempo total</w:t>
            </w:r>
          </w:p>
        </w:tc>
        <w:tc>
          <w:tcPr>
            <w:tcW w:type="dxa" w:w="2018"/>
          </w:tcPr>
          <w:p>
            <w:r>
              <w:rPr>
                <w:sz w:val="16"/>
              </w:rPr>
              <w:t>Piloto humano autorizado cuatro semanas; uso útil semanal y comparación de tiempos pareados</w:t>
            </w:r>
          </w:p>
        </w:tc>
        <w:tc>
          <w:tcPr>
            <w:tcW w:type="dxa" w:w="2018"/>
          </w:tcPr>
          <w:p>
            <w:r>
              <w:rPr>
                <w:sz w:val="16"/>
              </w:rPr>
              <w:t>Uso ≥70 % cada semana y reducción mediana ≥80 %, calidad no inferior</w:t>
            </w:r>
          </w:p>
        </w:tc>
        <w:tc>
          <w:tcPr>
            <w:tcW w:type="dxa" w:w="2018"/>
          </w:tcPr>
          <w:p>
            <w:r>
              <w:rPr>
                <w:sz w:val="16"/>
              </w:rPr>
              <w:t>Falla un umbral con evidencia válida; muestra insuficiente o abandono</w:t>
            </w:r>
          </w:p>
        </w:tc>
        <w:tc>
          <w:tcPr>
            <w:tcW w:type="dxa" w:w="2018"/>
          </w:tcPr>
          <w:p>
            <w:r>
              <w:rPr>
                <w:sz w:val="16"/>
              </w:rPr>
              <w:t>Expansión detenida si ahorro ≤0, errores dañinos o acceso indebido. Pendiente</w:t>
            </w:r>
          </w:p>
        </w:tc>
      </w:tr>
    </w:tbl>
    <w:p/>
    <w:p>
      <w:pPr>
        <w:pStyle w:val="Heading3"/>
      </w:pPr>
      <w:r>
        <w:t>5.2 Definiciones y fundamento metodológico</w:t>
      </w:r>
    </w:p>
    <w:p>
      <w:r>
        <w:rPr>
          <w:b w:val="0"/>
        </w:rPr>
        <w:t>Se elige MAPE para comparar error relativo entre partidas de distinta magnitud, con peso igual por partida; no mide impacto monetario total. Se añade error absoluto monetario por partida y suma de errores absolutos como diagnóstico, sin nueva meta universal. Scikit-learn developers (s. f.-b) documenta MAPE y su inestabilidad cerca de cero; aquí se expresa en porcentaje y se rechaza costo real ≤0, en vez de dividir por epsilon. No se instaló ni se requiere scikit-learn.</w:t>
      </w:r>
    </w:p>
    <w:tbl>
      <w:tblPr>
        <w:tblStyle w:val="LightShading-Accent1"/>
        <w:tblW w:type="auto" w:w="0"/>
        <w:tblLook w:firstColumn="1" w:firstRow="1" w:lastColumn="0" w:lastRow="0" w:noHBand="0" w:noVBand="1" w:val="04A0"/>
      </w:tblPr>
      <w:tblGrid>
        <w:gridCol w:w="2523"/>
        <w:gridCol w:w="2523"/>
        <w:gridCol w:w="2523"/>
        <w:gridCol w:w="2523"/>
      </w:tblGrid>
      <w:tr>
        <w:trPr>
          <w:tblHeader/>
          <w:cantSplit/>
        </w:trPr>
        <w:tc>
          <w:tcPr>
            <w:tcW w:type="dxa" w:w="2523"/>
          </w:tcPr>
          <w:p>
            <w:r>
              <w:rPr>
                <w:sz w:val="16"/>
              </w:rPr>
              <w:t>Métrica</w:t>
            </w:r>
          </w:p>
        </w:tc>
        <w:tc>
          <w:tcPr>
            <w:tcW w:type="dxa" w:w="2523"/>
          </w:tcPr>
          <w:p>
            <w:r>
              <w:rPr>
                <w:sz w:val="16"/>
              </w:rPr>
              <w:t>Fórmula y unidad</w:t>
            </w:r>
          </w:p>
        </w:tc>
        <w:tc>
          <w:tcPr>
            <w:tcW w:type="dxa" w:w="2523"/>
          </w:tcPr>
          <w:p>
            <w:r>
              <w:rPr>
                <w:sz w:val="16"/>
              </w:rPr>
              <w:t>Registro / escenario</w:t>
            </w:r>
          </w:p>
        </w:tc>
        <w:tc>
          <w:tcPr>
            <w:tcW w:type="dxa" w:w="2523"/>
          </w:tcPr>
          <w:p>
            <w:r>
              <w:rPr>
                <w:sz w:val="16"/>
              </w:rPr>
              <w:t>Motivo y tratamiento de extremos</w:t>
            </w:r>
          </w:p>
        </w:tc>
      </w:tr>
      <w:tr>
        <w:trPr>
          <w:cantSplit/>
        </w:trPr>
        <w:tc>
          <w:tcPr>
            <w:tcW w:type="dxa" w:w="2523"/>
          </w:tcPr>
          <w:p>
            <w:r>
              <w:rPr>
                <w:sz w:val="16"/>
              </w:rPr>
              <w:t>APE de partida</w:t>
            </w:r>
          </w:p>
        </w:tc>
        <w:tc>
          <w:tcPr>
            <w:tcW w:type="dxa" w:w="2523"/>
          </w:tcPr>
          <w:p>
            <w:r>
              <w:rPr>
                <w:sz w:val="16"/>
              </w:rPr>
              <w:t>100 × abs(predicho − real) / abs(real), %</w:t>
            </w:r>
          </w:p>
        </w:tc>
        <w:tc>
          <w:tcPr>
            <w:tcW w:type="dxa" w:w="2523"/>
          </w:tcPr>
          <w:p>
            <w:r>
              <w:rPr>
                <w:sz w:val="16"/>
              </w:rPr>
              <w:t>Cada partida con costo real positivo</w:t>
            </w:r>
          </w:p>
        </w:tc>
        <w:tc>
          <w:tcPr>
            <w:tcW w:type="dxa" w:w="2523"/>
          </w:tcPr>
          <w:p>
            <w:r>
              <w:rPr>
                <w:sz w:val="16"/>
              </w:rPr>
              <w:t>Identificar casos que el promedio oculta; no es intervalo ±15 %</w:t>
            </w:r>
          </w:p>
        </w:tc>
      </w:tr>
      <w:tr>
        <w:trPr>
          <w:cantSplit/>
        </w:trPr>
        <w:tc>
          <w:tcPr>
            <w:tcW w:type="dxa" w:w="2523"/>
          </w:tcPr>
          <w:p>
            <w:r>
              <w:rPr>
                <w:sz w:val="16"/>
              </w:rPr>
              <w:t>MAPE</w:t>
            </w:r>
          </w:p>
        </w:tc>
        <w:tc>
          <w:tcPr>
            <w:tcW w:type="dxa" w:w="2523"/>
          </w:tcPr>
          <w:p>
            <w:r>
              <w:rPr>
                <w:sz w:val="16"/>
              </w:rPr>
              <w:t>Suma de APE / n, %</w:t>
            </w:r>
          </w:p>
        </w:tc>
        <w:tc>
          <w:tcPr>
            <w:tcW w:type="dxa" w:w="2523"/>
          </w:tcPr>
          <w:p>
            <w:r>
              <w:rPr>
                <w:sz w:val="16"/>
              </w:rPr>
              <w:t>Mismas partidas para ambos métodos</w:t>
            </w:r>
          </w:p>
        </w:tc>
        <w:tc>
          <w:tcPr>
            <w:tcW w:type="dxa" w:w="2523"/>
          </w:tcPr>
          <w:p>
            <w:r>
              <w:rPr>
                <w:sz w:val="16"/>
              </w:rPr>
              <w:t>Comparabilidad relativa; n=0 o real no positivo invalida el caso</w:t>
            </w:r>
          </w:p>
        </w:tc>
      </w:tr>
      <w:tr>
        <w:trPr>
          <w:cantSplit/>
        </w:trPr>
        <w:tc>
          <w:tcPr>
            <w:tcW w:type="dxa" w:w="2523"/>
          </w:tcPr>
          <w:p>
            <w:r>
              <w:rPr>
                <w:sz w:val="16"/>
              </w:rPr>
              <w:t>Reducción relativa</w:t>
            </w:r>
          </w:p>
        </w:tc>
        <w:tc>
          <w:tcPr>
            <w:tcW w:type="dxa" w:w="2523"/>
          </w:tcPr>
          <w:p>
            <w:r>
              <w:rPr>
                <w:sz w:val="16"/>
              </w:rPr>
              <w:t>100 × (MAPE B0 − MAPE M1) / MAPE B0, %</w:t>
            </w:r>
          </w:p>
        </w:tc>
        <w:tc>
          <w:tcPr>
            <w:tcW w:type="dxa" w:w="2523"/>
          </w:tcPr>
          <w:p>
            <w:r>
              <w:rPr>
                <w:sz w:val="16"/>
              </w:rPr>
              <w:t>Baseline B0 y método M1 independientes del real de evaluación</w:t>
            </w:r>
          </w:p>
        </w:tc>
        <w:tc>
          <w:tcPr>
            <w:tcW w:type="dxa" w:w="2523"/>
          </w:tcPr>
          <w:p>
            <w:r>
              <w:rPr>
                <w:sz w:val="16"/>
              </w:rPr>
              <w:t>Baseline cero: ND, no dividir ni declarar mejora relativa</w:t>
            </w:r>
          </w:p>
        </w:tc>
      </w:tr>
      <w:tr>
        <w:trPr>
          <w:cantSplit/>
        </w:trPr>
        <w:tc>
          <w:tcPr>
            <w:tcW w:type="dxa" w:w="2523"/>
          </w:tcPr>
          <w:p>
            <w:r>
              <w:rPr>
                <w:sz w:val="16"/>
              </w:rPr>
              <w:t>Cobertura</w:t>
            </w:r>
          </w:p>
        </w:tc>
        <w:tc>
          <w:tcPr>
            <w:tcW w:type="dxa" w:w="2523"/>
          </w:tcPr>
          <w:p>
            <w:r>
              <w:rPr>
                <w:sz w:val="16"/>
              </w:rPr>
              <w:t>100 × partidas con histórico suficiente / partidas previstas, %</w:t>
            </w:r>
          </w:p>
        </w:tc>
        <w:tc>
          <w:tcPr>
            <w:tcW w:type="dxa" w:w="2523"/>
          </w:tcPr>
          <w:p>
            <w:r>
              <w:rPr>
                <w:sz w:val="16"/>
              </w:rPr>
              <w:t>Antes de evaluar; mínimo dos referencias por partida</w:t>
            </w:r>
          </w:p>
        </w:tc>
        <w:tc>
          <w:tcPr>
            <w:tcW w:type="dxa" w:w="2523"/>
          </w:tcPr>
          <w:p>
            <w:r>
              <w:rPr>
                <w:sz w:val="16"/>
              </w:rPr>
              <w:t>Reportar faltantes, nunca elegir solo las partidas favorables</w:t>
            </w:r>
          </w:p>
        </w:tc>
      </w:tr>
      <w:tr>
        <w:trPr>
          <w:cantSplit/>
        </w:trPr>
        <w:tc>
          <w:tcPr>
            <w:tcW w:type="dxa" w:w="2523"/>
          </w:tcPr>
          <w:p>
            <w:r>
              <w:rPr>
                <w:sz w:val="16"/>
              </w:rPr>
              <w:t>Esfuerzo H2</w:t>
            </w:r>
          </w:p>
        </w:tc>
        <w:tc>
          <w:tcPr>
            <w:tcW w:type="dxa" w:w="2523"/>
          </w:tcPr>
          <w:p>
            <w:r>
              <w:rPr>
                <w:sz w:val="16"/>
              </w:rPr>
              <w:t>Suma de horas-persona de preparación, desarrollo, revisión, pruebas y operación</w:t>
            </w:r>
          </w:p>
        </w:tc>
        <w:tc>
          <w:tcPr>
            <w:tcW w:type="dxa" w:w="2523"/>
          </w:tcPr>
          <w:p>
            <w:r>
              <w:rPr>
                <w:sz w:val="16"/>
              </w:rPr>
              <w:t>Registro por tarea/persona, sin inferir autoría histórica</w:t>
            </w:r>
          </w:p>
        </w:tc>
        <w:tc>
          <w:tcPr>
            <w:tcW w:type="dxa" w:w="2523"/>
          </w:tcPr>
          <w:p>
            <w:r>
              <w:rPr>
                <w:sz w:val="16"/>
              </w:rPr>
              <w:t>Evita confundir cuatro semanas calendario con esfuerzo disponible</w:t>
            </w:r>
          </w:p>
        </w:tc>
      </w:tr>
      <w:tr>
        <w:trPr>
          <w:cantSplit/>
        </w:trPr>
        <w:tc>
          <w:tcPr>
            <w:tcW w:type="dxa" w:w="2523"/>
          </w:tcPr>
          <w:p>
            <w:r>
              <w:rPr>
                <w:sz w:val="16"/>
              </w:rPr>
              <w:t>Uso útil H3</w:t>
            </w:r>
          </w:p>
        </w:tc>
        <w:tc>
          <w:tcPr>
            <w:tcW w:type="dxa" w:w="2523"/>
          </w:tcPr>
          <w:p>
            <w:r>
              <w:rPr>
                <w:sz w:val="16"/>
              </w:rPr>
              <w:t>100 × usuarios habilitados que completan tarea definida / usuarios habilitados al inicio de semana, %</w:t>
            </w:r>
          </w:p>
        </w:tc>
        <w:tc>
          <w:tcPr>
            <w:tcW w:type="dxa" w:w="2523"/>
          </w:tcPr>
          <w:p>
            <w:r>
              <w:rPr>
                <w:sz w:val="16"/>
              </w:rPr>
              <w:t>Tarea: consultar comparación, interpretar y registrar una revisión; no solo login</w:t>
            </w:r>
          </w:p>
        </w:tc>
        <w:tc>
          <w:tcPr>
            <w:tcW w:type="dxa" w:w="2523"/>
          </w:tcPr>
          <w:p>
            <w:r>
              <w:rPr>
                <w:sz w:val="16"/>
              </w:rPr>
              <w:t>Denominador congelado por semana; bajas/retiros explicados; cero habilitados = ND</w:t>
            </w:r>
          </w:p>
        </w:tc>
      </w:tr>
      <w:tr>
        <w:trPr>
          <w:cantSplit/>
        </w:trPr>
        <w:tc>
          <w:tcPr>
            <w:tcW w:type="dxa" w:w="2523"/>
          </w:tcPr>
          <w:p>
            <w:r>
              <w:rPr>
                <w:sz w:val="16"/>
              </w:rPr>
              <w:t>Tiempo H3</w:t>
            </w:r>
          </w:p>
        </w:tc>
        <w:tc>
          <w:tcPr>
            <w:tcW w:type="dxa" w:w="2523"/>
          </w:tcPr>
          <w:p>
            <w:r>
              <w:rPr>
                <w:sz w:val="16"/>
              </w:rPr>
              <w:t>100 × mediana((t_antes − t_después) / t_antes), %</w:t>
            </w:r>
          </w:p>
        </w:tc>
        <w:tc>
          <w:tcPr>
            <w:tcW w:type="dxa" w:w="2523"/>
          </w:tcPr>
          <w:p>
            <w:r>
              <w:rPr>
                <w:sz w:val="16"/>
              </w:rPr>
              <w:t>Misma tarea/unidad de alcance, orden contrabalanceado, preparación/revisión/retrabajo incluidos</w:t>
            </w:r>
          </w:p>
        </w:tc>
        <w:tc>
          <w:tcPr>
            <w:tcW w:type="dxa" w:w="2523"/>
          </w:tcPr>
          <w:p>
            <w:r>
              <w:rPr>
                <w:sz w:val="16"/>
              </w:rPr>
              <w:t>t_antes &gt;0; mantener fallos y abandonos; sin línea base no hay porcentaje</w:t>
            </w:r>
          </w:p>
        </w:tc>
      </w:tr>
    </w:tbl>
    <w:p/>
    <w:p>
      <w:r>
        <w:rPr>
          <w:b w:val="0"/>
        </w:rPr>
        <w:t xml:space="preserve">Los porcentajes internos originales se conservan para continuidad, pero su fundamentación se formula </w:t>
      </w:r>
      <w:r>
        <w:rPr>
          <w:b/>
        </w:rPr>
        <w:t>retrospectivamente el 25/10/2026</w:t>
      </w:r>
      <w:r>
        <w:rPr>
          <w:b w:val="0"/>
        </w:rPr>
        <w:t>. No es preregistro del experimento de 2026-10-02 ni se afirma que se derivaron antes de ver sus resultados. Las fuentes respaldan métodos, no esos números. No se usa AACE para justificar MAPE ni cifras sectoriales no verificadas.</w:t>
      </w:r>
    </w:p>
    <w:tbl>
      <w:tblPr>
        <w:tblStyle w:val="LightShading-Accent1"/>
        <w:tblW w:type="auto" w:w="0"/>
        <w:tblLook w:firstColumn="1" w:firstRow="1" w:lastColumn="0" w:lastRow="0" w:noHBand="0" w:noVBand="1" w:val="04A0"/>
      </w:tblPr>
      <w:tblGrid>
        <w:gridCol w:w="3364"/>
        <w:gridCol w:w="3364"/>
        <w:gridCol w:w="3364"/>
      </w:tblGrid>
      <w:tr>
        <w:trPr>
          <w:tblHeader/>
          <w:cantSplit/>
        </w:trPr>
        <w:tc>
          <w:tcPr>
            <w:tcW w:type="dxa" w:w="3364"/>
          </w:tcPr>
          <w:p>
            <w:r>
              <w:rPr>
                <w:sz w:val="16"/>
              </w:rPr>
              <w:t>Umbral interno</w:t>
            </w:r>
          </w:p>
        </w:tc>
        <w:tc>
          <w:tcPr>
            <w:tcW w:type="dxa" w:w="3364"/>
          </w:tcPr>
          <w:p>
            <w:r>
              <w:rPr>
                <w:sz w:val="16"/>
              </w:rPr>
              <w:t>Razonamiento reproducible del escenario</w:t>
            </w:r>
          </w:p>
        </w:tc>
        <w:tc>
          <w:tcPr>
            <w:tcW w:type="dxa" w:w="3364"/>
          </w:tcPr>
          <w:p>
            <w:r>
              <w:rPr>
                <w:sz w:val="16"/>
              </w:rPr>
              <w:t>Límite / revisión</w:t>
            </w:r>
          </w:p>
        </w:tc>
      </w:tr>
      <w:tr>
        <w:trPr>
          <w:cantSplit/>
        </w:trPr>
        <w:tc>
          <w:tcPr>
            <w:tcW w:type="dxa" w:w="3364"/>
          </w:tcPr>
          <w:p>
            <w:r>
              <w:rPr>
                <w:sz w:val="16"/>
              </w:rPr>
              <w:t>MAPE 15 %</w:t>
            </w:r>
          </w:p>
        </w:tc>
        <w:tc>
          <w:tcPr>
            <w:tcW w:type="dxa" w:w="3364"/>
          </w:tcPr>
          <w:p>
            <w:r>
              <w:rPr>
                <w:sz w:val="16"/>
              </w:rPr>
              <w:t>Presupuesto didáctico de error relativo: 5 puntos por heterogeneidad de obra + 5 por calidad/unidades + 5 por simplificación del estimador =15; sumar es una asignación conservadora de tolerancia, no descomposición estadística</w:t>
            </w:r>
          </w:p>
        </w:tc>
        <w:tc>
          <w:tcPr>
            <w:tcW w:type="dxa" w:w="3364"/>
          </w:tcPr>
          <w:p>
            <w:r>
              <w:rPr>
                <w:sz w:val="16"/>
              </w:rPr>
              <w:t>Componentes asumidos, no medidos; ensayar tolerancias 10/15/20 % y no cambiar la principal después de evaluar</w:t>
            </w:r>
          </w:p>
        </w:tc>
      </w:tr>
      <w:tr>
        <w:trPr>
          <w:cantSplit/>
        </w:trPr>
        <w:tc>
          <w:tcPr>
            <w:tcW w:type="dxa" w:w="3364"/>
          </w:tcPr>
          <w:p>
            <w:r>
              <w:rPr>
                <w:sz w:val="16"/>
              </w:rPr>
              <w:t>Reducción 30 %</w:t>
            </w:r>
          </w:p>
        </w:tc>
        <w:tc>
          <w:tcPr>
            <w:tcW w:type="dxa" w:w="3364"/>
          </w:tcPr>
          <w:p>
            <w:r>
              <w:rPr>
                <w:sz w:val="16"/>
              </w:rPr>
              <w:t>Exigir conservar como máximo 70 % del error del comparador para justificar complejidad adicional; si B0 tuviera 20 %, meta comparativa 14 %, además de límite 15 %</w:t>
            </w:r>
          </w:p>
        </w:tc>
        <w:tc>
          <w:tcPr>
            <w:tcW w:type="dxa" w:w="3364"/>
          </w:tcPr>
          <w:p>
            <w:r>
              <w:rPr>
                <w:sz w:val="16"/>
              </w:rPr>
              <w:t>Ejemplo algebraico, no resultado ni benchmark; comparar sensibilidad 20/30/40 %</w:t>
            </w:r>
          </w:p>
        </w:tc>
      </w:tr>
      <w:tr>
        <w:trPr>
          <w:cantSplit/>
        </w:trPr>
        <w:tc>
          <w:tcPr>
            <w:tcW w:type="dxa" w:w="3364"/>
          </w:tcPr>
          <w:p>
            <w:r>
              <w:rPr>
                <w:sz w:val="16"/>
              </w:rPr>
              <w:t>Abandono &gt;30 % MAPE</w:t>
            </w:r>
          </w:p>
        </w:tc>
        <w:tc>
          <w:tcPr>
            <w:tcW w:type="dxa" w:w="3364"/>
          </w:tcPr>
          <w:p>
            <w:r>
              <w:rPr>
                <w:sz w:val="16"/>
              </w:rPr>
              <w:t>Duplicar tolerancia principal 2 ×15=30: no ampliar una variante cuyo error medio exceda ese margen</w:t>
            </w:r>
          </w:p>
        </w:tc>
        <w:tc>
          <w:tcPr>
            <w:tcW w:type="dxa" w:w="3364"/>
          </w:tcPr>
          <w:p>
            <w:r>
              <w:rPr>
                <w:sz w:val="16"/>
              </w:rPr>
              <w:t>No abandona todo BI ni borra resultado adverso; revisar en validación humana</w:t>
            </w:r>
          </w:p>
        </w:tc>
      </w:tr>
      <w:tr>
        <w:trPr>
          <w:cantSplit/>
        </w:trPr>
        <w:tc>
          <w:tcPr>
            <w:tcW w:type="dxa" w:w="3364"/>
          </w:tcPr>
          <w:p>
            <w:r>
              <w:rPr>
                <w:sz w:val="16"/>
              </w:rPr>
              <w:t>H2 ≤160 h-persona</w:t>
            </w:r>
          </w:p>
        </w:tc>
        <w:tc>
          <w:tcPr>
            <w:tcW w:type="dxa" w:w="3364"/>
          </w:tcPr>
          <w:p>
            <w:r>
              <w:rPr>
                <w:sz w:val="16"/>
              </w:rPr>
              <w:t>Presupuesto académico propuesto de cuatro unidades de 40 h-persona: preparación, pipeline/modelo, tablero/permisos y pruebas/revisión</w:t>
            </w:r>
          </w:p>
        </w:tc>
        <w:tc>
          <w:tcPr>
            <w:tcW w:type="dxa" w:w="3364"/>
          </w:tcPr>
          <w:p>
            <w:r>
              <w:rPr>
                <w:sz w:val="16"/>
              </w:rPr>
              <w:t>Equivale a cuatro semanas de referencia de 40 h, no dotación ni plazo empresarial garantizado</w:t>
            </w:r>
          </w:p>
        </w:tc>
      </w:tr>
      <w:tr>
        <w:trPr>
          <w:cantSplit/>
        </w:trPr>
        <w:tc>
          <w:tcPr>
            <w:tcW w:type="dxa" w:w="3364"/>
          </w:tcPr>
          <w:p>
            <w:r>
              <w:rPr>
                <w:sz w:val="16"/>
              </w:rPr>
              <w:t>H3 ≥70 %</w:t>
            </w:r>
          </w:p>
        </w:tc>
        <w:tc>
          <w:tcPr>
            <w:tcW w:type="dxa" w:w="3364"/>
          </w:tcPr>
          <w:p>
            <w:r>
              <w:rPr>
                <w:sz w:val="16"/>
              </w:rPr>
              <w:t>Permitir como máximo 30 % de no uso por curva de aprendizaje sin perder mayoría operativa; exigirlo cada semana evita ocultar abandono final</w:t>
            </w:r>
          </w:p>
        </w:tc>
        <w:tc>
          <w:tcPr>
            <w:tcW w:type="dxa" w:w="3364"/>
          </w:tcPr>
          <w:p>
            <w:r>
              <w:rPr>
                <w:sz w:val="16"/>
              </w:rPr>
              <w:t>Con N habilitados, mínimo techo(0,70×N); no evidencia satisfacción ni escala</w:t>
            </w:r>
          </w:p>
        </w:tc>
      </w:tr>
      <w:tr>
        <w:trPr>
          <w:cantSplit/>
        </w:trPr>
        <w:tc>
          <w:tcPr>
            <w:tcW w:type="dxa" w:w="3364"/>
          </w:tcPr>
          <w:p>
            <w:r>
              <w:rPr>
                <w:sz w:val="16"/>
              </w:rPr>
              <w:t>H3 ≥80 % menos tiempo</w:t>
            </w:r>
          </w:p>
        </w:tc>
        <w:tc>
          <w:tcPr>
            <w:tcW w:type="dxa" w:w="3364"/>
          </w:tcPr>
          <w:p>
            <w:r>
              <w:rPr>
                <w:sz w:val="16"/>
              </w:rPr>
              <w:t>Objetivo exigente: tiempo completo posterior ≤1/5 del anterior; se plantea para que la reducción compense preparación/revisión que también se contabilizan</w:t>
            </w:r>
          </w:p>
        </w:tc>
        <w:tc>
          <w:tcPr>
            <w:tcW w:type="dxa" w:w="3364"/>
          </w:tcPr>
          <w:p>
            <w:r>
              <w:rPr>
                <w:sz w:val="16"/>
              </w:rPr>
              <w:t>Aspiración a falsar, no ahorro esperado demostrado; si la tarea manual no tiene margen suficiente, se modifica el diseño antes del piloto</w:t>
            </w:r>
          </w:p>
        </w:tc>
      </w:tr>
      <w:tr>
        <w:trPr>
          <w:cantSplit/>
        </w:trPr>
        <w:tc>
          <w:tcPr>
            <w:tcW w:type="dxa" w:w="3364"/>
          </w:tcPr>
          <w:p>
            <w:r>
              <w:rPr>
                <w:sz w:val="16"/>
              </w:rPr>
              <w:t>Cuatro semanas H3</w:t>
            </w:r>
          </w:p>
        </w:tc>
        <w:tc>
          <w:tcPr>
            <w:tcW w:type="dxa" w:w="3364"/>
          </w:tcPr>
          <w:p>
            <w:r>
              <w:rPr>
                <w:sz w:val="16"/>
              </w:rPr>
              <w:t>Cuatro ciclos semanales de uso y feedback; observar cada ciclo, no solo día favorable</w:t>
            </w:r>
          </w:p>
        </w:tc>
        <w:tc>
          <w:tcPr>
            <w:tcW w:type="dxa" w:w="3364"/>
          </w:tcPr>
          <w:p>
            <w:r>
              <w:rPr>
                <w:sz w:val="16"/>
              </w:rPr>
              <w:t>No demuestra adopción sostenida; muestra humana/conveniencia y efecto aprendizaje se informan</w:t>
            </w:r>
          </w:p>
        </w:tc>
      </w:tr>
    </w:tbl>
    <w:p/>
    <w:p>
      <w:r>
        <w:rPr>
          <w:b w:val="0"/>
        </w:rPr>
        <w:t>El supuesto histórico de hasta 15 días de consolidación no es un dato ni una base válida para calcular ahorro. El tiempo futuro debe cronometrarse. La decisión continuar/modificar/detener usa las reglas de §5.1 con prioridad de seguridad y validez del dato sobre desempeño.</w:t>
      </w:r>
    </w:p>
    <w:p>
      <w:pPr>
        <w:pStyle w:val="Heading3"/>
      </w:pPr>
      <w:r>
        <w:t>5.3 Diseño corregido, sin resultados nuevos</w:t>
      </w:r>
    </w:p>
    <w:p>
      <w:r>
        <w:rPr>
          <w:b w:val="0"/>
        </w:rPr>
        <w:t xml:space="preserve">Protocolo completo: </w:t>
      </w:r>
      <w:r>
        <w:rPr>
          <w:b w:val="0"/>
        </w:rPr>
        <w:t>poc/POC-01-estimacion-historicos/revision-v1.2/DISENO_EXPERIMENTAL.md</w:t>
      </w:r>
      <w:r>
        <w:rPr>
          <w:b w:val="0"/>
        </w:rPr>
        <w:t>. B0 = cantidad presupuestada × mediana de costos unitarios históricos por partida; M1 = cantidad × suma(costos históricos)/suma(metrados históricos). Ambos usan los mismos históricos y unidades. La mediana es una regla sencilla robusta a extremos, no un presupuesto humano observado (Python Software Foundation, s. f.). No hay garantía de que M1 supere a B0.</w:t>
      </w:r>
    </w:p>
    <w:p>
      <w:r>
        <w:rPr>
          <w:b w:val="0"/>
        </w:rPr>
        <w:t xml:space="preserve">Predicción solo recibe registros de obras cerradas OB-C01–OB-C06 (2021–2026), cantidades presupuestadas de OB-N01 (2027 en el conjunto sintético) y unidades; no recibe </w:t>
      </w:r>
      <w:r>
        <w:rPr>
          <w:b w:val="0"/>
        </w:rPr>
        <w:t>obra_nueva_real.csv</w:t>
      </w:r>
      <w:r>
        <w:rPr>
          <w:b w:val="0"/>
        </w:rPr>
        <w:t>, catálogo generador de costos ni datos de ejecución de OB-N01. Evaluar después con la verdad separada. La separación previene información futura (Scikit-learn developers, s. f.-a). El conjunto conocido es retrospectivo/exploratorio; un archivo separado no convierte estos datos ya inspeccionados en prueba ciega nueva.</w:t>
      </w:r>
    </w:p>
    <w:p>
      <w:r>
        <w:rPr>
          <w:b w:val="0"/>
        </w:rPr>
        <w:t>Sensibilidad predefinida: retirar cada obra histórica sucesivamente; usar últimos 2/4/6 años disponibles; contaminar una tarifa histórica +30 % en una copia; cambiar cantidades ×0,5/×2; validar casos sin histórico o costos cero. Reportar todos los escenarios, cobertura, MAPE de ambos, reducción y decisión; no seleccionar la mejor semilla. Los escenarios pendientes no generan métricas inventadas.</w:t>
      </w:r>
    </w:p>
    <w:p>
      <w:r>
        <w:rPr>
          <w:b w:val="0"/>
        </w:rPr>
      </w:r>
      <w:r>
        <w:rPr>
          <w:b/>
        </w:rPr>
        <w:t>Estado v1.2: diseño documentado, no ejecutado.</w:t>
      </w:r>
      <w:r>
        <w:rPr>
          <w:b w:val="0"/>
        </w:rPr>
        <w:t xml:space="preserve"> Se verificará documentalmente la separación y las fórmulas; no se ejecutan los generadores/verificadores antiguos porque sobrescriben CSV/resultados. El diseño cumple la exigencia S4 sin convertir ejecución adicional en requisito.</w:t>
      </w:r>
    </w:p>
    <w:p>
      <w:pPr>
        <w:pStyle w:val="Heading3"/>
      </w:pPr>
      <w:r>
        <w:t>5.4 Resultado histórico preservado, no transferible</w:t>
      </w:r>
    </w:p>
    <w:tbl>
      <w:tblPr>
        <w:tblStyle w:val="LightShading-Accent1"/>
        <w:tblW w:type="auto" w:w="0"/>
        <w:tblLook w:firstColumn="1" w:firstRow="1" w:lastColumn="0" w:lastRow="0" w:noHBand="0" w:noVBand="1" w:val="04A0"/>
      </w:tblPr>
      <w:tblGrid>
        <w:gridCol w:w="3364"/>
        <w:gridCol w:w="3364"/>
        <w:gridCol w:w="3364"/>
      </w:tblGrid>
      <w:tr>
        <w:trPr>
          <w:tblHeader/>
          <w:cantSplit/>
        </w:trPr>
        <w:tc>
          <w:tcPr>
            <w:tcW w:type="dxa" w:w="3364"/>
          </w:tcPr>
          <w:p>
            <w:r>
              <w:rPr>
                <w:sz w:val="16"/>
              </w:rPr>
              <w:t>Métrica histórica v1.1</w:t>
            </w:r>
          </w:p>
        </w:tc>
        <w:tc>
          <w:tcPr>
            <w:tcW w:type="dxa" w:w="3364"/>
          </w:tcPr>
          <w:p>
            <w:r>
              <w:rPr>
                <w:sz w:val="16"/>
              </w:rPr>
              <w:t>Valor preservado</w:t>
            </w:r>
          </w:p>
        </w:tc>
        <w:tc>
          <w:tcPr>
            <w:tcW w:type="dxa" w:w="3364"/>
          </w:tcPr>
          <w:p>
            <w:r>
              <w:rPr>
                <w:sz w:val="16"/>
              </w:rPr>
              <w:t>Interpretación permitida</w:t>
            </w:r>
          </w:p>
        </w:tc>
      </w:tr>
      <w:tr>
        <w:trPr>
          <w:cantSplit/>
        </w:trPr>
        <w:tc>
          <w:tcPr>
            <w:tcW w:type="dxa" w:w="3364"/>
          </w:tcPr>
          <w:p>
            <w:r>
              <w:rPr>
                <w:sz w:val="16"/>
              </w:rPr>
              <w:t>MAPE control con ruido</w:t>
            </w:r>
          </w:p>
        </w:tc>
        <w:tc>
          <w:tcPr>
            <w:tcW w:type="dxa" w:w="3364"/>
          </w:tcPr>
          <w:p>
            <w:r>
              <w:rPr>
                <w:sz w:val="16"/>
              </w:rPr>
              <w:t>20,19 %</w:t>
            </w:r>
          </w:p>
        </w:tc>
        <w:tc>
          <w:tcPr>
            <w:tcW w:type="dxa" w:w="3364"/>
          </w:tcPr>
          <w:p>
            <w:r>
              <w:rPr>
                <w:sz w:val="16"/>
              </w:rPr>
              <w:t>Comparador artificial dependiente del real conocido</w:t>
            </w:r>
          </w:p>
        </w:tc>
      </w:tr>
      <w:tr>
        <w:trPr>
          <w:cantSplit/>
        </w:trPr>
        <w:tc>
          <w:tcPr>
            <w:tcW w:type="dxa" w:w="3364"/>
          </w:tcPr>
          <w:p>
            <w:r>
              <w:rPr>
                <w:sz w:val="16"/>
              </w:rPr>
              <w:t>MAPE método analítico</w:t>
            </w:r>
          </w:p>
        </w:tc>
        <w:tc>
          <w:tcPr>
            <w:tcW w:type="dxa" w:w="3364"/>
          </w:tcPr>
          <w:p>
            <w:r>
              <w:rPr>
                <w:sz w:val="16"/>
              </w:rPr>
              <w:t>11,31 %</w:t>
            </w:r>
          </w:p>
        </w:tc>
        <w:tc>
          <w:tcPr>
            <w:tcW w:type="dxa" w:w="3364"/>
          </w:tcPr>
          <w:p>
            <w:r>
              <w:rPr>
                <w:sz w:val="16"/>
              </w:rPr>
              <w:t>Solo seis partidas del escenario sintético fijo</w:t>
            </w:r>
          </w:p>
        </w:tc>
      </w:tr>
      <w:tr>
        <w:trPr>
          <w:cantSplit/>
        </w:trPr>
        <w:tc>
          <w:tcPr>
            <w:tcW w:type="dxa" w:w="3364"/>
          </w:tcPr>
          <w:p>
            <w:r>
              <w:rPr>
                <w:sz w:val="16"/>
              </w:rPr>
              <w:t>Reducción relativa</w:t>
            </w:r>
          </w:p>
        </w:tc>
        <w:tc>
          <w:tcPr>
            <w:tcW w:type="dxa" w:w="3364"/>
          </w:tcPr>
          <w:p>
            <w:r>
              <w:rPr>
                <w:sz w:val="16"/>
              </w:rPr>
              <w:t>43,98 %</w:t>
            </w:r>
          </w:p>
        </w:tc>
        <w:tc>
          <w:tcPr>
            <w:tcW w:type="dxa" w:w="3364"/>
          </w:tcPr>
          <w:p>
            <w:r>
              <w:rPr>
                <w:sz w:val="16"/>
              </w:rPr>
              <w:t>No comparable con B0 mediana sin nueva ejecución</w:t>
            </w:r>
          </w:p>
        </w:tc>
      </w:tr>
      <w:tr>
        <w:trPr>
          <w:cantSplit/>
        </w:trPr>
        <w:tc>
          <w:tcPr>
            <w:tcW w:type="dxa" w:w="3364"/>
          </w:tcPr>
          <w:p>
            <w:r>
              <w:rPr>
                <w:sz w:val="16"/>
              </w:rPr>
              <w:t>CIM-01 / INS-02</w:t>
            </w:r>
          </w:p>
        </w:tc>
        <w:tc>
          <w:tcPr>
            <w:tcW w:type="dxa" w:w="3364"/>
          </w:tcPr>
          <w:p>
            <w:r>
              <w:rPr>
                <w:sz w:val="16"/>
              </w:rPr>
              <w:t>15,87 % / 15,10 %</w:t>
            </w:r>
          </w:p>
        </w:tc>
        <w:tc>
          <w:tcPr>
            <w:tcW w:type="dxa" w:w="3364"/>
          </w:tcPr>
          <w:p>
            <w:r>
              <w:rPr>
                <w:sz w:val="16"/>
              </w:rPr>
              <w:t>Superan individualmente 15 %, pese al promedio menor</w:t>
            </w:r>
          </w:p>
        </w:tc>
      </w:tr>
    </w:tbl>
    <w:p/>
    <w:p>
      <w:r>
        <w:rPr>
          <w:b w:val="0"/>
        </w:rPr>
        <w:t xml:space="preserve">Estos resultados proceden de v1.1 y la auditoría original, no de una ejecución nueva. Se conserva el CSV </w:t>
      </w:r>
      <w:r>
        <w:rPr>
          <w:b w:val="0"/>
        </w:rPr>
        <w:t>poc/POC-01-estimacion-historicos/resultados/resultados.csv</w:t>
      </w:r>
      <w:r>
        <w:rPr>
          <w:b w:val="0"/>
        </w:rPr>
        <w:t xml:space="preserve"> y su evidencia. No hay significancia, generalización, ahorro, adopción, tablero ni validación de HH/unidad demostrados. El Canvas BI de §2.3 conecta valor con H1, arquitectura con H2 y personas con H3.</w:t>
      </w:r>
    </w:p>
    <w:p>
      <w:pPr>
        <w:pStyle w:val="Heading2"/>
      </w:pPr>
      <w:r>
        <w:t>6. Semana 5: AS-IS conceptual con infraestructura y fronteras</w:t>
      </w:r>
    </w:p>
    <w:p>
      <w:pPr>
        <w:pStyle w:val="Heading3"/>
      </w:pPr>
      <w:r>
        <w:t>6.1 Topología mínima explícitamente supuesta</w:t>
      </w:r>
    </w:p>
    <w:p>
      <w:r>
        <w:drawing>
          <wp:inline xmlns:a="http://schemas.openxmlformats.org/drawingml/2006/main" xmlns:pic="http://schemas.openxmlformats.org/drawingml/2006/picture">
            <wp:extent cx="6372000" cy="4551429"/>
            <wp:docPr id="1" name="Picture 1"/>
            <wp:cNvGraphicFramePr>
              <a:graphicFrameLocks noChangeAspect="1"/>
            </wp:cNvGraphicFramePr>
            <a:graphic>
              <a:graphicData uri="http://schemas.openxmlformats.org/drawingml/2006/picture">
                <pic:pic>
                  <pic:nvPicPr>
                    <pic:cNvPr id="0" name="figura-01-arquitectura-as-is.png"/>
                    <pic:cNvPicPr/>
                  </pic:nvPicPr>
                  <pic:blipFill>
                    <a:blip r:embed="rId9"/>
                    <a:stretch>
                      <a:fillRect/>
                    </a:stretch>
                  </pic:blipFill>
                  <pic:spPr>
                    <a:xfrm>
                      <a:off x="0" y="0"/>
                      <a:ext cx="6372000" cy="4551429"/>
                    </a:xfrm>
                    <a:prstGeom prst="rect"/>
                  </pic:spPr>
                </pic:pic>
              </a:graphicData>
            </a:graphic>
          </wp:inline>
        </w:drawing>
      </w:r>
    </w:p>
    <w:p>
      <w:pPr>
        <w:pStyle w:val="Caption"/>
      </w:pPr>
      <w:r>
        <w:t>Figura 1. AS-IS v1.2: aplicaciones, infraestructura lógica y fronteras. Elaboración propia, Grupo 1, S5, 25/10/2026.</w:t>
      </w:r>
    </w:p>
    <w:tbl>
      <w:tblPr>
        <w:tblStyle w:val="LightShading-Accent1"/>
        <w:tblW w:type="auto" w:w="0"/>
        <w:tblLook w:firstColumn="1" w:firstRow="1" w:lastColumn="0" w:lastRow="0" w:noHBand="0" w:noVBand="1" w:val="04A0"/>
      </w:tblPr>
      <w:tblGrid>
        <w:gridCol w:w="2523"/>
        <w:gridCol w:w="2523"/>
        <w:gridCol w:w="2523"/>
        <w:gridCol w:w="2523"/>
      </w:tblGrid>
      <w:tr>
        <w:trPr>
          <w:tblHeader/>
          <w:cantSplit/>
        </w:trPr>
        <w:tc>
          <w:tcPr>
            <w:tcW w:type="dxa" w:w="2523"/>
          </w:tcPr>
          <w:p>
            <w:r>
              <w:rPr>
                <w:sz w:val="16"/>
              </w:rPr>
              <w:t>Elemento</w:t>
            </w:r>
          </w:p>
        </w:tc>
        <w:tc>
          <w:tcPr>
            <w:tcW w:type="dxa" w:w="2523"/>
          </w:tcPr>
          <w:p>
            <w:r>
              <w:rPr>
                <w:sz w:val="16"/>
              </w:rPr>
              <w:t>Clasificación y supuesto</w:t>
            </w:r>
          </w:p>
        </w:tc>
        <w:tc>
          <w:tcPr>
            <w:tcW w:type="dxa" w:w="2523"/>
          </w:tcPr>
          <w:p>
            <w:r>
              <w:rPr>
                <w:sz w:val="16"/>
              </w:rPr>
              <w:t>Responsabilidad / acceso</w:t>
            </w:r>
          </w:p>
        </w:tc>
        <w:tc>
          <w:tcPr>
            <w:tcW w:type="dxa" w:w="2523"/>
          </w:tcPr>
          <w:p>
            <w:r>
              <w:rPr>
                <w:sz w:val="16"/>
              </w:rPr>
              <w:t>Límite de conocimiento</w:t>
            </w:r>
          </w:p>
        </w:tc>
      </w:tr>
      <w:tr>
        <w:trPr>
          <w:cantSplit/>
        </w:trPr>
        <w:tc>
          <w:tcPr>
            <w:tcW w:type="dxa" w:w="2523"/>
          </w:tcPr>
          <w:p>
            <w:r>
              <w:rPr>
                <w:sz w:val="16"/>
              </w:rPr>
              <w:t>ERP propio CodeIgniter / MySQL</w:t>
            </w:r>
          </w:p>
        </w:tc>
        <w:tc>
          <w:tcPr>
            <w:tcW w:type="dxa" w:w="2523"/>
          </w:tcPr>
          <w:p>
            <w:r>
              <w:rPr>
                <w:sz w:val="16"/>
              </w:rPr>
              <w:t>Aclaración del equipo, S-14</w:t>
            </w:r>
          </w:p>
        </w:tc>
        <w:tc>
          <w:tcPr>
            <w:tcW w:type="dxa" w:w="2523"/>
          </w:tcPr>
          <w:p>
            <w:r>
              <w:rPr>
                <w:sz w:val="16"/>
              </w:rPr>
              <w:t>Registro operacional</w:t>
            </w:r>
          </w:p>
        </w:tc>
        <w:tc>
          <w:tcPr>
            <w:tcW w:type="dxa" w:w="2523"/>
          </w:tcPr>
          <w:p>
            <w:r>
              <w:rPr>
                <w:sz w:val="16"/>
              </w:rPr>
              <w:t>Versiones, código y esquema no inspeccionados</w:t>
            </w:r>
          </w:p>
        </w:tc>
      </w:tr>
      <w:tr>
        <w:trPr>
          <w:cantSplit/>
        </w:trPr>
        <w:tc>
          <w:tcPr>
            <w:tcW w:type="dxa" w:w="2523"/>
          </w:tcPr>
          <w:p>
            <w:r>
              <w:rPr>
                <w:sz w:val="16"/>
              </w:rPr>
              <w:t>N1: puesto/navegador de usuario</w:t>
            </w:r>
          </w:p>
        </w:tc>
        <w:tc>
          <w:tcPr>
            <w:tcW w:type="dxa" w:w="2523"/>
          </w:tcPr>
          <w:p>
            <w:r>
              <w:rPr>
                <w:sz w:val="16"/>
              </w:rPr>
              <w:t>Supuesto S-22</w:t>
            </w:r>
          </w:p>
        </w:tc>
        <w:tc>
          <w:tcPr>
            <w:tcW w:type="dxa" w:w="2523"/>
          </w:tcPr>
          <w:p>
            <w:r>
              <w:rPr>
                <w:sz w:val="16"/>
              </w:rPr>
              <w:t>Gerencia, Costos, Obra y Compras acceden por interfaz</w:t>
            </w:r>
          </w:p>
        </w:tc>
        <w:tc>
          <w:tcPr>
            <w:tcW w:type="dxa" w:w="2523"/>
          </w:tcPr>
          <w:p>
            <w:r>
              <w:rPr>
                <w:sz w:val="16"/>
              </w:rPr>
              <w:t>No confirma equipos, sedes, red ni producto</w:t>
            </w:r>
          </w:p>
        </w:tc>
      </w:tr>
      <w:tr>
        <w:trPr>
          <w:cantSplit/>
        </w:trPr>
        <w:tc>
          <w:tcPr>
            <w:tcW w:type="dxa" w:w="2523"/>
          </w:tcPr>
          <w:p>
            <w:r>
              <w:rPr>
                <w:sz w:val="16"/>
              </w:rPr>
              <w:t>N2: entorno lógico aplicación/PHP</w:t>
            </w:r>
          </w:p>
        </w:tc>
        <w:tc>
          <w:tcPr>
            <w:tcW w:type="dxa" w:w="2523"/>
          </w:tcPr>
          <w:p>
            <w:r>
              <w:rPr>
                <w:sz w:val="16"/>
              </w:rPr>
              <w:t>Supuesto S-22; stack aclarado</w:t>
            </w:r>
          </w:p>
        </w:tc>
        <w:tc>
          <w:tcPr>
            <w:tcW w:type="dxa" w:w="2523"/>
          </w:tcPr>
          <w:p>
            <w:r>
              <w:rPr>
                <w:sz w:val="16"/>
              </w:rPr>
              <w:t>CodeIgniter y módulos conceptuales de obra, partidas, actividades, tareo, metrados, costos/presupuesto</w:t>
            </w:r>
          </w:p>
        </w:tc>
        <w:tc>
          <w:tcPr>
            <w:tcW w:type="dxa" w:w="2523"/>
          </w:tcPr>
          <w:p>
            <w:r>
              <w:rPr>
                <w:sz w:val="16"/>
              </w:rPr>
              <w:t>No equivale a servidor físico, SO ni hosting conocido</w:t>
            </w:r>
          </w:p>
        </w:tc>
      </w:tr>
      <w:tr>
        <w:trPr>
          <w:cantSplit/>
        </w:trPr>
        <w:tc>
          <w:tcPr>
            <w:tcW w:type="dxa" w:w="2523"/>
          </w:tcPr>
          <w:p>
            <w:r>
              <w:rPr>
                <w:sz w:val="16"/>
              </w:rPr>
              <w:t>N3: almacenamiento lógico MySQL</w:t>
            </w:r>
          </w:p>
        </w:tc>
        <w:tc>
          <w:tcPr>
            <w:tcW w:type="dxa" w:w="2523"/>
          </w:tcPr>
          <w:p>
            <w:r>
              <w:rPr>
                <w:sz w:val="16"/>
              </w:rPr>
              <w:t>Stack aclarado; separación lógica S-22</w:t>
            </w:r>
          </w:p>
        </w:tc>
        <w:tc>
          <w:tcPr>
            <w:tcW w:type="dxa" w:w="2523"/>
          </w:tcPr>
          <w:p>
            <w:r>
              <w:rPr>
                <w:sz w:val="16"/>
              </w:rPr>
              <w:t>Persistencia operacional e histórica; acceso por aplicación supuesto</w:t>
            </w:r>
          </w:p>
        </w:tc>
        <w:tc>
          <w:tcPr>
            <w:tcW w:type="dxa" w:w="2523"/>
          </w:tcPr>
          <w:p>
            <w:r>
              <w:rPr>
                <w:sz w:val="16"/>
              </w:rPr>
              <w:t>N2/N3 podrían compartir host; no afirmar dos servidores</w:t>
            </w:r>
          </w:p>
        </w:tc>
      </w:tr>
      <w:tr>
        <w:trPr>
          <w:cantSplit/>
        </w:trPr>
        <w:tc>
          <w:tcPr>
            <w:tcW w:type="dxa" w:w="2523"/>
          </w:tcPr>
          <w:p>
            <w:r>
              <w:rPr>
                <w:sz w:val="16"/>
              </w:rPr>
              <w:t>N4: área de exportación/planilla</w:t>
            </w:r>
          </w:p>
        </w:tc>
        <w:tc>
          <w:tcPr>
            <w:tcW w:type="dxa" w:w="2523"/>
          </w:tcPr>
          <w:p>
            <w:r>
              <w:rPr>
                <w:sz w:val="16"/>
              </w:rPr>
              <w:t>Supuesto S-23</w:t>
            </w:r>
          </w:p>
        </w:tc>
        <w:tc>
          <w:tcPr>
            <w:tcW w:type="dxa" w:w="2523"/>
          </w:tcPr>
          <w:p>
            <w:r>
              <w:rPr>
                <w:sz w:val="16"/>
              </w:rPr>
              <w:t>Costos consolida exportaciones del caso</w:t>
            </w:r>
          </w:p>
        </w:tc>
        <w:tc>
          <w:tcPr>
            <w:tcW w:type="dxa" w:w="2523"/>
          </w:tcPr>
          <w:p>
            <w:r>
              <w:rPr>
                <w:sz w:val="16"/>
              </w:rPr>
              <w:t>No confirma Microsoft 365 ni formatos productivos</w:t>
            </w:r>
          </w:p>
        </w:tc>
      </w:tr>
      <w:tr>
        <w:trPr>
          <w:cantSplit/>
        </w:trPr>
        <w:tc>
          <w:tcPr>
            <w:tcW w:type="dxa" w:w="2523"/>
          </w:tcPr>
          <w:p>
            <w:r>
              <w:rPr>
                <w:sz w:val="16"/>
              </w:rPr>
              <w:t>Terceros: clientes/proveedores/banca/OSE</w:t>
            </w:r>
          </w:p>
        </w:tc>
        <w:tc>
          <w:tcPr>
            <w:tcW w:type="dxa" w:w="2523"/>
          </w:tcPr>
          <w:p>
            <w:r>
              <w:rPr>
                <w:sz w:val="16"/>
              </w:rPr>
              <w:t>Actores/contexto, integraciones reales ND</w:t>
            </w:r>
          </w:p>
        </w:tc>
        <w:tc>
          <w:tcPr>
            <w:tcW w:type="dxa" w:w="2523"/>
          </w:tcPr>
          <w:p>
            <w:r>
              <w:rPr>
                <w:sz w:val="16"/>
              </w:rPr>
              <w:t>Intercambio documental/comercial del escenario</w:t>
            </w:r>
          </w:p>
        </w:tc>
        <w:tc>
          <w:tcPr>
            <w:tcW w:type="dxa" w:w="2523"/>
          </w:tcPr>
          <w:p>
            <w:r>
              <w:rPr>
                <w:sz w:val="16"/>
              </w:rPr>
              <w:t>Sin contrato API inventado; sin acceso directo supuesto a MySQL</w:t>
            </w:r>
          </w:p>
        </w:tc>
      </w:tr>
    </w:tbl>
    <w:p/>
    <w:p>
      <w:r>
        <w:rPr>
          <w:b w:val="0"/>
        </w:rPr>
        <w:t>Frontera F1 usuario–ERP: sesión/autorización por verificar; HTTPS es control propuesto, no observado. F2 aplicación–datos: cuenta y permisos por inventariar; no acceso directo de clientes. F3 salida de extractos: datos dejan la frontera operacional y pueden perder controles; minimizar, autorizar y registrar exportación como controles propuestos. Los límites lógicos no describen VLAN, IP, cloud o firewall reales.</w:t>
      </w:r>
    </w:p>
    <w:p>
      <w:pPr>
        <w:pStyle w:val="Heading3"/>
      </w:pPr>
      <w:r>
        <w:t>6.2 Datos, granularidad e integraciones</w:t>
      </w:r>
    </w:p>
    <w:p>
      <w:r>
        <w:drawing>
          <wp:inline xmlns:a="http://schemas.openxmlformats.org/drawingml/2006/main" xmlns:pic="http://schemas.openxmlformats.org/drawingml/2006/picture">
            <wp:extent cx="6372000" cy="4551429"/>
            <wp:docPr id="2" name="Picture 2"/>
            <wp:cNvGraphicFramePr>
              <a:graphicFrameLocks noChangeAspect="1"/>
            </wp:cNvGraphicFramePr>
            <a:graphic>
              <a:graphicData uri="http://schemas.openxmlformats.org/drawingml/2006/picture">
                <pic:pic>
                  <pic:nvPicPr>
                    <pic:cNvPr id="0" name="figura-02-relaciones-datos.png"/>
                    <pic:cNvPicPr/>
                  </pic:nvPicPr>
                  <pic:blipFill>
                    <a:blip r:embed="rId10"/>
                    <a:stretch>
                      <a:fillRect/>
                    </a:stretch>
                  </pic:blipFill>
                  <pic:spPr>
                    <a:xfrm>
                      <a:off x="0" y="0"/>
                      <a:ext cx="6372000" cy="4551429"/>
                    </a:xfrm>
                    <a:prstGeom prst="rect"/>
                  </pic:spPr>
                </pic:pic>
              </a:graphicData>
            </a:graphic>
          </wp:inline>
        </w:drawing>
      </w:r>
    </w:p>
    <w:p>
      <w:pPr>
        <w:pStyle w:val="Caption"/>
      </w:pPr>
      <w:r>
        <w:t>Figura 2. Relaciones conceptuales de obra, horas, metrados, costos e histórico. Elaboración propia, Grupo 1, S5, v1.2, 25/10/2026.</w:t>
      </w:r>
    </w:p>
    <w:p>
      <w:r>
        <w:rPr>
          <w:b w:val="0"/>
        </w:rPr>
        <w:t xml:space="preserve">Cadena de lectura: </w:t>
      </w:r>
      <w:r>
        <w:rPr>
          <w:b/>
        </w:rPr>
        <w:t>Obra → Partida → Actividad → Tareo / Horas-hombre → Metrados / Rendimientos → Costos → Histórico</w:t>
      </w:r>
      <w:r>
        <w:rPr>
          <w:b w:val="0"/>
        </w:rPr>
        <w:t xml:space="preserve">. Es un modelo conceptual del proceso, </w:t>
      </w:r>
      <w:r>
        <w:rPr>
          <w:b/>
        </w:rPr>
        <w:t>no relaciones físicas exactas ni claves foráneas verificadas</w:t>
      </w:r>
      <w:r>
        <w:rPr>
          <w:b w:val="0"/>
        </w:rPr>
        <w:t>. Tareo y metrado son mediciones paralelas asociadas por obra/partida/actividad/periodo; uno no causa ni genera automáticamente al otro. El rendimiento se deriva de ambas.</w:t>
      </w:r>
    </w:p>
    <w:tbl>
      <w:tblPr>
        <w:tblStyle w:val="LightShading-Accent1"/>
        <w:tblW w:type="auto" w:w="0"/>
        <w:tblLook w:firstColumn="1" w:firstRow="1" w:lastColumn="0" w:lastRow="0" w:noHBand="0" w:noVBand="1" w:val="04A0"/>
      </w:tblPr>
      <w:tblGrid>
        <w:gridCol w:w="3364"/>
        <w:gridCol w:w="3364"/>
        <w:gridCol w:w="3364"/>
      </w:tblGrid>
      <w:tr>
        <w:trPr>
          <w:tblHeader/>
          <w:cantSplit/>
        </w:trPr>
        <w:tc>
          <w:tcPr>
            <w:tcW w:type="dxa" w:w="3364"/>
          </w:tcPr>
          <w:p>
            <w:r>
              <w:rPr>
                <w:sz w:val="16"/>
              </w:rPr>
              <w:t>Relación conceptual</w:t>
            </w:r>
          </w:p>
        </w:tc>
        <w:tc>
          <w:tcPr>
            <w:tcW w:type="dxa" w:w="3364"/>
          </w:tcPr>
          <w:p>
            <w:r>
              <w:rPr>
                <w:sz w:val="16"/>
              </w:rPr>
              <w:t>Granularidad / regla del escenario</w:t>
            </w:r>
          </w:p>
        </w:tc>
        <w:tc>
          <w:tcPr>
            <w:tcW w:type="dxa" w:w="3364"/>
          </w:tcPr>
          <w:p>
            <w:r>
              <w:rPr>
                <w:sz w:val="16"/>
              </w:rPr>
              <w:t>Precaución</w:t>
            </w:r>
          </w:p>
        </w:tc>
      </w:tr>
      <w:tr>
        <w:trPr>
          <w:cantSplit/>
        </w:trPr>
        <w:tc>
          <w:tcPr>
            <w:tcW w:type="dxa" w:w="3364"/>
          </w:tcPr>
          <w:p>
            <w:r>
              <w:rPr>
                <w:sz w:val="16"/>
              </w:rPr>
              <w:t>Obra → Partida</w:t>
            </w:r>
          </w:p>
        </w:tc>
        <w:tc>
          <w:tcPr>
            <w:tcW w:type="dxa" w:w="3364"/>
          </w:tcPr>
          <w:p>
            <w:r>
              <w:rPr>
                <w:sz w:val="16"/>
              </w:rPr>
              <w:t>Una obra contiene múltiples partidas; código y unidad contextualizados</w:t>
            </w:r>
          </w:p>
        </w:tc>
        <w:tc>
          <w:tcPr>
            <w:tcW w:type="dxa" w:w="3364"/>
          </w:tcPr>
          <w:p>
            <w:r>
              <w:rPr>
                <w:sz w:val="16"/>
              </w:rPr>
              <w:t>Catálogo puede reutilizar códigos entre obras; usar ID compuesto</w:t>
            </w:r>
          </w:p>
        </w:tc>
      </w:tr>
      <w:tr>
        <w:trPr>
          <w:cantSplit/>
        </w:trPr>
        <w:tc>
          <w:tcPr>
            <w:tcW w:type="dxa" w:w="3364"/>
          </w:tcPr>
          <w:p>
            <w:r>
              <w:rPr>
                <w:sz w:val="16"/>
              </w:rPr>
              <w:t>Partida → Actividad</w:t>
            </w:r>
          </w:p>
        </w:tc>
        <w:tc>
          <w:tcPr>
            <w:tcW w:type="dxa" w:w="3364"/>
          </w:tcPr>
          <w:p>
            <w:r>
              <w:rPr>
                <w:sz w:val="16"/>
              </w:rPr>
              <w:t>Una partida puede desagregarse en actividades</w:t>
            </w:r>
          </w:p>
        </w:tc>
        <w:tc>
          <w:tcPr>
            <w:tcW w:type="dxa" w:w="3364"/>
          </w:tcPr>
          <w:p>
            <w:r>
              <w:rPr>
                <w:sz w:val="16"/>
              </w:rPr>
              <w:t>Correspondencia propuesta, no esquema SQL confirmado</w:t>
            </w:r>
          </w:p>
        </w:tc>
      </w:tr>
      <w:tr>
        <w:trPr>
          <w:cantSplit/>
        </w:trPr>
        <w:tc>
          <w:tcPr>
            <w:tcW w:type="dxa" w:w="3364"/>
          </w:tcPr>
          <w:p>
            <w:r>
              <w:rPr>
                <w:sz w:val="16"/>
              </w:rPr>
              <w:t>Actividad → Tareo</w:t>
            </w:r>
          </w:p>
        </w:tc>
        <w:tc>
          <w:tcPr>
            <w:tcW w:type="dxa" w:w="3364"/>
          </w:tcPr>
          <w:p>
            <w:r>
              <w:rPr>
                <w:sz w:val="16"/>
              </w:rPr>
              <w:t>Registro de horas por actividad/fecha o periodo; personas anonimizadas</w:t>
            </w:r>
          </w:p>
        </w:tc>
        <w:tc>
          <w:tcPr>
            <w:tcW w:type="dxa" w:w="3364"/>
          </w:tcPr>
          <w:p>
            <w:r>
              <w:rPr>
                <w:sz w:val="16"/>
              </w:rPr>
              <w:t>No publicar identificadores laborales ni equiparar horas a costo sin tarifa</w:t>
            </w:r>
          </w:p>
        </w:tc>
      </w:tr>
      <w:tr>
        <w:trPr>
          <w:cantSplit/>
        </w:trPr>
        <w:tc>
          <w:tcPr>
            <w:tcW w:type="dxa" w:w="3364"/>
          </w:tcPr>
          <w:p>
            <w:r>
              <w:rPr>
                <w:sz w:val="16"/>
              </w:rPr>
              <w:t>Actividad → Metrado</w:t>
            </w:r>
          </w:p>
        </w:tc>
        <w:tc>
          <w:tcPr>
            <w:tcW w:type="dxa" w:w="3364"/>
          </w:tcPr>
          <w:p>
            <w:r>
              <w:rPr>
                <w:sz w:val="16"/>
              </w:rPr>
              <w:t>Cantidad ejecutada y unidad por actividad/periodo</w:t>
            </w:r>
          </w:p>
        </w:tc>
        <w:tc>
          <w:tcPr>
            <w:tcW w:type="dxa" w:w="3364"/>
          </w:tcPr>
          <w:p>
            <w:r>
              <w:rPr>
                <w:sz w:val="16"/>
              </w:rPr>
              <w:t>Unidades y periodo comparables antes de agregar</w:t>
            </w:r>
          </w:p>
        </w:tc>
      </w:tr>
      <w:tr>
        <w:trPr>
          <w:cantSplit/>
        </w:trPr>
        <w:tc>
          <w:tcPr>
            <w:tcW w:type="dxa" w:w="3364"/>
          </w:tcPr>
          <w:p>
            <w:r>
              <w:rPr>
                <w:sz w:val="16"/>
              </w:rPr>
              <w:t>HH + Metrado → Rendimiento</w:t>
            </w:r>
          </w:p>
        </w:tc>
        <w:tc>
          <w:tcPr>
            <w:tcW w:type="dxa" w:w="3364"/>
          </w:tcPr>
          <w:p>
            <w:r>
              <w:rPr>
                <w:sz w:val="16"/>
              </w:rPr>
              <w:t>HH/unidad = HH / cantidad; productividad = cantidad / HH</w:t>
            </w:r>
          </w:p>
        </w:tc>
        <w:tc>
          <w:tcPr>
            <w:tcW w:type="dxa" w:w="3364"/>
          </w:tcPr>
          <w:p>
            <w:r>
              <w:rPr>
                <w:sz w:val="16"/>
              </w:rPr>
              <w:t>Denominador cero = ND; no implementado/validado por la PoC de costos</w:t>
            </w:r>
          </w:p>
        </w:tc>
      </w:tr>
      <w:tr>
        <w:trPr>
          <w:cantSplit/>
        </w:trPr>
        <w:tc>
          <w:tcPr>
            <w:tcW w:type="dxa" w:w="3364"/>
          </w:tcPr>
          <w:p>
            <w:r>
              <w:rPr>
                <w:sz w:val="16"/>
              </w:rPr>
              <w:t>Ejecución → Costos</w:t>
            </w:r>
          </w:p>
        </w:tc>
        <w:tc>
          <w:tcPr>
            <w:tcW w:type="dxa" w:w="3364"/>
          </w:tcPr>
          <w:p>
            <w:r>
              <w:rPr>
                <w:sz w:val="16"/>
              </w:rPr>
              <w:t>Materiales + mano de obra + otros componentes del alcance</w:t>
            </w:r>
          </w:p>
        </w:tc>
        <w:tc>
          <w:tcPr>
            <w:tcW w:type="dxa" w:w="3364"/>
          </w:tcPr>
          <w:p>
            <w:r>
              <w:rPr>
                <w:sz w:val="16"/>
              </w:rPr>
              <w:t>Evitar doble conteo; no inferir costos reales a partir de horas sin tarifas</w:t>
            </w:r>
          </w:p>
        </w:tc>
      </w:tr>
      <w:tr>
        <w:trPr>
          <w:cantSplit/>
        </w:trPr>
        <w:tc>
          <w:tcPr>
            <w:tcW w:type="dxa" w:w="3364"/>
          </w:tcPr>
          <w:p>
            <w:r>
              <w:rPr>
                <w:sz w:val="16"/>
              </w:rPr>
              <w:t>Costos + cantidades → Histórico</w:t>
            </w:r>
          </w:p>
        </w:tc>
        <w:tc>
          <w:tcPr>
            <w:tcW w:type="dxa" w:w="3364"/>
          </w:tcPr>
          <w:p>
            <w:r>
              <w:rPr>
                <w:sz w:val="16"/>
              </w:rPr>
              <w:t>Costo/unidad por obra/partida/periodo y condiciones</w:t>
            </w:r>
          </w:p>
        </w:tc>
        <w:tc>
          <w:tcPr>
            <w:tcW w:type="dxa" w:w="3364"/>
          </w:tcPr>
          <w:p>
            <w:r>
              <w:rPr>
                <w:sz w:val="16"/>
              </w:rPr>
              <w:t>Homologar moneda, fecha, unidad y tipología antes de usar empresarialmente</w:t>
            </w:r>
          </w:p>
        </w:tc>
      </w:tr>
      <w:tr>
        <w:trPr>
          <w:cantSplit/>
        </w:trPr>
        <w:tc>
          <w:tcPr>
            <w:tcW w:type="dxa" w:w="3364"/>
          </w:tcPr>
          <w:p>
            <w:r>
              <w:rPr>
                <w:sz w:val="16"/>
              </w:rPr>
              <w:t>Histórico → presupuesto/control</w:t>
            </w:r>
          </w:p>
        </w:tc>
        <w:tc>
          <w:tcPr>
            <w:tcW w:type="dxa" w:w="3364"/>
          </w:tcPr>
          <w:p>
            <w:r>
              <w:rPr>
                <w:sz w:val="16"/>
              </w:rPr>
              <w:t>Referencia de nueva obra; contraste previsto–ejecutado</w:t>
            </w:r>
          </w:p>
        </w:tc>
        <w:tc>
          <w:tcPr>
            <w:tcW w:type="dxa" w:w="3364"/>
          </w:tcPr>
          <w:p>
            <w:r>
              <w:rPr>
                <w:sz w:val="16"/>
              </w:rPr>
              <w:t>No mezclar evaluación futura con referencia</w:t>
            </w:r>
          </w:p>
        </w:tc>
      </w:tr>
    </w:tbl>
    <w:p/>
    <w:p>
      <w:r>
        <w:rPr>
          <w:b w:val="0"/>
        </w:rPr>
        <w:t>Integración AS-IS supuesta: interfaz ERP → consulta MySQL → exportación → planilla/conciliación de Costos. No se afirma API nueva ni integración SUNAT/OSE instalada. Respaldos, recuperación, conectividad real y controles quedan desconocidos; el diagrama no demuestra su ausencia.</w:t>
      </w:r>
    </w:p>
    <w:p>
      <w:pPr>
        <w:pStyle w:val="Heading2"/>
      </w:pPr>
      <w:r>
        <w:t>7. Deuda y trazabilidad</w:t>
      </w:r>
    </w:p>
    <w:p>
      <w:r>
        <w:rPr>
          <w:b w:val="0"/>
        </w:rPr>
        <w:t>P1 = confiabilidad/confidencialidad previa; P2 = repetibilidad/operación del piloto; P3 = optimización posterior. Priorización cualitativa del escenario, no incidentes ni riesgo medido.</w:t>
      </w:r>
    </w:p>
    <w:tbl>
      <w:tblPr>
        <w:tblStyle w:val="LightShading-Accent1"/>
        <w:tblW w:type="auto" w:w="0"/>
        <w:tblLook w:firstColumn="1" w:firstRow="1" w:lastColumn="0" w:lastRow="0" w:noHBand="0" w:noVBand="1" w:val="04A0"/>
      </w:tblPr>
      <w:tblGrid>
        <w:gridCol w:w="1682"/>
        <w:gridCol w:w="1682"/>
        <w:gridCol w:w="1682"/>
        <w:gridCol w:w="1682"/>
        <w:gridCol w:w="1682"/>
        <w:gridCol w:w="1682"/>
      </w:tblGrid>
      <w:tr>
        <w:trPr>
          <w:tblHeader/>
          <w:cantSplit/>
        </w:trPr>
        <w:tc>
          <w:tcPr>
            <w:tcW w:type="dxa" w:w="1682"/>
          </w:tcPr>
          <w:p>
            <w:r>
              <w:rPr>
                <w:sz w:val="16"/>
              </w:rPr>
              <w:t>ID</w:t>
            </w:r>
          </w:p>
        </w:tc>
        <w:tc>
          <w:tcPr>
            <w:tcW w:type="dxa" w:w="1682"/>
          </w:tcPr>
          <w:p>
            <w:r>
              <w:rPr>
                <w:sz w:val="16"/>
              </w:rPr>
              <w:t>Problema/requisito</w:t>
            </w:r>
          </w:p>
        </w:tc>
        <w:tc>
          <w:tcPr>
            <w:tcW w:type="dxa" w:w="1682"/>
          </w:tcPr>
          <w:p>
            <w:r>
              <w:rPr>
                <w:sz w:val="16"/>
              </w:rPr>
              <w:t>Prioridad</w:t>
            </w:r>
          </w:p>
        </w:tc>
        <w:tc>
          <w:tcPr>
            <w:tcW w:type="dxa" w:w="1682"/>
          </w:tcPr>
          <w:p>
            <w:r>
              <w:rPr>
                <w:sz w:val="16"/>
              </w:rPr>
              <w:t>Base</w:t>
            </w:r>
          </w:p>
        </w:tc>
        <w:tc>
          <w:tcPr>
            <w:tcW w:type="dxa" w:w="1682"/>
          </w:tcPr>
          <w:p>
            <w:r>
              <w:rPr>
                <w:sz w:val="16"/>
              </w:rPr>
              <w:t>Decisión</w:t>
            </w:r>
          </w:p>
        </w:tc>
        <w:tc>
          <w:tcPr>
            <w:tcW w:type="dxa" w:w="1682"/>
          </w:tcPr>
          <w:p>
            <w:r>
              <w:rPr>
                <w:sz w:val="16"/>
              </w:rPr>
              <w:t>Componente/respuesta</w:t>
            </w:r>
          </w:p>
        </w:tc>
      </w:tr>
      <w:tr>
        <w:trPr>
          <w:cantSplit/>
        </w:trPr>
        <w:tc>
          <w:tcPr>
            <w:tcW w:type="dxa" w:w="1682"/>
          </w:tcPr>
          <w:p>
            <w:r>
              <w:rPr>
                <w:sz w:val="16"/>
              </w:rPr>
              <w:t>DT-01</w:t>
            </w:r>
          </w:p>
        </w:tc>
        <w:tc>
          <w:tcPr>
            <w:tcW w:type="dxa" w:w="1682"/>
          </w:tcPr>
          <w:p>
            <w:r>
              <w:rPr>
                <w:sz w:val="16"/>
              </w:rPr>
              <w:t>Históricos no comparables</w:t>
            </w:r>
          </w:p>
        </w:tc>
        <w:tc>
          <w:tcPr>
            <w:tcW w:type="dxa" w:w="1682"/>
          </w:tcPr>
          <w:p>
            <w:r>
              <w:rPr>
                <w:sz w:val="16"/>
              </w:rPr>
              <w:t>P1</w:t>
            </w:r>
          </w:p>
        </w:tc>
        <w:tc>
          <w:tcPr>
            <w:tcW w:type="dxa" w:w="1682"/>
          </w:tcPr>
          <w:p>
            <w:r>
              <w:rPr>
                <w:sz w:val="16"/>
              </w:rPr>
              <w:t>S-08</w:t>
            </w:r>
          </w:p>
        </w:tc>
        <w:tc>
          <w:tcPr>
            <w:tcW w:type="dxa" w:w="1682"/>
          </w:tcPr>
          <w:p>
            <w:r>
              <w:rPr>
                <w:sz w:val="16"/>
              </w:rPr>
              <w:t>ADR-04</w:t>
            </w:r>
          </w:p>
        </w:tc>
        <w:tc>
          <w:tcPr>
            <w:tcW w:type="dxa" w:w="1682"/>
          </w:tcPr>
          <w:p>
            <w:r>
              <w:rPr>
                <w:sz w:val="16"/>
              </w:rPr>
              <w:t>Modelo y unidades comunes</w:t>
            </w:r>
          </w:p>
        </w:tc>
      </w:tr>
      <w:tr>
        <w:trPr>
          <w:cantSplit/>
        </w:trPr>
        <w:tc>
          <w:tcPr>
            <w:tcW w:type="dxa" w:w="1682"/>
          </w:tcPr>
          <w:p>
            <w:r>
              <w:rPr>
                <w:sz w:val="16"/>
              </w:rPr>
              <w:t>DT-02</w:t>
            </w:r>
          </w:p>
        </w:tc>
        <w:tc>
          <w:tcPr>
            <w:tcW w:type="dxa" w:w="1682"/>
          </w:tcPr>
          <w:p>
            <w:r>
              <w:rPr>
                <w:sz w:val="16"/>
              </w:rPr>
              <w:t>Definiciones no acordadas</w:t>
            </w:r>
          </w:p>
        </w:tc>
        <w:tc>
          <w:tcPr>
            <w:tcW w:type="dxa" w:w="1682"/>
          </w:tcPr>
          <w:p>
            <w:r>
              <w:rPr>
                <w:sz w:val="16"/>
              </w:rPr>
              <w:t>P1</w:t>
            </w:r>
          </w:p>
        </w:tc>
        <w:tc>
          <w:tcPr>
            <w:tcW w:type="dxa" w:w="1682"/>
          </w:tcPr>
          <w:p>
            <w:r>
              <w:rPr>
                <w:sz w:val="16"/>
              </w:rPr>
              <w:t>S-24</w:t>
            </w:r>
          </w:p>
        </w:tc>
        <w:tc>
          <w:tcPr>
            <w:tcW w:type="dxa" w:w="1682"/>
          </w:tcPr>
          <w:p>
            <w:r>
              <w:rPr>
                <w:sz w:val="16"/>
              </w:rPr>
              <w:t>ADR-04</w:t>
            </w:r>
          </w:p>
        </w:tc>
        <w:tc>
          <w:tcPr>
            <w:tcW w:type="dxa" w:w="1682"/>
          </w:tcPr>
          <w:p>
            <w:r>
              <w:rPr>
                <w:sz w:val="16"/>
              </w:rPr>
              <w:t>Diccionario/custodio</w:t>
            </w:r>
          </w:p>
        </w:tc>
      </w:tr>
      <w:tr>
        <w:trPr>
          <w:cantSplit/>
        </w:trPr>
        <w:tc>
          <w:tcPr>
            <w:tcW w:type="dxa" w:w="1682"/>
          </w:tcPr>
          <w:p>
            <w:r>
              <w:rPr>
                <w:sz w:val="16"/>
              </w:rPr>
              <w:t>DT-03</w:t>
            </w:r>
          </w:p>
        </w:tc>
        <w:tc>
          <w:tcPr>
            <w:tcW w:type="dxa" w:w="1682"/>
          </w:tcPr>
          <w:p>
            <w:r>
              <w:rPr>
                <w:sz w:val="16"/>
              </w:rPr>
              <w:t>Extractos no reproducibles supuestos</w:t>
            </w:r>
          </w:p>
        </w:tc>
        <w:tc>
          <w:tcPr>
            <w:tcW w:type="dxa" w:w="1682"/>
          </w:tcPr>
          <w:p>
            <w:r>
              <w:rPr>
                <w:sz w:val="16"/>
              </w:rPr>
              <w:t>P2</w:t>
            </w:r>
          </w:p>
        </w:tc>
        <w:tc>
          <w:tcPr>
            <w:tcW w:type="dxa" w:w="1682"/>
          </w:tcPr>
          <w:p>
            <w:r>
              <w:rPr>
                <w:sz w:val="16"/>
              </w:rPr>
              <w:t>H2</w:t>
            </w:r>
          </w:p>
        </w:tc>
        <w:tc>
          <w:tcPr>
            <w:tcW w:type="dxa" w:w="1682"/>
          </w:tcPr>
          <w:p>
            <w:r>
              <w:rPr>
                <w:sz w:val="16"/>
              </w:rPr>
              <w:t>ADR-02</w:t>
            </w:r>
          </w:p>
        </w:tc>
        <w:tc>
          <w:tcPr>
            <w:tcW w:type="dxa" w:w="1682"/>
          </w:tcPr>
          <w:p>
            <w:r>
              <w:rPr>
                <w:sz w:val="16"/>
              </w:rPr>
              <w:t>Extractor por lotes</w:t>
            </w:r>
          </w:p>
        </w:tc>
      </w:tr>
      <w:tr>
        <w:trPr>
          <w:cantSplit/>
        </w:trPr>
        <w:tc>
          <w:tcPr>
            <w:tcW w:type="dxa" w:w="1682"/>
          </w:tcPr>
          <w:p>
            <w:r>
              <w:rPr>
                <w:sz w:val="16"/>
              </w:rPr>
              <w:t>DT-04</w:t>
            </w:r>
          </w:p>
        </w:tc>
        <w:tc>
          <w:tcPr>
            <w:tcW w:type="dxa" w:w="1682"/>
          </w:tcPr>
          <w:p>
            <w:r>
              <w:rPr>
                <w:sz w:val="16"/>
              </w:rPr>
              <w:t>Previsto–ejecutado disperso</w:t>
            </w:r>
          </w:p>
        </w:tc>
        <w:tc>
          <w:tcPr>
            <w:tcW w:type="dxa" w:w="1682"/>
          </w:tcPr>
          <w:p>
            <w:r>
              <w:rPr>
                <w:sz w:val="16"/>
              </w:rPr>
              <w:t>P1</w:t>
            </w:r>
          </w:p>
        </w:tc>
        <w:tc>
          <w:tcPr>
            <w:tcW w:type="dxa" w:w="1682"/>
          </w:tcPr>
          <w:p>
            <w:r>
              <w:rPr>
                <w:sz w:val="16"/>
              </w:rPr>
              <w:t>P-01/H1</w:t>
            </w:r>
          </w:p>
        </w:tc>
        <w:tc>
          <w:tcPr>
            <w:tcW w:type="dxa" w:w="1682"/>
          </w:tcPr>
          <w:p>
            <w:r>
              <w:rPr>
                <w:sz w:val="16"/>
              </w:rPr>
              <w:t>ADR-04</w:t>
            </w:r>
          </w:p>
        </w:tc>
        <w:tc>
          <w:tcPr>
            <w:tcW w:type="dxa" w:w="1682"/>
          </w:tcPr>
          <w:p>
            <w:r>
              <w:rPr>
                <w:sz w:val="16"/>
              </w:rPr>
              <w:t>Hechos y dimensiones</w:t>
            </w:r>
          </w:p>
        </w:tc>
      </w:tr>
      <w:tr>
        <w:trPr>
          <w:cantSplit/>
        </w:trPr>
        <w:tc>
          <w:tcPr>
            <w:tcW w:type="dxa" w:w="1682"/>
          </w:tcPr>
          <w:p>
            <w:r>
              <w:rPr>
                <w:sz w:val="16"/>
              </w:rPr>
              <w:t>DT-05</w:t>
            </w:r>
          </w:p>
        </w:tc>
        <w:tc>
          <w:tcPr>
            <w:tcW w:type="dxa" w:w="1682"/>
          </w:tcPr>
          <w:p>
            <w:r>
              <w:rPr>
                <w:sz w:val="16"/>
              </w:rPr>
              <w:t>Posible carga sobre ERP</w:t>
            </w:r>
          </w:p>
        </w:tc>
        <w:tc>
          <w:tcPr>
            <w:tcW w:type="dxa" w:w="1682"/>
          </w:tcPr>
          <w:p>
            <w:r>
              <w:rPr>
                <w:sz w:val="16"/>
              </w:rPr>
              <w:t>P1</w:t>
            </w:r>
          </w:p>
        </w:tc>
        <w:tc>
          <w:tcPr>
            <w:tcW w:type="dxa" w:w="1682"/>
          </w:tcPr>
          <w:p>
            <w:r>
              <w:rPr>
                <w:sz w:val="16"/>
              </w:rPr>
              <w:t>Riesgo no medido</w:t>
            </w:r>
          </w:p>
        </w:tc>
        <w:tc>
          <w:tcPr>
            <w:tcW w:type="dxa" w:w="1682"/>
          </w:tcPr>
          <w:p>
            <w:r>
              <w:rPr>
                <w:sz w:val="16"/>
              </w:rPr>
              <w:t>ADR-02</w:t>
            </w:r>
          </w:p>
        </w:tc>
        <w:tc>
          <w:tcPr>
            <w:tcW w:type="dxa" w:w="1682"/>
          </w:tcPr>
          <w:p>
            <w:r>
              <w:rPr>
                <w:sz w:val="16"/>
              </w:rPr>
              <w:t>Extracción acotada/destino separado</w:t>
            </w:r>
          </w:p>
        </w:tc>
      </w:tr>
      <w:tr>
        <w:trPr>
          <w:cantSplit/>
        </w:trPr>
        <w:tc>
          <w:tcPr>
            <w:tcW w:type="dxa" w:w="1682"/>
          </w:tcPr>
          <w:p>
            <w:r>
              <w:rPr>
                <w:sz w:val="16"/>
              </w:rPr>
              <w:t>DT-06</w:t>
            </w:r>
          </w:p>
        </w:tc>
        <w:tc>
          <w:tcPr>
            <w:tcW w:type="dxa" w:w="1682"/>
          </w:tcPr>
          <w:p>
            <w:r>
              <w:rPr>
                <w:sz w:val="16"/>
              </w:rPr>
              <w:t>Transformaciones sin versionar supuestas</w:t>
            </w:r>
          </w:p>
        </w:tc>
        <w:tc>
          <w:tcPr>
            <w:tcW w:type="dxa" w:w="1682"/>
          </w:tcPr>
          <w:p>
            <w:r>
              <w:rPr>
                <w:sz w:val="16"/>
              </w:rPr>
              <w:t>P2</w:t>
            </w:r>
          </w:p>
        </w:tc>
        <w:tc>
          <w:tcPr>
            <w:tcW w:type="dxa" w:w="1682"/>
          </w:tcPr>
          <w:p>
            <w:r>
              <w:rPr>
                <w:sz w:val="16"/>
              </w:rPr>
              <w:t>DevEx ND</w:t>
            </w:r>
          </w:p>
        </w:tc>
        <w:tc>
          <w:tcPr>
            <w:tcW w:type="dxa" w:w="1682"/>
          </w:tcPr>
          <w:p>
            <w:r>
              <w:rPr>
                <w:sz w:val="16"/>
              </w:rPr>
              <w:t>ADR-03</w:t>
            </w:r>
          </w:p>
        </w:tc>
        <w:tc>
          <w:tcPr>
            <w:tcW w:type="dxa" w:w="1682"/>
          </w:tcPr>
          <w:p>
            <w:r>
              <w:rPr>
                <w:sz w:val="16"/>
              </w:rPr>
              <w:t>SQL/Python en Git</w:t>
            </w:r>
          </w:p>
        </w:tc>
      </w:tr>
      <w:tr>
        <w:trPr>
          <w:cantSplit/>
        </w:trPr>
        <w:tc>
          <w:tcPr>
            <w:tcW w:type="dxa" w:w="1682"/>
          </w:tcPr>
          <w:p>
            <w:r>
              <w:rPr>
                <w:sz w:val="16"/>
              </w:rPr>
              <w:t>DT-07</w:t>
            </w:r>
          </w:p>
        </w:tc>
        <w:tc>
          <w:tcPr>
            <w:tcW w:type="dxa" w:w="1682"/>
          </w:tcPr>
          <w:p>
            <w:r>
              <w:rPr>
                <w:sz w:val="16"/>
              </w:rPr>
              <w:t>Error de carga poco visible supuesto</w:t>
            </w:r>
          </w:p>
        </w:tc>
        <w:tc>
          <w:tcPr>
            <w:tcW w:type="dxa" w:w="1682"/>
          </w:tcPr>
          <w:p>
            <w:r>
              <w:rPr>
                <w:sz w:val="16"/>
              </w:rPr>
              <w:t>P2</w:t>
            </w:r>
          </w:p>
        </w:tc>
        <w:tc>
          <w:tcPr>
            <w:tcW w:type="dxa" w:w="1682"/>
          </w:tcPr>
          <w:p>
            <w:r>
              <w:rPr>
                <w:sz w:val="16"/>
              </w:rPr>
              <w:t>H2</w:t>
            </w:r>
          </w:p>
        </w:tc>
        <w:tc>
          <w:tcPr>
            <w:tcW w:type="dxa" w:w="1682"/>
          </w:tcPr>
          <w:p>
            <w:r>
              <w:rPr>
                <w:sz w:val="16"/>
              </w:rPr>
              <w:t>ADR-06</w:t>
            </w:r>
          </w:p>
        </w:tc>
        <w:tc>
          <w:tcPr>
            <w:tcW w:type="dxa" w:w="1682"/>
          </w:tcPr>
          <w:p>
            <w:r>
              <w:rPr>
                <w:sz w:val="16"/>
              </w:rPr>
              <w:t>Logs/alerta simple</w:t>
            </w:r>
          </w:p>
        </w:tc>
      </w:tr>
      <w:tr>
        <w:trPr>
          <w:cantSplit/>
        </w:trPr>
        <w:tc>
          <w:tcPr>
            <w:tcW w:type="dxa" w:w="1682"/>
          </w:tcPr>
          <w:p>
            <w:r>
              <w:rPr>
                <w:sz w:val="16"/>
              </w:rPr>
              <w:t>DT-08</w:t>
            </w:r>
          </w:p>
        </w:tc>
        <w:tc>
          <w:tcPr>
            <w:tcW w:type="dxa" w:w="1682"/>
          </w:tcPr>
          <w:p>
            <w:r>
              <w:rPr>
                <w:sz w:val="16"/>
              </w:rPr>
              <w:t>Pruebas/despliegue no inventariados</w:t>
            </w:r>
          </w:p>
        </w:tc>
        <w:tc>
          <w:tcPr>
            <w:tcW w:type="dxa" w:w="1682"/>
          </w:tcPr>
          <w:p>
            <w:r>
              <w:rPr>
                <w:sz w:val="16"/>
              </w:rPr>
              <w:t>P2</w:t>
            </w:r>
          </w:p>
        </w:tc>
        <w:tc>
          <w:tcPr>
            <w:tcW w:type="dxa" w:w="1682"/>
          </w:tcPr>
          <w:p>
            <w:r>
              <w:rPr>
                <w:sz w:val="16"/>
              </w:rPr>
              <w:t>DevEx ND</w:t>
            </w:r>
          </w:p>
        </w:tc>
        <w:tc>
          <w:tcPr>
            <w:tcW w:type="dxa" w:w="1682"/>
          </w:tcPr>
          <w:p>
            <w:r>
              <w:rPr>
                <w:sz w:val="16"/>
              </w:rPr>
              <w:t>ADR-06</w:t>
            </w:r>
          </w:p>
        </w:tc>
        <w:tc>
          <w:tcPr>
            <w:tcW w:type="dxa" w:w="1682"/>
          </w:tcPr>
          <w:p>
            <w:r>
              <w:rPr>
                <w:sz w:val="16"/>
              </w:rPr>
              <w:t>Pruebas/revisión propuestas</w:t>
            </w:r>
          </w:p>
        </w:tc>
      </w:tr>
      <w:tr>
        <w:trPr>
          <w:cantSplit/>
        </w:trPr>
        <w:tc>
          <w:tcPr>
            <w:tcW w:type="dxa" w:w="1682"/>
          </w:tcPr>
          <w:p>
            <w:r>
              <w:rPr>
                <w:sz w:val="16"/>
              </w:rPr>
              <w:t>DT-09</w:t>
            </w:r>
          </w:p>
        </w:tc>
        <w:tc>
          <w:tcPr>
            <w:tcW w:type="dxa" w:w="1682"/>
          </w:tcPr>
          <w:p>
            <w:r>
              <w:rPr>
                <w:sz w:val="16"/>
              </w:rPr>
              <w:t>Accesos económicos no inventariados</w:t>
            </w:r>
          </w:p>
        </w:tc>
        <w:tc>
          <w:tcPr>
            <w:tcW w:type="dxa" w:w="1682"/>
          </w:tcPr>
          <w:p>
            <w:r>
              <w:rPr>
                <w:sz w:val="16"/>
              </w:rPr>
              <w:t>P1</w:t>
            </w:r>
          </w:p>
        </w:tc>
        <w:tc>
          <w:tcPr>
            <w:tcW w:type="dxa" w:w="1682"/>
          </w:tcPr>
          <w:p>
            <w:r>
              <w:rPr>
                <w:sz w:val="16"/>
              </w:rPr>
              <w:t>Seguridad ND</w:t>
            </w:r>
          </w:p>
        </w:tc>
        <w:tc>
          <w:tcPr>
            <w:tcW w:type="dxa" w:w="1682"/>
          </w:tcPr>
          <w:p>
            <w:r>
              <w:rPr>
                <w:sz w:val="16"/>
              </w:rPr>
              <w:t>ADR-05</w:t>
            </w:r>
          </w:p>
        </w:tc>
        <w:tc>
          <w:tcPr>
            <w:tcW w:type="dxa" w:w="1682"/>
          </w:tcPr>
          <w:p>
            <w:r>
              <w:rPr>
                <w:sz w:val="16"/>
              </w:rPr>
              <w:t>Matriz de permisos</w:t>
            </w:r>
          </w:p>
        </w:tc>
      </w:tr>
      <w:tr>
        <w:trPr>
          <w:cantSplit/>
        </w:trPr>
        <w:tc>
          <w:tcPr>
            <w:tcW w:type="dxa" w:w="1682"/>
          </w:tcPr>
          <w:p>
            <w:r>
              <w:rPr>
                <w:sz w:val="16"/>
              </w:rPr>
              <w:t>DT-10</w:t>
            </w:r>
          </w:p>
        </w:tc>
        <w:tc>
          <w:tcPr>
            <w:tcW w:type="dxa" w:w="1682"/>
          </w:tcPr>
          <w:p>
            <w:r>
              <w:rPr>
                <w:sz w:val="16"/>
              </w:rPr>
              <w:t>Criterios individuales supuestos</w:t>
            </w:r>
          </w:p>
        </w:tc>
        <w:tc>
          <w:tcPr>
            <w:tcW w:type="dxa" w:w="1682"/>
          </w:tcPr>
          <w:p>
            <w:r>
              <w:rPr>
                <w:sz w:val="16"/>
              </w:rPr>
              <w:t>P3</w:t>
            </w:r>
          </w:p>
        </w:tc>
        <w:tc>
          <w:tcPr>
            <w:tcW w:type="dxa" w:w="1682"/>
          </w:tcPr>
          <w:p>
            <w:r>
              <w:rPr>
                <w:sz w:val="16"/>
              </w:rPr>
              <w:t>Cultura ND</w:t>
            </w:r>
          </w:p>
        </w:tc>
        <w:tc>
          <w:tcPr>
            <w:tcW w:type="dxa" w:w="1682"/>
          </w:tcPr>
          <w:p>
            <w:r>
              <w:rPr>
                <w:sz w:val="16"/>
              </w:rPr>
              <w:t>ADR-04</w:t>
            </w:r>
          </w:p>
        </w:tc>
        <w:tc>
          <w:tcPr>
            <w:tcW w:type="dxa" w:w="1682"/>
          </w:tcPr>
          <w:p>
            <w:r>
              <w:rPr>
                <w:sz w:val="16"/>
              </w:rPr>
              <w:t>Acuerdos y responsables</w:t>
            </w:r>
          </w:p>
        </w:tc>
      </w:tr>
      <w:tr>
        <w:trPr>
          <w:cantSplit/>
        </w:trPr>
        <w:tc>
          <w:tcPr>
            <w:tcW w:type="dxa" w:w="1682"/>
          </w:tcPr>
          <w:p>
            <w:r>
              <w:rPr>
                <w:sz w:val="16"/>
              </w:rPr>
              <w:t>DT-11</w:t>
            </w:r>
          </w:p>
        </w:tc>
        <w:tc>
          <w:tcPr>
            <w:tcW w:type="dxa" w:w="1682"/>
          </w:tcPr>
          <w:p>
            <w:r>
              <w:rPr>
                <w:sz w:val="16"/>
              </w:rPr>
              <w:t>Adopción/ahorro no medidos</w:t>
            </w:r>
          </w:p>
        </w:tc>
        <w:tc>
          <w:tcPr>
            <w:tcW w:type="dxa" w:w="1682"/>
          </w:tcPr>
          <w:p>
            <w:r>
              <w:rPr>
                <w:sz w:val="16"/>
              </w:rPr>
              <w:t>P1</w:t>
            </w:r>
          </w:p>
        </w:tc>
        <w:tc>
          <w:tcPr>
            <w:tcW w:type="dxa" w:w="1682"/>
          </w:tcPr>
          <w:p>
            <w:r>
              <w:rPr>
                <w:sz w:val="16"/>
              </w:rPr>
              <w:t>H3 pendiente</w:t>
            </w:r>
          </w:p>
        </w:tc>
        <w:tc>
          <w:tcPr>
            <w:tcW w:type="dxa" w:w="1682"/>
          </w:tcPr>
          <w:p>
            <w:r>
              <w:rPr>
                <w:sz w:val="16"/>
              </w:rPr>
              <w:t>ADR-05</w:t>
            </w:r>
          </w:p>
        </w:tc>
        <w:tc>
          <w:tcPr>
            <w:tcW w:type="dxa" w:w="1682"/>
          </w:tcPr>
          <w:p>
            <w:r>
              <w:rPr>
                <w:sz w:val="16"/>
              </w:rPr>
              <w:t>Línea base y piloto humano</w:t>
            </w:r>
          </w:p>
        </w:tc>
      </w:tr>
    </w:tbl>
    <w:p/>
    <w:p>
      <w:pPr>
        <w:pStyle w:val="Heading2"/>
      </w:pPr>
      <w:r>
        <w:t>8. TO-BE v0.1 revisada y decisiones arquitectónicas</w:t>
      </w:r>
    </w:p>
    <w:p>
      <w:r>
        <w:drawing>
          <wp:inline xmlns:a="http://schemas.openxmlformats.org/drawingml/2006/main" xmlns:pic="http://schemas.openxmlformats.org/drawingml/2006/picture">
            <wp:extent cx="6372000" cy="4151455"/>
            <wp:docPr id="3" name="Picture 3"/>
            <wp:cNvGraphicFramePr>
              <a:graphicFrameLocks noChangeAspect="1"/>
            </wp:cNvGraphicFramePr>
            <a:graphic>
              <a:graphicData uri="http://schemas.openxmlformats.org/drawingml/2006/picture">
                <pic:pic>
                  <pic:nvPicPr>
                    <pic:cNvPr id="0" name="figura-03-arquitectura-to-be-v0-1.png"/>
                    <pic:cNvPicPr/>
                  </pic:nvPicPr>
                  <pic:blipFill>
                    <a:blip r:embed="rId11"/>
                    <a:stretch>
                      <a:fillRect/>
                    </a:stretch>
                  </pic:blipFill>
                  <pic:spPr>
                    <a:xfrm>
                      <a:off x="0" y="0"/>
                      <a:ext cx="6372000" cy="4151455"/>
                    </a:xfrm>
                    <a:prstGeom prst="rect"/>
                  </pic:spPr>
                </pic:pic>
              </a:graphicData>
            </a:graphic>
          </wp:inline>
        </w:drawing>
      </w:r>
    </w:p>
    <w:p>
      <w:pPr>
        <w:pStyle w:val="Caption"/>
      </w:pPr>
      <w:r>
        <w:t>Figura 3. TO-BE complementario al ERP. Elaboración propia, Grupo 1, S5, revisión v1.2, 25/10/2026.</w:t>
      </w:r>
    </w:p>
    <w:p>
      <w:pPr>
        <w:pStyle w:val="Heading3"/>
      </w:pPr>
      <w:r>
        <w:t>8.1 Responsabilidades y proporcionalidad</w:t>
      </w:r>
    </w:p>
    <w:p>
      <w:r>
        <w:rPr>
          <w:b w:val="0"/>
        </w:rPr>
        <w:t>ERP CodeIgniter/MySQL → extractos autorizados por lotes → staging aislado → validación y SQL/Python versionados → almacenamiento analítico separado → modelo/tablero → revisión de Costos. No hay escritura de resultados de costo al ERP. No se duplican venta, facturación o planilla.</w:t>
      </w:r>
    </w:p>
    <w:p>
      <w:r>
        <w:rPr>
          <w:b w:val="0"/>
        </w:rPr>
        <w:t>Piloto: archivos sintéticos locales, ejecución manual reproducible. Destino organizacional candidato: MySQL analítico independiente, hechos ejecución/presupuesto y dimensiones obra/partida/tiempo, sin asumir réplica ni disponibilidad. Cuenta futura de solo lectura, vistas aprobadas, lotes pequeños, ventana y límite de duración; medir carga antes de conectar. Sin ventana segura, detener extracción y evaluar copia autorizada/réplica, no imponerla.</w:t>
      </w:r>
    </w:p>
    <w:p>
      <w:r>
        <w:rPr>
          <w:b w:val="0"/>
        </w:rPr>
        <w:t>Power BI Desktop es candidato, no licencia confirmada. Compartir por Service requiere licencia, identidades, roles y autorización. Un gateway conecta fuentes privadas mediante conexiones salientes (Microsoft, 2026a). RLS limita Viewer, no Admin/Member/Contributor (Microsoft, 2026b); probar acceso permitido/denegado. No exponer MySQL a Internet ni enviar datos personales a SaaS sin permiso. Alternativa local si evita costo/exposición.</w:t>
      </w:r>
    </w:p>
    <w:p>
      <w:r>
        <w:rPr>
          <w:b w:val="0"/>
        </w:rPr>
        <w:t>Base mínima: guion/programador aprobado, SQL/Python, Git, pruebas y logs. Evaluar réplica solo si no hay ventana segura; Airflow ante dependencias/reintentos inmanejables; dbt ante muchos modelos y soporte compatible; Prometheus/Grafana ante servicios/alertas sostenidos; CI ante repositorio/runner/secretos autorizados. Ninguno es requisito de implementación S5. RAG, agentes, eventos y lakehouse siguen fuera del primer TO-BE.</w:t>
      </w:r>
    </w:p>
    <w:p>
      <w:pPr>
        <w:pStyle w:val="Heading3"/>
      </w:pPr>
      <w:r>
        <w:t>8.2 Seis ADR conservadas y precisadas</w:t>
      </w:r>
    </w:p>
    <w:tbl>
      <w:tblPr>
        <w:tblStyle w:val="LightShading-Accent1"/>
        <w:tblW w:type="auto" w:w="0"/>
        <w:tblLook w:firstColumn="1" w:firstRow="1" w:lastColumn="0" w:lastRow="0" w:noHBand="0" w:noVBand="1" w:val="04A0"/>
      </w:tblPr>
      <w:tblGrid>
        <w:gridCol w:w="1682"/>
        <w:gridCol w:w="1682"/>
        <w:gridCol w:w="1682"/>
        <w:gridCol w:w="1682"/>
        <w:gridCol w:w="1682"/>
        <w:gridCol w:w="1682"/>
      </w:tblGrid>
      <w:tr>
        <w:trPr>
          <w:tblHeader/>
          <w:cantSplit/>
        </w:trPr>
        <w:tc>
          <w:tcPr>
            <w:tcW w:type="dxa" w:w="1682"/>
          </w:tcPr>
          <w:p>
            <w:r>
              <w:rPr>
                <w:sz w:val="16"/>
              </w:rPr>
              <w:t>ID</w:t>
            </w:r>
          </w:p>
        </w:tc>
        <w:tc>
          <w:tcPr>
            <w:tcW w:type="dxa" w:w="1682"/>
          </w:tcPr>
          <w:p>
            <w:r>
              <w:rPr>
                <w:sz w:val="16"/>
              </w:rPr>
              <w:t>Decisión</w:t>
            </w:r>
          </w:p>
        </w:tc>
        <w:tc>
          <w:tcPr>
            <w:tcW w:type="dxa" w:w="1682"/>
          </w:tcPr>
          <w:p>
            <w:r>
              <w:rPr>
                <w:sz w:val="16"/>
              </w:rPr>
              <w:t>Alternativas</w:t>
            </w:r>
          </w:p>
        </w:tc>
        <w:tc>
          <w:tcPr>
            <w:tcW w:type="dxa" w:w="1682"/>
          </w:tcPr>
          <w:p>
            <w:r>
              <w:rPr>
                <w:sz w:val="16"/>
              </w:rPr>
              <w:t>Trade-off</w:t>
            </w:r>
          </w:p>
        </w:tc>
        <w:tc>
          <w:tcPr>
            <w:tcW w:type="dxa" w:w="1682"/>
          </w:tcPr>
          <w:p>
            <w:r>
              <w:rPr>
                <w:sz w:val="16"/>
              </w:rPr>
              <w:t>Fundamento</w:t>
            </w:r>
          </w:p>
        </w:tc>
        <w:tc>
          <w:tcPr>
            <w:tcW w:type="dxa" w:w="1682"/>
          </w:tcPr>
          <w:p>
            <w:r>
              <w:rPr>
                <w:sz w:val="16"/>
              </w:rPr>
              <w:t>Riesgo/condición</w:t>
            </w:r>
          </w:p>
        </w:tc>
      </w:tr>
      <w:tr>
        <w:trPr>
          <w:cantSplit/>
        </w:trPr>
        <w:tc>
          <w:tcPr>
            <w:tcW w:type="dxa" w:w="1682"/>
          </w:tcPr>
          <w:p>
            <w:r>
              <w:rPr>
                <w:sz w:val="16"/>
              </w:rPr>
              <w:t>ADR-01</w:t>
            </w:r>
          </w:p>
        </w:tc>
        <w:tc>
          <w:tcPr>
            <w:tcW w:type="dxa" w:w="1682"/>
          </w:tcPr>
          <w:p>
            <w:r>
              <w:rPr>
                <w:sz w:val="16"/>
              </w:rPr>
              <w:t>Conservar ERP CodeIgniter/MySQL</w:t>
            </w:r>
          </w:p>
        </w:tc>
        <w:tc>
          <w:tcPr>
            <w:tcW w:type="dxa" w:w="1682"/>
          </w:tcPr>
          <w:p>
            <w:r>
              <w:rPr>
                <w:sz w:val="16"/>
              </w:rPr>
              <w:t>Reemplazar, reescribir, complementar</w:t>
            </w:r>
          </w:p>
        </w:tc>
        <w:tc>
          <w:tcPr>
            <w:tcW w:type="dxa" w:w="1682"/>
          </w:tcPr>
          <w:p>
            <w:r>
              <w:rPr>
                <w:sz w:val="16"/>
              </w:rPr>
              <w:t>Dependencia de código existente vs migración injustificada</w:t>
            </w:r>
          </w:p>
        </w:tc>
        <w:tc>
          <w:tcPr>
            <w:tcW w:type="dxa" w:w="1682"/>
          </w:tcPr>
          <w:p>
            <w:r>
              <w:rPr>
                <w:sz w:val="16"/>
              </w:rPr>
              <w:t>D-02 y aclaración; CodeIgniter Foundation (2022) no identifica versión instalada</w:t>
            </w:r>
          </w:p>
        </w:tc>
        <w:tc>
          <w:tcPr>
            <w:tcW w:type="dxa" w:w="1682"/>
          </w:tcPr>
          <w:p>
            <w:r>
              <w:rPr>
                <w:sz w:val="16"/>
              </w:rPr>
              <w:t>Inventariar antes de intervenir</w:t>
            </w:r>
          </w:p>
        </w:tc>
      </w:tr>
      <w:tr>
        <w:trPr>
          <w:cantSplit/>
        </w:trPr>
        <w:tc>
          <w:tcPr>
            <w:tcW w:type="dxa" w:w="1682"/>
          </w:tcPr>
          <w:p>
            <w:r>
              <w:rPr>
                <w:sz w:val="16"/>
              </w:rPr>
              <w:t>ADR-02</w:t>
            </w:r>
          </w:p>
        </w:tc>
        <w:tc>
          <w:tcPr>
            <w:tcW w:type="dxa" w:w="1682"/>
          </w:tcPr>
          <w:p>
            <w:r>
              <w:rPr>
                <w:sz w:val="16"/>
              </w:rPr>
              <w:t>Lotes acotados y destino separado</w:t>
            </w:r>
          </w:p>
        </w:tc>
        <w:tc>
          <w:tcPr>
            <w:tcW w:type="dxa" w:w="1682"/>
          </w:tcPr>
          <w:p>
            <w:r>
              <w:rPr>
                <w:sz w:val="16"/>
              </w:rPr>
              <w:t>BI directo, copia completa, réplica</w:t>
            </w:r>
          </w:p>
        </w:tc>
        <w:tc>
          <w:tcPr>
            <w:tcW w:type="dxa" w:w="1682"/>
          </w:tcPr>
          <w:p>
            <w:r>
              <w:rPr>
                <w:sz w:val="16"/>
              </w:rPr>
              <w:t>Frescura diferida y carga residual vs aislamiento de consultas</w:t>
            </w:r>
          </w:p>
        </w:tc>
        <w:tc>
          <w:tcPr>
            <w:tcW w:type="dxa" w:w="1682"/>
          </w:tcPr>
          <w:p>
            <w:r>
              <w:rPr>
                <w:sz w:val="16"/>
              </w:rPr>
              <w:t>DT-05 y principio de minimizar carga; referencia Oracle histórica no revalidada</w:t>
            </w:r>
          </w:p>
        </w:tc>
        <w:tc>
          <w:tcPr>
            <w:tcW w:type="dxa" w:w="1682"/>
          </w:tcPr>
          <w:p>
            <w:r>
              <w:rPr>
                <w:sz w:val="16"/>
              </w:rPr>
              <w:t>Medir ventana y permisos; no prometer impacto cero</w:t>
            </w:r>
          </w:p>
        </w:tc>
      </w:tr>
      <w:tr>
        <w:trPr>
          <w:cantSplit/>
        </w:trPr>
        <w:tc>
          <w:tcPr>
            <w:tcW w:type="dxa" w:w="1682"/>
          </w:tcPr>
          <w:p>
            <w:r>
              <w:rPr>
                <w:sz w:val="16"/>
              </w:rPr>
              <w:t>ADR-03</w:t>
            </w:r>
          </w:p>
        </w:tc>
        <w:tc>
          <w:tcPr>
            <w:tcW w:type="dxa" w:w="1682"/>
          </w:tcPr>
          <w:p>
            <w:r>
              <w:rPr>
                <w:sz w:val="16"/>
              </w:rPr>
              <w:t>SQL/Python versionados y ejecución simple</w:t>
            </w:r>
          </w:p>
        </w:tc>
        <w:tc>
          <w:tcPr>
            <w:tcW w:type="dxa" w:w="1682"/>
          </w:tcPr>
          <w:p>
            <w:r>
              <w:rPr>
                <w:sz w:val="16"/>
              </w:rPr>
              <w:t>Airflow/dbt, ETL manual</w:t>
            </w:r>
          </w:p>
        </w:tc>
        <w:tc>
          <w:tcPr>
            <w:tcW w:type="dxa" w:w="1682"/>
          </w:tcPr>
          <w:p>
            <w:r>
              <w:rPr>
                <w:sz w:val="16"/>
              </w:rPr>
              <w:t>Disciplina manual vs infraestructura adicional</w:t>
            </w:r>
          </w:p>
        </w:tc>
        <w:tc>
          <w:tcPr>
            <w:tcW w:type="dxa" w:w="1682"/>
          </w:tcPr>
          <w:p>
            <w:r>
              <w:rPr>
                <w:sz w:val="16"/>
              </w:rPr>
              <w:t>DT-03/06; Souppaya et al. (2022)</w:t>
            </w:r>
          </w:p>
        </w:tc>
        <w:tc>
          <w:tcPr>
            <w:tcW w:type="dxa" w:w="1682"/>
          </w:tcPr>
          <w:p>
            <w:r>
              <w:rPr>
                <w:sz w:val="16"/>
              </w:rPr>
              <w:t>Probar idempotencia y recuperación</w:t>
            </w:r>
          </w:p>
        </w:tc>
      </w:tr>
      <w:tr>
        <w:trPr>
          <w:cantSplit/>
        </w:trPr>
        <w:tc>
          <w:tcPr>
            <w:tcW w:type="dxa" w:w="1682"/>
          </w:tcPr>
          <w:p>
            <w:r>
              <w:rPr>
                <w:sz w:val="16"/>
              </w:rPr>
              <w:t>ADR-04</w:t>
            </w:r>
          </w:p>
        </w:tc>
        <w:tc>
          <w:tcPr>
            <w:tcW w:type="dxa" w:w="1682"/>
          </w:tcPr>
          <w:p>
            <w:r>
              <w:rPr>
                <w:sz w:val="16"/>
              </w:rPr>
              <w:t>Modelo obra/partida/tiempo y contrato</w:t>
            </w:r>
          </w:p>
        </w:tc>
        <w:tc>
          <w:tcPr>
            <w:tcW w:type="dxa" w:w="1682"/>
          </w:tcPr>
          <w:p>
            <w:r>
              <w:rPr>
                <w:sz w:val="16"/>
              </w:rPr>
              <w:t>Planillas separadas, esquema genérico</w:t>
            </w:r>
          </w:p>
        </w:tc>
        <w:tc>
          <w:tcPr>
            <w:tcW w:type="dxa" w:w="1682"/>
          </w:tcPr>
          <w:p>
            <w:r>
              <w:rPr>
                <w:sz w:val="16"/>
              </w:rPr>
              <w:t>Homologación necesaria vs indicadores comparables</w:t>
            </w:r>
          </w:p>
        </w:tc>
        <w:tc>
          <w:tcPr>
            <w:tcW w:type="dxa" w:w="1682"/>
          </w:tcPr>
          <w:p>
            <w:r>
              <w:rPr>
                <w:sz w:val="16"/>
              </w:rPr>
              <w:t>P-01; Thoughtworks (2025); H1-v1.2 pendiente</w:t>
            </w:r>
          </w:p>
        </w:tc>
        <w:tc>
          <w:tcPr>
            <w:tcW w:type="dxa" w:w="1682"/>
          </w:tcPr>
          <w:p>
            <w:r>
              <w:rPr>
                <w:sz w:val="16"/>
              </w:rPr>
              <w:t>Costos aprueba unidades/granularidad; no afirmar modelo desplegado</w:t>
            </w:r>
          </w:p>
        </w:tc>
      </w:tr>
      <w:tr>
        <w:trPr>
          <w:cantSplit/>
        </w:trPr>
        <w:tc>
          <w:tcPr>
            <w:tcW w:type="dxa" w:w="1682"/>
          </w:tcPr>
          <w:p>
            <w:r>
              <w:rPr>
                <w:sz w:val="16"/>
              </w:rPr>
              <w:t>ADR-05</w:t>
            </w:r>
          </w:p>
        </w:tc>
        <w:tc>
          <w:tcPr>
            <w:tcW w:type="dxa" w:w="1682"/>
          </w:tcPr>
          <w:p>
            <w:r>
              <w:rPr>
                <w:sz w:val="16"/>
              </w:rPr>
              <w:t>BI local; compartir condicionado</w:t>
            </w:r>
          </w:p>
        </w:tc>
        <w:tc>
          <w:tcPr>
            <w:tcW w:type="dxa" w:w="1682"/>
          </w:tcPr>
          <w:p>
            <w:r>
              <w:rPr>
                <w:sz w:val="16"/>
              </w:rPr>
              <w:t>Tablero ERP, autoalojado, Service</w:t>
            </w:r>
          </w:p>
        </w:tc>
        <w:tc>
          <w:tcPr>
            <w:tcW w:type="dxa" w:w="1682"/>
          </w:tcPr>
          <w:p>
            <w:r>
              <w:rPr>
                <w:sz w:val="16"/>
              </w:rPr>
              <w:t>Menos operación de presentación vs costo/flujo externo</w:t>
            </w:r>
          </w:p>
        </w:tc>
        <w:tc>
          <w:tcPr>
            <w:tcW w:type="dxa" w:w="1682"/>
          </w:tcPr>
          <w:p>
            <w:r>
              <w:rPr>
                <w:sz w:val="16"/>
              </w:rPr>
              <w:t>H3 pendiente; Microsoft (2026a, 2026b)</w:t>
            </w:r>
          </w:p>
        </w:tc>
        <w:tc>
          <w:tcPr>
            <w:tcW w:type="dxa" w:w="1682"/>
          </w:tcPr>
          <w:p>
            <w:r>
              <w:rPr>
                <w:sz w:val="16"/>
              </w:rPr>
              <w:t>Licencias, permisos, piloto y revisión</w:t>
            </w:r>
          </w:p>
        </w:tc>
      </w:tr>
      <w:tr>
        <w:trPr>
          <w:cantSplit/>
        </w:trPr>
        <w:tc>
          <w:tcPr>
            <w:tcW w:type="dxa" w:w="1682"/>
          </w:tcPr>
          <w:p>
            <w:r>
              <w:rPr>
                <w:sz w:val="16"/>
              </w:rPr>
              <w:t>ADR-06</w:t>
            </w:r>
          </w:p>
        </w:tc>
        <w:tc>
          <w:tcPr>
            <w:tcW w:type="dxa" w:w="1682"/>
          </w:tcPr>
          <w:p>
            <w:r>
              <w:rPr>
                <w:sz w:val="16"/>
              </w:rPr>
              <w:t>Logs, pruebas y revisión desde piloto</w:t>
            </w:r>
          </w:p>
        </w:tc>
        <w:tc>
          <w:tcPr>
            <w:tcW w:type="dxa" w:w="1682"/>
          </w:tcPr>
          <w:p>
            <w:r>
              <w:rPr>
                <w:sz w:val="16"/>
              </w:rPr>
              <w:t>Informalidad, stack completo</w:t>
            </w:r>
          </w:p>
        </w:tc>
        <w:tc>
          <w:tcPr>
            <w:tcW w:type="dxa" w:w="1682"/>
          </w:tcPr>
          <w:p>
            <w:r>
              <w:rPr>
                <w:sz w:val="16"/>
              </w:rPr>
              <w:t>Menor automatización inicial vs mantenibilidad</w:t>
            </w:r>
          </w:p>
        </w:tc>
        <w:tc>
          <w:tcPr>
            <w:tcW w:type="dxa" w:w="1682"/>
          </w:tcPr>
          <w:p>
            <w:r>
              <w:rPr>
                <w:sz w:val="16"/>
              </w:rPr>
              <w:t>DT-07/08; SSDF 1.1 final</w:t>
            </w:r>
          </w:p>
        </w:tc>
        <w:tc>
          <w:tcPr>
            <w:tcW w:type="dxa" w:w="1682"/>
          </w:tcPr>
          <w:p>
            <w:r>
              <w:rPr>
                <w:sz w:val="16"/>
              </w:rPr>
              <w:t>Responsable operativo por designar</w:t>
            </w:r>
          </w:p>
        </w:tc>
      </w:tr>
    </w:tbl>
    <w:p/>
    <w:p>
      <w:r>
        <w:rPr>
          <w:b w:val="0"/>
        </w:rPr>
        <w:t>Fecha documental 25/10/2026; aprobación del equipo pendiente. Las decisiones son propuestas académicas, no cambios empresariales ejecutados. Las ADR v1.1 se preservan; no se cambia su función por popularidad tecnológica.</w:t>
      </w:r>
    </w:p>
    <w:p>
      <w:pPr>
        <w:pStyle w:val="Heading2"/>
      </w:pPr>
      <w:r>
        <w:t>9. Dependencias, riesgos y coherencia progresiva</w:t>
      </w:r>
    </w:p>
    <w:p>
      <w:r>
        <w:drawing>
          <wp:inline xmlns:a="http://schemas.openxmlformats.org/drawingml/2006/main" xmlns:pic="http://schemas.openxmlformats.org/drawingml/2006/picture">
            <wp:extent cx="6372000" cy="4151455"/>
            <wp:docPr id="4" name="Picture 4"/>
            <wp:cNvGraphicFramePr>
              <a:graphicFrameLocks noChangeAspect="1"/>
            </wp:cNvGraphicFramePr>
            <a:graphic>
              <a:graphicData uri="http://schemas.openxmlformats.org/drawingml/2006/picture">
                <pic:pic>
                  <pic:nvPicPr>
                    <pic:cNvPr id="0" name="figura-04-mapa-de-dependencias.png"/>
                    <pic:cNvPicPr/>
                  </pic:nvPicPr>
                  <pic:blipFill>
                    <a:blip r:embed="rId12"/>
                    <a:stretch>
                      <a:fillRect/>
                    </a:stretch>
                  </pic:blipFill>
                  <pic:spPr>
                    <a:xfrm>
                      <a:off x="0" y="0"/>
                      <a:ext cx="6372000" cy="4151455"/>
                    </a:xfrm>
                    <a:prstGeom prst="rect"/>
                  </pic:spPr>
                </pic:pic>
              </a:graphicData>
            </a:graphic>
          </wp:inline>
        </w:drawing>
      </w:r>
    </w:p>
    <w:p>
      <w:pPr>
        <w:pStyle w:val="Caption"/>
      </w:pPr>
      <w:r>
        <w:t>Figura 4. Prerrequisitos del TO-BE, no ruta crítica calculada. Elaboración propia, Grupo 1, S5, v1.2, 25/10/2026.</w:t>
      </w:r>
    </w:p>
    <w:tbl>
      <w:tblPr>
        <w:tblStyle w:val="LightShading-Accent1"/>
        <w:tblW w:type="auto" w:w="0"/>
        <w:tblLook w:firstColumn="1" w:firstRow="1" w:lastColumn="0" w:lastRow="0" w:noHBand="0" w:noVBand="1" w:val="04A0"/>
      </w:tblPr>
      <w:tblGrid>
        <w:gridCol w:w="2018"/>
        <w:gridCol w:w="2018"/>
        <w:gridCol w:w="2018"/>
        <w:gridCol w:w="2018"/>
        <w:gridCol w:w="2018"/>
      </w:tblGrid>
      <w:tr>
        <w:trPr>
          <w:tblHeader/>
          <w:cantSplit/>
        </w:trPr>
        <w:tc>
          <w:tcPr>
            <w:tcW w:type="dxa" w:w="2018"/>
          </w:tcPr>
          <w:p>
            <w:r>
              <w:rPr>
                <w:sz w:val="16"/>
              </w:rPr>
              <w:t>ID</w:t>
            </w:r>
          </w:p>
        </w:tc>
        <w:tc>
          <w:tcPr>
            <w:tcW w:type="dxa" w:w="2018"/>
          </w:tcPr>
          <w:p>
            <w:r>
              <w:rPr>
                <w:sz w:val="16"/>
              </w:rPr>
              <w:t>Habilitador</w:t>
            </w:r>
          </w:p>
        </w:tc>
        <w:tc>
          <w:tcPr>
            <w:tcW w:type="dxa" w:w="2018"/>
          </w:tcPr>
          <w:p>
            <w:r>
              <w:rPr>
                <w:sz w:val="16"/>
              </w:rPr>
              <w:t>Depende de</w:t>
            </w:r>
          </w:p>
        </w:tc>
        <w:tc>
          <w:tcPr>
            <w:tcW w:type="dxa" w:w="2018"/>
          </w:tcPr>
          <w:p>
            <w:r>
              <w:rPr>
                <w:sz w:val="16"/>
              </w:rPr>
              <w:t>Criterio de avance</w:t>
            </w:r>
          </w:p>
        </w:tc>
        <w:tc>
          <w:tcPr>
            <w:tcW w:type="dxa" w:w="2018"/>
          </w:tcPr>
          <w:p>
            <w:r>
              <w:rPr>
                <w:sz w:val="16"/>
              </w:rPr>
              <w:t>Responsable propuesto</w:t>
            </w:r>
          </w:p>
        </w:tc>
      </w:tr>
      <w:tr>
        <w:trPr>
          <w:cantSplit/>
        </w:trPr>
        <w:tc>
          <w:tcPr>
            <w:tcW w:type="dxa" w:w="2018"/>
          </w:tcPr>
          <w:p>
            <w:r>
              <w:rPr>
                <w:sz w:val="16"/>
              </w:rPr>
              <w:t>F-01</w:t>
            </w:r>
          </w:p>
        </w:tc>
        <w:tc>
          <w:tcPr>
            <w:tcW w:type="dxa" w:w="2018"/>
          </w:tcPr>
          <w:p>
            <w:r>
              <w:rPr>
                <w:sz w:val="16"/>
              </w:rPr>
              <w:t>Alcance y datos</w:t>
            </w:r>
          </w:p>
        </w:tc>
        <w:tc>
          <w:tcPr>
            <w:tcW w:type="dxa" w:w="2018"/>
          </w:tcPr>
          <w:p>
            <w:r>
              <w:rPr>
                <w:sz w:val="16"/>
              </w:rPr>
              <w:t>—</w:t>
            </w:r>
          </w:p>
        </w:tc>
        <w:tc>
          <w:tcPr>
            <w:tcW w:type="dxa" w:w="2018"/>
          </w:tcPr>
          <w:p>
            <w:r>
              <w:rPr>
                <w:sz w:val="16"/>
              </w:rPr>
              <w:t>Validación humana y política</w:t>
            </w:r>
          </w:p>
        </w:tc>
        <w:tc>
          <w:tcPr>
            <w:tcW w:type="dxa" w:w="2018"/>
          </w:tcPr>
          <w:p>
            <w:r>
              <w:rPr>
                <w:sz w:val="16"/>
              </w:rPr>
              <w:t>Equipo/Gerencia</w:t>
            </w:r>
          </w:p>
        </w:tc>
      </w:tr>
      <w:tr>
        <w:trPr>
          <w:cantSplit/>
        </w:trPr>
        <w:tc>
          <w:tcPr>
            <w:tcW w:type="dxa" w:w="2018"/>
          </w:tcPr>
          <w:p>
            <w:r>
              <w:rPr>
                <w:sz w:val="16"/>
              </w:rPr>
              <w:t>E-1</w:t>
            </w:r>
          </w:p>
        </w:tc>
        <w:tc>
          <w:tcPr>
            <w:tcW w:type="dxa" w:w="2018"/>
          </w:tcPr>
          <w:p>
            <w:r>
              <w:rPr>
                <w:sz w:val="16"/>
              </w:rPr>
              <w:t>Formación mínima</w:t>
            </w:r>
          </w:p>
        </w:tc>
        <w:tc>
          <w:tcPr>
            <w:tcW w:type="dxa" w:w="2018"/>
          </w:tcPr>
          <w:p>
            <w:r>
              <w:rPr>
                <w:sz w:val="16"/>
              </w:rPr>
              <w:t>F-01</w:t>
            </w:r>
          </w:p>
        </w:tc>
        <w:tc>
          <w:tcPr>
            <w:tcW w:type="dxa" w:w="2018"/>
          </w:tcPr>
          <w:p>
            <w:r>
              <w:rPr>
                <w:sz w:val="16"/>
              </w:rPr>
              <w:t>Evaluación de skills y guía</w:t>
            </w:r>
          </w:p>
        </w:tc>
        <w:tc>
          <w:tcPr>
            <w:tcW w:type="dxa" w:w="2018"/>
          </w:tcPr>
          <w:p>
            <w:r>
              <w:rPr>
                <w:sz w:val="16"/>
              </w:rPr>
              <w:t>TI/Costos</w:t>
            </w:r>
          </w:p>
        </w:tc>
      </w:tr>
      <w:tr>
        <w:trPr>
          <w:cantSplit/>
        </w:trPr>
        <w:tc>
          <w:tcPr>
            <w:tcW w:type="dxa" w:w="2018"/>
          </w:tcPr>
          <w:p>
            <w:r>
              <w:rPr>
                <w:sz w:val="16"/>
              </w:rPr>
              <w:t>E-2</w:t>
            </w:r>
          </w:p>
        </w:tc>
        <w:tc>
          <w:tcPr>
            <w:tcW w:type="dxa" w:w="2018"/>
          </w:tcPr>
          <w:p>
            <w:r>
              <w:rPr>
                <w:sz w:val="16"/>
              </w:rPr>
              <w:t>Contrato de datos</w:t>
            </w:r>
          </w:p>
        </w:tc>
        <w:tc>
          <w:tcPr>
            <w:tcW w:type="dxa" w:w="2018"/>
          </w:tcPr>
          <w:p>
            <w:r>
              <w:rPr>
                <w:sz w:val="16"/>
              </w:rPr>
              <w:t>F-01</w:t>
            </w:r>
          </w:p>
        </w:tc>
        <w:tc>
          <w:tcPr>
            <w:tcW w:type="dxa" w:w="2018"/>
          </w:tcPr>
          <w:p>
            <w:r>
              <w:rPr>
                <w:sz w:val="16"/>
              </w:rPr>
              <w:t>IDs/unidades/granularidad/permisos</w:t>
            </w:r>
          </w:p>
        </w:tc>
        <w:tc>
          <w:tcPr>
            <w:tcW w:type="dxa" w:w="2018"/>
          </w:tcPr>
          <w:p>
            <w:r>
              <w:rPr>
                <w:sz w:val="16"/>
              </w:rPr>
              <w:t>Costos/datos</w:t>
            </w:r>
          </w:p>
        </w:tc>
      </w:tr>
      <w:tr>
        <w:trPr>
          <w:cantSplit/>
        </w:trPr>
        <w:tc>
          <w:tcPr>
            <w:tcW w:type="dxa" w:w="2018"/>
          </w:tcPr>
          <w:p>
            <w:r>
              <w:rPr>
                <w:sz w:val="16"/>
              </w:rPr>
              <w:t>E-3</w:t>
            </w:r>
          </w:p>
        </w:tc>
        <w:tc>
          <w:tcPr>
            <w:tcW w:type="dxa" w:w="2018"/>
          </w:tcPr>
          <w:p>
            <w:r>
              <w:rPr>
                <w:sz w:val="16"/>
              </w:rPr>
              <w:t>Extracto aislado</w:t>
            </w:r>
          </w:p>
        </w:tc>
        <w:tc>
          <w:tcPr>
            <w:tcW w:type="dxa" w:w="2018"/>
          </w:tcPr>
          <w:p>
            <w:r>
              <w:rPr>
                <w:sz w:val="16"/>
              </w:rPr>
              <w:t>E-2</w:t>
            </w:r>
          </w:p>
        </w:tc>
        <w:tc>
          <w:tcPr>
            <w:tcW w:type="dxa" w:w="2018"/>
          </w:tcPr>
          <w:p>
            <w:r>
              <w:rPr>
                <w:sz w:val="16"/>
              </w:rPr>
              <w:t>Manifiesto, separación de objetivos futuros</w:t>
            </w:r>
          </w:p>
        </w:tc>
        <w:tc>
          <w:tcPr>
            <w:tcW w:type="dxa" w:w="2018"/>
          </w:tcPr>
          <w:p>
            <w:r>
              <w:rPr>
                <w:sz w:val="16"/>
              </w:rPr>
              <w:t>TI</w:t>
            </w:r>
          </w:p>
        </w:tc>
      </w:tr>
      <w:tr>
        <w:trPr>
          <w:cantSplit/>
        </w:trPr>
        <w:tc>
          <w:tcPr>
            <w:tcW w:type="dxa" w:w="2018"/>
          </w:tcPr>
          <w:p>
            <w:r>
              <w:rPr>
                <w:sz w:val="16"/>
              </w:rPr>
              <w:t>E-4</w:t>
            </w:r>
          </w:p>
        </w:tc>
        <w:tc>
          <w:tcPr>
            <w:tcW w:type="dxa" w:w="2018"/>
          </w:tcPr>
          <w:p>
            <w:r>
              <w:rPr>
                <w:sz w:val="16"/>
              </w:rPr>
              <w:t>Validación y carga</w:t>
            </w:r>
          </w:p>
        </w:tc>
        <w:tc>
          <w:tcPr>
            <w:tcW w:type="dxa" w:w="2018"/>
          </w:tcPr>
          <w:p>
            <w:r>
              <w:rPr>
                <w:sz w:val="16"/>
              </w:rPr>
              <w:t>E-3</w:t>
            </w:r>
          </w:p>
        </w:tc>
        <w:tc>
          <w:tcPr>
            <w:tcW w:type="dxa" w:w="2018"/>
          </w:tcPr>
          <w:p>
            <w:r>
              <w:rPr>
                <w:sz w:val="16"/>
              </w:rPr>
              <w:t>Pruebas, conciliación y repetición</w:t>
            </w:r>
          </w:p>
        </w:tc>
        <w:tc>
          <w:tcPr>
            <w:tcW w:type="dxa" w:w="2018"/>
          </w:tcPr>
          <w:p>
            <w:r>
              <w:rPr>
                <w:sz w:val="16"/>
              </w:rPr>
              <w:t>TI</w:t>
            </w:r>
          </w:p>
        </w:tc>
      </w:tr>
      <w:tr>
        <w:trPr>
          <w:cantSplit/>
        </w:trPr>
        <w:tc>
          <w:tcPr>
            <w:tcW w:type="dxa" w:w="2018"/>
          </w:tcPr>
          <w:p>
            <w:r>
              <w:rPr>
                <w:sz w:val="16"/>
              </w:rPr>
              <w:t>E-5</w:t>
            </w:r>
          </w:p>
        </w:tc>
        <w:tc>
          <w:tcPr>
            <w:tcW w:type="dxa" w:w="2018"/>
          </w:tcPr>
          <w:p>
            <w:r>
              <w:rPr>
                <w:sz w:val="16"/>
              </w:rPr>
              <w:t>Modelo separado</w:t>
            </w:r>
          </w:p>
        </w:tc>
        <w:tc>
          <w:tcPr>
            <w:tcW w:type="dxa" w:w="2018"/>
          </w:tcPr>
          <w:p>
            <w:r>
              <w:rPr>
                <w:sz w:val="16"/>
              </w:rPr>
              <w:t>E-4</w:t>
            </w:r>
          </w:p>
        </w:tc>
        <w:tc>
          <w:tcPr>
            <w:tcW w:type="dxa" w:w="2018"/>
          </w:tcPr>
          <w:p>
            <w:r>
              <w:rPr>
                <w:sz w:val="16"/>
              </w:rPr>
              <w:t>Hechos y fórmulas revisados</w:t>
            </w:r>
          </w:p>
        </w:tc>
        <w:tc>
          <w:tcPr>
            <w:tcW w:type="dxa" w:w="2018"/>
          </w:tcPr>
          <w:p>
            <w:r>
              <w:rPr>
                <w:sz w:val="16"/>
              </w:rPr>
              <w:t>TI/Costos</w:t>
            </w:r>
          </w:p>
        </w:tc>
      </w:tr>
      <w:tr>
        <w:trPr>
          <w:cantSplit/>
        </w:trPr>
        <w:tc>
          <w:tcPr>
            <w:tcW w:type="dxa" w:w="2018"/>
          </w:tcPr>
          <w:p>
            <w:r>
              <w:rPr>
                <w:sz w:val="16"/>
              </w:rPr>
              <w:t>E-6</w:t>
            </w:r>
          </w:p>
        </w:tc>
        <w:tc>
          <w:tcPr>
            <w:tcW w:type="dxa" w:w="2018"/>
          </w:tcPr>
          <w:p>
            <w:r>
              <w:rPr>
                <w:sz w:val="16"/>
              </w:rPr>
              <w:t>BI y permisos</w:t>
            </w:r>
          </w:p>
        </w:tc>
        <w:tc>
          <w:tcPr>
            <w:tcW w:type="dxa" w:w="2018"/>
          </w:tcPr>
          <w:p>
            <w:r>
              <w:rPr>
                <w:sz w:val="16"/>
              </w:rPr>
              <w:t>E-5, E-1</w:t>
            </w:r>
          </w:p>
        </w:tc>
        <w:tc>
          <w:tcPr>
            <w:tcW w:type="dxa" w:w="2018"/>
          </w:tcPr>
          <w:p>
            <w:r>
              <w:rPr>
                <w:sz w:val="16"/>
              </w:rPr>
              <w:t>Casos de uso/acceso revisados</w:t>
            </w:r>
          </w:p>
        </w:tc>
        <w:tc>
          <w:tcPr>
            <w:tcW w:type="dxa" w:w="2018"/>
          </w:tcPr>
          <w:p>
            <w:r>
              <w:rPr>
                <w:sz w:val="16"/>
              </w:rPr>
              <w:t>Costos/TI</w:t>
            </w:r>
          </w:p>
        </w:tc>
      </w:tr>
      <w:tr>
        <w:trPr>
          <w:cantSplit/>
        </w:trPr>
        <w:tc>
          <w:tcPr>
            <w:tcW w:type="dxa" w:w="2018"/>
          </w:tcPr>
          <w:p>
            <w:r>
              <w:rPr>
                <w:sz w:val="16"/>
              </w:rPr>
              <w:t>E-7</w:t>
            </w:r>
          </w:p>
        </w:tc>
        <w:tc>
          <w:tcPr>
            <w:tcW w:type="dxa" w:w="2018"/>
          </w:tcPr>
          <w:p>
            <w:r>
              <w:rPr>
                <w:sz w:val="16"/>
              </w:rPr>
              <w:t>Logs/recuperación</w:t>
            </w:r>
          </w:p>
        </w:tc>
        <w:tc>
          <w:tcPr>
            <w:tcW w:type="dxa" w:w="2018"/>
          </w:tcPr>
          <w:p>
            <w:r>
              <w:rPr>
                <w:sz w:val="16"/>
              </w:rPr>
              <w:t>E-4</w:t>
            </w:r>
          </w:p>
        </w:tc>
        <w:tc>
          <w:tcPr>
            <w:tcW w:type="dxa" w:w="2018"/>
          </w:tcPr>
          <w:p>
            <w:r>
              <w:rPr>
                <w:sz w:val="16"/>
              </w:rPr>
              <w:t>Fallo visible y repetición ensayada</w:t>
            </w:r>
          </w:p>
        </w:tc>
        <w:tc>
          <w:tcPr>
            <w:tcW w:type="dxa" w:w="2018"/>
          </w:tcPr>
          <w:p>
            <w:r>
              <w:rPr>
                <w:sz w:val="16"/>
              </w:rPr>
              <w:t>TI</w:t>
            </w:r>
          </w:p>
        </w:tc>
      </w:tr>
      <w:tr>
        <w:trPr>
          <w:cantSplit/>
        </w:trPr>
        <w:tc>
          <w:tcPr>
            <w:tcW w:type="dxa" w:w="2018"/>
          </w:tcPr>
          <w:p>
            <w:r>
              <w:rPr>
                <w:sz w:val="16"/>
              </w:rPr>
              <w:t>E-8</w:t>
            </w:r>
          </w:p>
        </w:tc>
        <w:tc>
          <w:tcPr>
            <w:tcW w:type="dxa" w:w="2018"/>
          </w:tcPr>
          <w:p>
            <w:r>
              <w:rPr>
                <w:sz w:val="16"/>
              </w:rPr>
              <w:t>Pruebas/revisión</w:t>
            </w:r>
          </w:p>
        </w:tc>
        <w:tc>
          <w:tcPr>
            <w:tcW w:type="dxa" w:w="2018"/>
          </w:tcPr>
          <w:p>
            <w:r>
              <w:rPr>
                <w:sz w:val="16"/>
              </w:rPr>
              <w:t>E-2</w:t>
            </w:r>
          </w:p>
        </w:tc>
        <w:tc>
          <w:tcPr>
            <w:tcW w:type="dxa" w:w="2018"/>
          </w:tcPr>
          <w:p>
            <w:r>
              <w:rPr>
                <w:sz w:val="16"/>
              </w:rPr>
              <w:t>Versionado y pruebas; no depende de Airflow</w:t>
            </w:r>
          </w:p>
        </w:tc>
        <w:tc>
          <w:tcPr>
            <w:tcW w:type="dxa" w:w="2018"/>
          </w:tcPr>
          <w:p>
            <w:r>
              <w:rPr>
                <w:sz w:val="16"/>
              </w:rPr>
              <w:t>TI/revisor</w:t>
            </w:r>
          </w:p>
        </w:tc>
      </w:tr>
      <w:tr>
        <w:trPr>
          <w:cantSplit/>
        </w:trPr>
        <w:tc>
          <w:tcPr>
            <w:tcW w:type="dxa" w:w="2018"/>
          </w:tcPr>
          <w:p>
            <w:r>
              <w:rPr>
                <w:sz w:val="16"/>
              </w:rPr>
              <w:t>E-9</w:t>
            </w:r>
          </w:p>
        </w:tc>
        <w:tc>
          <w:tcPr>
            <w:tcW w:type="dxa" w:w="2018"/>
          </w:tcPr>
          <w:p>
            <w:r>
              <w:rPr>
                <w:sz w:val="16"/>
              </w:rPr>
              <w:t>Evaluación del piloto</w:t>
            </w:r>
          </w:p>
        </w:tc>
        <w:tc>
          <w:tcPr>
            <w:tcW w:type="dxa" w:w="2018"/>
          </w:tcPr>
          <w:p>
            <w:r>
              <w:rPr>
                <w:sz w:val="16"/>
              </w:rPr>
              <w:t>E-6, E-7, E-8</w:t>
            </w:r>
          </w:p>
        </w:tc>
        <w:tc>
          <w:tcPr>
            <w:tcW w:type="dxa" w:w="2018"/>
          </w:tcPr>
          <w:p>
            <w:r>
              <w:rPr>
                <w:sz w:val="16"/>
              </w:rPr>
              <w:t>Medir H1-v1.2/H2/H3 antes de escalar</w:t>
            </w:r>
          </w:p>
        </w:tc>
        <w:tc>
          <w:tcPr>
            <w:tcW w:type="dxa" w:w="2018"/>
          </w:tcPr>
          <w:p>
            <w:r>
              <w:rPr>
                <w:sz w:val="16"/>
              </w:rPr>
              <w:t>Costos/equipo</w:t>
            </w:r>
          </w:p>
        </w:tc>
      </w:tr>
      <w:tr>
        <w:trPr>
          <w:cantSplit/>
        </w:trPr>
        <w:tc>
          <w:tcPr>
            <w:tcW w:type="dxa" w:w="2018"/>
          </w:tcPr>
          <w:p>
            <w:r>
              <w:rPr>
                <w:sz w:val="16"/>
              </w:rPr>
              <w:t>E-10</w:t>
            </w:r>
          </w:p>
        </w:tc>
        <w:tc>
          <w:tcPr>
            <w:tcW w:type="dxa" w:w="2018"/>
          </w:tcPr>
          <w:p>
            <w:r>
              <w:rPr>
                <w:sz w:val="16"/>
              </w:rPr>
              <w:t>Revisar Radar/arquitectura</w:t>
            </w:r>
          </w:p>
        </w:tc>
        <w:tc>
          <w:tcPr>
            <w:tcW w:type="dxa" w:w="2018"/>
          </w:tcPr>
          <w:p>
            <w:r>
              <w:rPr>
                <w:sz w:val="16"/>
              </w:rPr>
              <w:t>E-9</w:t>
            </w:r>
          </w:p>
        </w:tc>
        <w:tc>
          <w:tcPr>
            <w:tcW w:type="dxa" w:w="2018"/>
          </w:tcPr>
          <w:p>
            <w:r>
              <w:rPr>
                <w:sz w:val="16"/>
              </w:rPr>
              <w:t>Continuar/modificar/detener documentado</w:t>
            </w:r>
          </w:p>
        </w:tc>
        <w:tc>
          <w:tcPr>
            <w:tcW w:type="dxa" w:w="2018"/>
          </w:tcPr>
          <w:p>
            <w:r>
              <w:rPr>
                <w:sz w:val="16"/>
              </w:rPr>
              <w:t>Equipo</w:t>
            </w:r>
          </w:p>
        </w:tc>
      </w:tr>
    </w:tbl>
    <w:p/>
    <w:p>
      <w:r>
        <w:rPr>
          <w:b w:val="0"/>
        </w:rPr>
        <w:t>No hay duraciones estimadas para una ruta crítica. E-1/E-8 empiezan temprano; cuatro semanas de H2 son presupuesto de esfuerzo, no cronograma global.</w:t>
      </w:r>
    </w:p>
    <w:p>
      <w:r>
        <w:rPr>
          <w:b w:val="0"/>
        </w:rPr>
        <w:t>Riesgos R-01 calidad: contrato y conciliación; R-02 sobreingeniería: base mínima; R-03 carga ERP: ventana y medición; R-04 acceso: mínimo privilegio; R-05 IA incorrecta: revisión humana; R-06 fuga/inyección: datos autorizados y herramientas acotadas; R-07 skills: evaluación y formación; R-08 costo: licencia/presupuesto antes de compartir; R-09 confidencialidad: sintéticos; R-10 baja adopción: co-diseño y H3. Responsables propuestos: Costos/datos para R-01/10, TI para R-02/03/07, seguridad/TI para R-04/06/09, revisor de negocio para R-05 y Administración para R-08. No se asignan probabilidades ni eficacia real sin evidencia.</w:t>
      </w:r>
    </w:p>
    <w:tbl>
      <w:tblPr>
        <w:tblStyle w:val="LightShading-Accent1"/>
        <w:tblW w:type="auto" w:w="0"/>
        <w:tblLook w:firstColumn="1" w:firstRow="1" w:lastColumn="0" w:lastRow="0" w:noHBand="0" w:noVBand="1" w:val="04A0"/>
      </w:tblPr>
      <w:tblGrid>
        <w:gridCol w:w="3364"/>
        <w:gridCol w:w="3364"/>
        <w:gridCol w:w="3364"/>
      </w:tblGrid>
      <w:tr>
        <w:trPr>
          <w:tblHeader/>
          <w:cantSplit/>
        </w:trPr>
        <w:tc>
          <w:tcPr>
            <w:tcW w:type="dxa" w:w="3364"/>
          </w:tcPr>
          <w:p>
            <w:r>
              <w:rPr>
                <w:sz w:val="16"/>
              </w:rPr>
              <w:t>Vínculo</w:t>
            </w:r>
          </w:p>
        </w:tc>
        <w:tc>
          <w:tcPr>
            <w:tcW w:type="dxa" w:w="3364"/>
          </w:tcPr>
          <w:p>
            <w:r>
              <w:rPr>
                <w:sz w:val="16"/>
              </w:rPr>
              <w:t>Evidencia de coherencia</w:t>
            </w:r>
          </w:p>
        </w:tc>
        <w:tc>
          <w:tcPr>
            <w:tcW w:type="dxa" w:w="3364"/>
          </w:tcPr>
          <w:p>
            <w:r>
              <w:rPr>
                <w:sz w:val="16"/>
              </w:rPr>
              <w:t>Límite</w:t>
            </w:r>
          </w:p>
        </w:tc>
      </w:tr>
      <w:tr>
        <w:trPr>
          <w:cantSplit/>
        </w:trPr>
        <w:tc>
          <w:tcPr>
            <w:tcW w:type="dxa" w:w="3364"/>
          </w:tcPr>
          <w:p>
            <w:r>
              <w:rPr>
                <w:sz w:val="16"/>
              </w:rPr>
              <w:t>S1 → S2</w:t>
            </w:r>
          </w:p>
        </w:tc>
        <w:tc>
          <w:tcPr>
            <w:tcW w:type="dxa" w:w="3364"/>
          </w:tcPr>
          <w:p>
            <w:r>
              <w:rPr>
                <w:sz w:val="16"/>
              </w:rPr>
              <w:t>Brecha de históricos → P-01, no nuevos ingresos ficticios</w:t>
            </w:r>
          </w:p>
        </w:tc>
        <w:tc>
          <w:tcPr>
            <w:tcW w:type="dxa" w:w="3364"/>
          </w:tcPr>
          <w:p>
            <w:r>
              <w:rPr>
                <w:sz w:val="16"/>
              </w:rPr>
              <w:t>P-02/03 no se fuerzan al primer piloto</w:t>
            </w:r>
          </w:p>
        </w:tc>
      </w:tr>
      <w:tr>
        <w:trPr>
          <w:cantSplit/>
        </w:trPr>
        <w:tc>
          <w:tcPr>
            <w:tcW w:type="dxa" w:w="3364"/>
          </w:tcPr>
          <w:p>
            <w:r>
              <w:rPr>
                <w:sz w:val="16"/>
              </w:rPr>
              <w:t>S2 → S3</w:t>
            </w:r>
          </w:p>
        </w:tc>
        <w:tc>
          <w:tcPr>
            <w:tcW w:type="dxa" w:w="3364"/>
          </w:tcPr>
          <w:p>
            <w:r>
              <w:rPr>
                <w:sz w:val="16"/>
              </w:rPr>
              <w:t>Catálogo/datos requieren Costos, Logística y formación</w:t>
            </w:r>
          </w:p>
        </w:tc>
        <w:tc>
          <w:tcPr>
            <w:tcW w:type="dxa" w:w="3364"/>
          </w:tcPr>
          <w:p>
            <w:r>
              <w:rPr>
                <w:sz w:val="16"/>
              </w:rPr>
              <w:t>Capacidad real y aprobación ND</w:t>
            </w:r>
          </w:p>
        </w:tc>
      </w:tr>
      <w:tr>
        <w:trPr>
          <w:cantSplit/>
        </w:trPr>
        <w:tc>
          <w:tcPr>
            <w:tcW w:type="dxa" w:w="3364"/>
          </w:tcPr>
          <w:p>
            <w:r>
              <w:rPr>
                <w:sz w:val="16"/>
              </w:rPr>
              <w:t>S3 → S4</w:t>
            </w:r>
          </w:p>
        </w:tc>
        <w:tc>
          <w:tcPr>
            <w:tcW w:type="dxa" w:w="3364"/>
          </w:tcPr>
          <w:p>
            <w:r>
              <w:rPr>
                <w:sz w:val="16"/>
              </w:rPr>
              <w:t>Experimento sintético aislado; no requiere entrevistas/productivo</w:t>
            </w:r>
          </w:p>
        </w:tc>
        <w:tc>
          <w:tcPr>
            <w:tcW w:type="dxa" w:w="3364"/>
          </w:tcPr>
          <w:p>
            <w:r>
              <w:rPr>
                <w:sz w:val="16"/>
              </w:rPr>
              <w:t>Piloto humano futuro condicionado</w:t>
            </w:r>
          </w:p>
        </w:tc>
      </w:tr>
      <w:tr>
        <w:trPr>
          <w:cantSplit/>
        </w:trPr>
        <w:tc>
          <w:tcPr>
            <w:tcW w:type="dxa" w:w="3364"/>
          </w:tcPr>
          <w:p>
            <w:r>
              <w:rPr>
                <w:sz w:val="16"/>
              </w:rPr>
              <w:t>S4 → S5</w:t>
            </w:r>
          </w:p>
        </w:tc>
        <w:tc>
          <w:tcPr>
            <w:tcW w:type="dxa" w:w="3364"/>
          </w:tcPr>
          <w:p>
            <w:r>
              <w:rPr>
                <w:sz w:val="16"/>
              </w:rPr>
              <w:t>Staging/modelo apoyan H1; flujo completo H2; tablero/feedback H3</w:t>
            </w:r>
          </w:p>
        </w:tc>
        <w:tc>
          <w:tcPr>
            <w:tcW w:type="dxa" w:w="3364"/>
          </w:tcPr>
          <w:p>
            <w:r>
              <w:rPr>
                <w:sz w:val="16"/>
              </w:rPr>
              <w:t>Arquitectura diseñada no prueba hipótesis</w:t>
            </w:r>
          </w:p>
        </w:tc>
      </w:tr>
      <w:tr>
        <w:trPr>
          <w:cantSplit/>
        </w:trPr>
        <w:tc>
          <w:tcPr>
            <w:tcW w:type="dxa" w:w="3364"/>
          </w:tcPr>
          <w:p>
            <w:r>
              <w:rPr>
                <w:sz w:val="16"/>
              </w:rPr>
              <w:t>S1 → S5</w:t>
            </w:r>
          </w:p>
        </w:tc>
        <w:tc>
          <w:tcPr>
            <w:tcW w:type="dxa" w:w="3364"/>
          </w:tcPr>
          <w:p>
            <w:r>
              <w:rPr>
                <w:sz w:val="16"/>
              </w:rPr>
              <w:t>Adoptar capacidades de datos/integración/SSDF; IA subordinada</w:t>
            </w:r>
          </w:p>
        </w:tc>
        <w:tc>
          <w:tcPr>
            <w:tcW w:type="dxa" w:w="3364"/>
          </w:tcPr>
          <w:p>
            <w:r>
              <w:rPr>
                <w:sz w:val="16"/>
              </w:rPr>
              <w:t>Sin cambio de anillos ni reemplazo ERP</w:t>
            </w:r>
          </w:p>
        </w:tc>
      </w:tr>
    </w:tbl>
    <w:p/>
    <w:p>
      <w:pPr>
        <w:pStyle w:val="Heading2"/>
      </w:pPr>
      <w:r>
        <w:t>10. Registros versionados y contribuciones</w:t>
      </w:r>
    </w:p>
    <w:p>
      <w:r>
        <w:rPr>
          <w:b w:val="0"/>
        </w:rPr>
        <w:t xml:space="preserve">Libro integral: </w:t>
      </w:r>
      <w:r>
        <w:rPr>
          <w:b w:val="0"/>
        </w:rPr>
        <w:t>gestion/registros/Registros_y_Radar_Semana5_v1.2.xlsx</w:t>
      </w:r>
      <w:r>
        <w:rPr>
          <w:b w:val="0"/>
        </w:rPr>
        <w:t>. Se parte de una copia de v1.1, conservando tablas históricas de contribuciones y fuentes; se actualizan tablas vigentes y se añaden instrumento, métricas, supuestos, fuentes y revisión humana. No se guardó sobre ningún libro original. Las hojas históricas conservadas están identificadas como antecedente, no evidencia revalidada.</w:t>
      </w:r>
    </w:p>
    <w:p>
      <w:pPr>
        <w:pStyle w:val="Heading3"/>
      </w:pPr>
      <w:r>
        <w:t>10.1 Decisiones y supuestos adicionales</w:t>
      </w:r>
    </w:p>
    <w:p>
      <w:r>
        <w:rPr>
          <w:b w:val="0"/>
        </w:rPr>
        <w:t>D-01–D-16 se preservan del registro anterior con sus fechas/estados, y D-10/D-12 reciben notas de fundamento actualizado, sin retrofechar. Las nuevas decisiones siguientes están propuestas documentalmente, no aprobadas por el equipo.</w:t>
      </w:r>
    </w:p>
    <w:tbl>
      <w:tblPr>
        <w:tblStyle w:val="LightShading-Accent1"/>
        <w:tblW w:type="auto" w:w="0"/>
        <w:tblLook w:firstColumn="1" w:firstRow="1" w:lastColumn="0" w:lastRow="0" w:noHBand="0" w:noVBand="1" w:val="04A0"/>
      </w:tblPr>
      <w:tblGrid>
        <w:gridCol w:w="2018"/>
        <w:gridCol w:w="2018"/>
        <w:gridCol w:w="2018"/>
        <w:gridCol w:w="2018"/>
        <w:gridCol w:w="2018"/>
      </w:tblGrid>
      <w:tr>
        <w:trPr>
          <w:tblHeader/>
          <w:cantSplit/>
        </w:trPr>
        <w:tc>
          <w:tcPr>
            <w:tcW w:type="dxa" w:w="2018"/>
          </w:tcPr>
          <w:p>
            <w:r>
              <w:rPr>
                <w:sz w:val="16"/>
              </w:rPr>
              <w:t>ID nuevo</w:t>
            </w:r>
          </w:p>
        </w:tc>
        <w:tc>
          <w:tcPr>
            <w:tcW w:type="dxa" w:w="2018"/>
          </w:tcPr>
          <w:p>
            <w:r>
              <w:rPr>
                <w:sz w:val="16"/>
              </w:rPr>
              <w:t>Fecha</w:t>
            </w:r>
          </w:p>
        </w:tc>
        <w:tc>
          <w:tcPr>
            <w:tcW w:type="dxa" w:w="2018"/>
          </w:tcPr>
          <w:p>
            <w:r>
              <w:rPr>
                <w:sz w:val="16"/>
              </w:rPr>
              <w:t>Decisión y alternativa</w:t>
            </w:r>
          </w:p>
        </w:tc>
        <w:tc>
          <w:tcPr>
            <w:tcW w:type="dxa" w:w="2018"/>
          </w:tcPr>
          <w:p>
            <w:r>
              <w:rPr>
                <w:sz w:val="16"/>
              </w:rPr>
              <w:t>Motivo / consecuencia</w:t>
            </w:r>
          </w:p>
        </w:tc>
        <w:tc>
          <w:tcPr>
            <w:tcW w:type="dxa" w:w="2018"/>
          </w:tcPr>
          <w:p>
            <w:r>
              <w:rPr>
                <w:sz w:val="16"/>
              </w:rPr>
              <w:t>Estado</w:t>
            </w:r>
          </w:p>
        </w:tc>
      </w:tr>
      <w:tr>
        <w:trPr>
          <w:cantSplit/>
        </w:trPr>
        <w:tc>
          <w:tcPr>
            <w:tcW w:type="dxa" w:w="2018"/>
          </w:tcPr>
          <w:p>
            <w:r>
              <w:rPr>
                <w:sz w:val="16"/>
              </w:rPr>
              <w:t>D-17</w:t>
            </w:r>
          </w:p>
        </w:tc>
        <w:tc>
          <w:tcPr>
            <w:tcW w:type="dxa" w:w="2018"/>
          </w:tcPr>
          <w:p>
            <w:r>
              <w:rPr>
                <w:sz w:val="16"/>
              </w:rPr>
              <w:t>25/10/2026</w:t>
            </w:r>
          </w:p>
        </w:tc>
        <w:tc>
          <w:tcPr>
            <w:tcW w:type="dxa" w:w="2018"/>
          </w:tcPr>
          <w:p>
            <w:r>
              <w:rPr>
                <w:sz w:val="16"/>
              </w:rPr>
              <w:t>Modelar nodos lógicos supuestos, no inventario físico</w:t>
            </w:r>
          </w:p>
        </w:tc>
        <w:tc>
          <w:tcPr>
            <w:tcW w:type="dxa" w:w="2018"/>
          </w:tcPr>
          <w:p>
            <w:r>
              <w:rPr>
                <w:sz w:val="16"/>
              </w:rPr>
              <w:t>H-02; completa guía sin divulgar producción</w:t>
            </w:r>
          </w:p>
        </w:tc>
        <w:tc>
          <w:tcPr>
            <w:tcW w:type="dxa" w:w="2018"/>
          </w:tcPr>
          <w:p>
            <w:r>
              <w:rPr>
                <w:sz w:val="16"/>
              </w:rPr>
              <w:t>Pendiente de validación humana</w:t>
            </w:r>
          </w:p>
        </w:tc>
      </w:tr>
      <w:tr>
        <w:trPr>
          <w:cantSplit/>
        </w:trPr>
        <w:tc>
          <w:tcPr>
            <w:tcW w:type="dxa" w:w="2018"/>
          </w:tcPr>
          <w:p>
            <w:r>
              <w:rPr>
                <w:sz w:val="16"/>
              </w:rPr>
              <w:t>D-18</w:t>
            </w:r>
          </w:p>
        </w:tc>
        <w:tc>
          <w:tcPr>
            <w:tcW w:type="dxa" w:w="2018"/>
          </w:tcPr>
          <w:p>
            <w:r>
              <w:rPr>
                <w:sz w:val="16"/>
              </w:rPr>
              <w:t>25/10/2026</w:t>
            </w:r>
          </w:p>
        </w:tc>
        <w:tc>
          <w:tcPr>
            <w:tcW w:type="dxa" w:w="2018"/>
          </w:tcPr>
          <w:p>
            <w:r>
              <w:rPr>
                <w:sz w:val="16"/>
              </w:rPr>
              <w:t>ND frente a puntuaciones sin instrumento</w:t>
            </w:r>
          </w:p>
        </w:tc>
        <w:tc>
          <w:tcPr>
            <w:tcW w:type="dxa" w:w="2018"/>
          </w:tcPr>
          <w:p>
            <w:r>
              <w:rPr>
                <w:sz w:val="16"/>
              </w:rPr>
              <w:t>H-03; datos 2-H solo bajo S-24, sin promedio</w:t>
            </w:r>
          </w:p>
        </w:tc>
        <w:tc>
          <w:tcPr>
            <w:tcW w:type="dxa" w:w="2018"/>
          </w:tcPr>
          <w:p>
            <w:r>
              <w:rPr>
                <w:sz w:val="16"/>
              </w:rPr>
              <w:t>Pendiente de validación humana</w:t>
            </w:r>
          </w:p>
        </w:tc>
      </w:tr>
      <w:tr>
        <w:trPr>
          <w:cantSplit/>
        </w:trPr>
        <w:tc>
          <w:tcPr>
            <w:tcW w:type="dxa" w:w="2018"/>
          </w:tcPr>
          <w:p>
            <w:r>
              <w:rPr>
                <w:sz w:val="16"/>
              </w:rPr>
              <w:t>D-19</w:t>
            </w:r>
          </w:p>
        </w:tc>
        <w:tc>
          <w:tcPr>
            <w:tcW w:type="dxa" w:w="2018"/>
          </w:tcPr>
          <w:p>
            <w:r>
              <w:rPr>
                <w:sz w:val="16"/>
              </w:rPr>
              <w:t>25/10/2026</w:t>
            </w:r>
          </w:p>
        </w:tc>
        <w:tc>
          <w:tcPr>
            <w:tcW w:type="dxa" w:w="2018"/>
          </w:tcPr>
          <w:p>
            <w:r>
              <w:rPr>
                <w:sz w:val="16"/>
              </w:rPr>
              <w:t>Baseline mediana, no real×ruido</w:t>
            </w:r>
          </w:p>
        </w:tc>
        <w:tc>
          <w:tcPr>
            <w:tcW w:type="dxa" w:w="2018"/>
          </w:tcPr>
          <w:p>
            <w:r>
              <w:rPr>
                <w:sz w:val="16"/>
              </w:rPr>
              <w:t>H-05; nuevo protocolo sin ejecución ni resultados mezclados</w:t>
            </w:r>
          </w:p>
        </w:tc>
        <w:tc>
          <w:tcPr>
            <w:tcW w:type="dxa" w:w="2018"/>
          </w:tcPr>
          <w:p>
            <w:r>
              <w:rPr>
                <w:sz w:val="16"/>
              </w:rPr>
              <w:t>Pendiente de validación humana</w:t>
            </w:r>
          </w:p>
        </w:tc>
      </w:tr>
      <w:tr>
        <w:trPr>
          <w:cantSplit/>
        </w:trPr>
        <w:tc>
          <w:tcPr>
            <w:tcW w:type="dxa" w:w="2018"/>
          </w:tcPr>
          <w:p>
            <w:r>
              <w:rPr>
                <w:sz w:val="16"/>
              </w:rPr>
              <w:t>D-20</w:t>
            </w:r>
          </w:p>
        </w:tc>
        <w:tc>
          <w:tcPr>
            <w:tcW w:type="dxa" w:w="2018"/>
          </w:tcPr>
          <w:p>
            <w:r>
              <w:rPr>
                <w:sz w:val="16"/>
              </w:rPr>
              <w:t>25/10/2026</w:t>
            </w:r>
          </w:p>
        </w:tc>
        <w:tc>
          <w:tcPr>
            <w:tcW w:type="dxa" w:w="2018"/>
          </w:tcPr>
          <w:p>
            <w:r>
              <w:rPr>
                <w:sz w:val="16"/>
              </w:rPr>
              <w:t>Fundamentar metas conservadas, no presentarlas como benchmark</w:t>
            </w:r>
          </w:p>
        </w:tc>
        <w:tc>
          <w:tcPr>
            <w:tcW w:type="dxa" w:w="2018"/>
          </w:tcPr>
          <w:p>
            <w:r>
              <w:rPr>
                <w:sz w:val="16"/>
              </w:rPr>
              <w:t>H-04; razonamiento retrospectivo y sensibilidad futuros</w:t>
            </w:r>
          </w:p>
        </w:tc>
        <w:tc>
          <w:tcPr>
            <w:tcW w:type="dxa" w:w="2018"/>
          </w:tcPr>
          <w:p>
            <w:r>
              <w:rPr>
                <w:sz w:val="16"/>
              </w:rPr>
              <w:t>Pendiente de validación humana</w:t>
            </w:r>
          </w:p>
        </w:tc>
      </w:tr>
      <w:tr>
        <w:trPr>
          <w:cantSplit/>
        </w:trPr>
        <w:tc>
          <w:tcPr>
            <w:tcW w:type="dxa" w:w="2018"/>
          </w:tcPr>
          <w:p>
            <w:r>
              <w:rPr>
                <w:sz w:val="16"/>
              </w:rPr>
              <w:t>D-21</w:t>
            </w:r>
          </w:p>
        </w:tc>
        <w:tc>
          <w:tcPr>
            <w:tcW w:type="dxa" w:w="2018"/>
          </w:tcPr>
          <w:p>
            <w:r>
              <w:rPr>
                <w:sz w:val="16"/>
              </w:rPr>
              <w:t>25/10/2026</w:t>
            </w:r>
          </w:p>
        </w:tc>
        <w:tc>
          <w:tcPr>
            <w:tcW w:type="dxa" w:w="2018"/>
          </w:tcPr>
          <w:p>
            <w:r>
              <w:rPr>
                <w:sz w:val="16"/>
              </w:rPr>
              <w:t>Retirar CAPECE no respaldada y sustituir presentación</w:t>
            </w:r>
          </w:p>
        </w:tc>
        <w:tc>
          <w:tcPr>
            <w:tcW w:type="dxa" w:w="2018"/>
          </w:tcPr>
          <w:p>
            <w:r>
              <w:rPr>
                <w:sz w:val="16"/>
              </w:rPr>
              <w:t>H-06/07/11; originales conservados</w:t>
            </w:r>
          </w:p>
        </w:tc>
        <w:tc>
          <w:tcPr>
            <w:tcW w:type="dxa" w:w="2018"/>
          </w:tcPr>
          <w:p>
            <w:r>
              <w:rPr>
                <w:sz w:val="16"/>
              </w:rPr>
              <w:t>Aplicada documentalmente; validación humana pendiente</w:t>
            </w:r>
          </w:p>
        </w:tc>
      </w:tr>
      <w:tr>
        <w:trPr>
          <w:cantSplit/>
        </w:trPr>
        <w:tc>
          <w:tcPr>
            <w:tcW w:type="dxa" w:w="2018"/>
          </w:tcPr>
          <w:p>
            <w:r>
              <w:rPr>
                <w:sz w:val="16"/>
              </w:rPr>
              <w:t>D-22</w:t>
            </w:r>
          </w:p>
        </w:tc>
        <w:tc>
          <w:tcPr>
            <w:tcW w:type="dxa" w:w="2018"/>
          </w:tcPr>
          <w:p>
            <w:r>
              <w:rPr>
                <w:sz w:val="16"/>
              </w:rPr>
              <w:t>25/10/2026</w:t>
            </w:r>
          </w:p>
        </w:tc>
        <w:tc>
          <w:tcPr>
            <w:tcW w:type="dxa" w:w="2018"/>
          </w:tcPr>
          <w:p>
            <w:r>
              <w:rPr>
                <w:sz w:val="16"/>
              </w:rPr>
              <w:t>Completar seis dimensiones sin ampliar stack</w:t>
            </w:r>
          </w:p>
        </w:tc>
        <w:tc>
          <w:tcPr>
            <w:tcW w:type="dxa" w:w="2018"/>
          </w:tcPr>
          <w:p>
            <w:r>
              <w:rPr>
                <w:sz w:val="16"/>
              </w:rPr>
              <w:t>H-08; capacidades, no productos impuestos</w:t>
            </w:r>
          </w:p>
        </w:tc>
        <w:tc>
          <w:tcPr>
            <w:tcW w:type="dxa" w:w="2018"/>
          </w:tcPr>
          <w:p>
            <w:r>
              <w:rPr>
                <w:sz w:val="16"/>
              </w:rPr>
              <w:t>Pendiente de validación humana</w:t>
            </w:r>
          </w:p>
        </w:tc>
      </w:tr>
    </w:tbl>
    <w:p/>
    <w:tbl>
      <w:tblPr>
        <w:tblStyle w:val="LightShading-Accent1"/>
        <w:tblW w:type="auto" w:w="0"/>
        <w:tblLook w:firstColumn="1" w:firstRow="1" w:lastColumn="0" w:lastRow="0" w:noHBand="0" w:noVBand="1" w:val="04A0"/>
      </w:tblPr>
      <w:tblGrid>
        <w:gridCol w:w="3364"/>
        <w:gridCol w:w="3364"/>
        <w:gridCol w:w="3364"/>
      </w:tblGrid>
      <w:tr>
        <w:trPr>
          <w:tblHeader/>
          <w:cantSplit/>
        </w:trPr>
        <w:tc>
          <w:tcPr>
            <w:tcW w:type="dxa" w:w="3364"/>
          </w:tcPr>
          <w:p>
            <w:r>
              <w:rPr>
                <w:sz w:val="16"/>
              </w:rPr>
              <w:t>Supuesto nuevo</w:t>
            </w:r>
          </w:p>
        </w:tc>
        <w:tc>
          <w:tcPr>
            <w:tcW w:type="dxa" w:w="3364"/>
          </w:tcPr>
          <w:p>
            <w:r>
              <w:rPr>
                <w:sz w:val="16"/>
              </w:rPr>
              <w:t>Enunciado</w:t>
            </w:r>
          </w:p>
        </w:tc>
        <w:tc>
          <w:tcPr>
            <w:tcW w:type="dxa" w:w="3364"/>
          </w:tcPr>
          <w:p>
            <w:r>
              <w:rPr>
                <w:sz w:val="16"/>
              </w:rPr>
              <w:t>Tipo / validación</w:t>
            </w:r>
          </w:p>
        </w:tc>
      </w:tr>
      <w:tr>
        <w:trPr>
          <w:cantSplit/>
        </w:trPr>
        <w:tc>
          <w:tcPr>
            <w:tcW w:type="dxa" w:w="3364"/>
          </w:tcPr>
          <w:p>
            <w:r>
              <w:rPr>
                <w:sz w:val="16"/>
              </w:rPr>
              <w:t>S-22</w:t>
            </w:r>
          </w:p>
        </w:tc>
        <w:tc>
          <w:tcPr>
            <w:tcW w:type="dxa" w:w="3364"/>
          </w:tcPr>
          <w:p>
            <w:r>
              <w:rPr>
                <w:sz w:val="16"/>
              </w:rPr>
              <w:t>Puesto/navegador, ejecución aplicación y almacenamiento son nodos lógicos separados</w:t>
            </w:r>
          </w:p>
        </w:tc>
        <w:tc>
          <w:tcPr>
            <w:tcW w:type="dxa" w:w="3364"/>
          </w:tcPr>
          <w:p>
            <w:r>
              <w:rPr>
                <w:sz w:val="16"/>
              </w:rPr>
              <w:t>Topología académica; no cantidad de servidores o redes reales</w:t>
            </w:r>
          </w:p>
        </w:tc>
      </w:tr>
      <w:tr>
        <w:trPr>
          <w:cantSplit/>
        </w:trPr>
        <w:tc>
          <w:tcPr>
            <w:tcW w:type="dxa" w:w="3364"/>
          </w:tcPr>
          <w:p>
            <w:r>
              <w:rPr>
                <w:sz w:val="16"/>
              </w:rPr>
              <w:t>S-23</w:t>
            </w:r>
          </w:p>
        </w:tc>
        <w:tc>
          <w:tcPr>
            <w:tcW w:type="dxa" w:w="3364"/>
          </w:tcPr>
          <w:p>
            <w:r>
              <w:rPr>
                <w:sz w:val="16"/>
              </w:rPr>
              <w:t>Exportación a planillas y salida de frontera operacional</w:t>
            </w:r>
          </w:p>
        </w:tc>
        <w:tc>
          <w:tcPr>
            <w:tcW w:type="dxa" w:w="3364"/>
          </w:tcPr>
          <w:p>
            <w:r>
              <w:rPr>
                <w:sz w:val="16"/>
              </w:rPr>
              <w:t>Escenario; validar proceso y acceso antes de intervenir</w:t>
            </w:r>
          </w:p>
        </w:tc>
      </w:tr>
      <w:tr>
        <w:trPr>
          <w:cantSplit/>
        </w:trPr>
        <w:tc>
          <w:tcPr>
            <w:tcW w:type="dxa" w:w="3364"/>
          </w:tcPr>
          <w:p>
            <w:r>
              <w:rPr>
                <w:sz w:val="16"/>
              </w:rPr>
              <w:t>S-24</w:t>
            </w:r>
          </w:p>
        </w:tc>
        <w:tc>
          <w:tcPr>
            <w:tcW w:type="dxa" w:w="3364"/>
          </w:tcPr>
          <w:p>
            <w:r>
              <w:rPr>
                <w:sz w:val="16"/>
              </w:rPr>
              <w:t>Registro estructurado recurrente sin contrato común reutilizable</w:t>
            </w:r>
          </w:p>
        </w:tc>
        <w:tc>
          <w:tcPr>
            <w:tcW w:type="dxa" w:w="3364"/>
          </w:tcPr>
          <w:p>
            <w:r>
              <w:rPr>
                <w:sz w:val="16"/>
              </w:rPr>
              <w:t>Condición hipotética que sostiene datos 2-H; no observación</w:t>
            </w:r>
          </w:p>
        </w:tc>
      </w:tr>
      <w:tr>
        <w:trPr>
          <w:cantSplit/>
        </w:trPr>
        <w:tc>
          <w:tcPr>
            <w:tcW w:type="dxa" w:w="3364"/>
          </w:tcPr>
          <w:p>
            <w:r>
              <w:rPr>
                <w:sz w:val="16"/>
              </w:rPr>
              <w:t>S-25</w:t>
            </w:r>
          </w:p>
        </w:tc>
        <w:tc>
          <w:tcPr>
            <w:tcW w:type="dxa" w:w="3364"/>
          </w:tcPr>
          <w:p>
            <w:r>
              <w:rPr>
                <w:sz w:val="16"/>
              </w:rPr>
              <w:t>Presupuesto de tolerancias 5+5+5 puntos y esfuerzo 4×40 h-persona</w:t>
            </w:r>
          </w:p>
        </w:tc>
        <w:tc>
          <w:tcPr>
            <w:tcW w:type="dxa" w:w="3364"/>
          </w:tcPr>
          <w:p>
            <w:r>
              <w:rPr>
                <w:sz w:val="16"/>
              </w:rPr>
              <w:t>Metas académicas retrospectivamente justificadas; aprobar antes de futuro piloto</w:t>
            </w:r>
          </w:p>
        </w:tc>
      </w:tr>
      <w:tr>
        <w:trPr>
          <w:cantSplit/>
        </w:trPr>
        <w:tc>
          <w:tcPr>
            <w:tcW w:type="dxa" w:w="3364"/>
          </w:tcPr>
          <w:p>
            <w:r>
              <w:rPr>
                <w:sz w:val="16"/>
              </w:rPr>
              <w:t>S-26</w:t>
            </w:r>
          </w:p>
        </w:tc>
        <w:tc>
          <w:tcPr>
            <w:tcW w:type="dxa" w:w="3364"/>
          </w:tcPr>
          <w:p>
            <w:r>
              <w:rPr>
                <w:sz w:val="16"/>
              </w:rPr>
              <w:t>Mediana y ratio ponderado disponen de los mismos históricos comparables</w:t>
            </w:r>
          </w:p>
        </w:tc>
        <w:tc>
          <w:tcPr>
            <w:tcW w:type="dxa" w:w="3364"/>
          </w:tcPr>
          <w:p>
            <w:r>
              <w:rPr>
                <w:sz w:val="16"/>
              </w:rPr>
              <w:t>Diseño; unidades/fechas/IDs y cobertura se comprueban antes de evaluar</w:t>
            </w:r>
          </w:p>
        </w:tc>
      </w:tr>
    </w:tbl>
    <w:p/>
    <w:p>
      <w:r>
        <w:rPr>
          <w:b w:val="0"/>
        </w:rPr>
        <w:t>S-01–S-21 y SE-01–SE-10 conservan su procedencia. S-19 describe solo el control histórico retirado del nuevo protocolo. S-18 se precisa en v1.2 como esfuerzo y tiempo total, no ahorro confirmado.</w:t>
      </w:r>
    </w:p>
    <w:p>
      <w:pPr>
        <w:pStyle w:val="Heading3"/>
      </w:pPr>
      <w:r>
        <w:t>10.2 Evidencia de contribuciones y límites</w:t>
      </w:r>
    </w:p>
    <w:p>
      <w:r>
        <w:rPr>
          <w:b w:val="0"/>
        </w:rPr>
        <w:t xml:space="preserve">Las veinte contribuciones declaradas S1–S5 se conservan en el libro, hoja </w:t>
      </w:r>
      <w:r>
        <w:rPr>
          <w:b w:val="0"/>
        </w:rPr>
        <w:t>Contribuciones</w:t>
      </w:r>
      <w:r>
        <w:rPr>
          <w:b w:val="0"/>
        </w:rPr>
        <w:t xml:space="preserve">. El anexo de trazabilidad </w:t>
      </w:r>
      <w:r>
        <w:rPr>
          <w:b w:val="0"/>
        </w:rPr>
        <w:t>gestion/registros/Contribuciones_Evidencia_v1.2.md</w:t>
      </w:r>
      <w:r>
        <w:rPr>
          <w:b w:val="0"/>
        </w:rPr>
        <w:t xml:space="preserve"> vincula artefactos y commits existentes. Los commits corroboran actividad, no autoría absoluta ni puntualidad de aula. No se asignan los cambios v1.2 a integrantes, no se crean aportes ni aprobaciones retrospectivas.</w:t>
      </w:r>
    </w:p>
    <w:p>
      <w:r>
        <w:rPr>
          <w:b w:val="0"/>
        </w:rPr>
        <w:t>La v1.2 fue preparada con asistencia de IA; la participación humana específica en su revisión no está acreditada. El estado del registro individual permanece limitado a la evidencia disponible.</w:t>
      </w:r>
    </w:p>
    <w:p>
      <w:pPr>
        <w:pStyle w:val="Heading2"/>
      </w:pPr>
      <w:r>
        <w:t>11. Validación humana y pendientes</w:t>
      </w:r>
    </w:p>
    <w:tbl>
      <w:tblPr>
        <w:tblStyle w:val="LightShading-Accent1"/>
        <w:tblW w:type="auto" w:w="0"/>
        <w:tblLook w:firstColumn="1" w:firstRow="1" w:lastColumn="0" w:lastRow="0" w:noHBand="0" w:noVBand="1" w:val="04A0"/>
      </w:tblPr>
      <w:tblGrid>
        <w:gridCol w:w="3364"/>
        <w:gridCol w:w="3364"/>
        <w:gridCol w:w="3364"/>
      </w:tblGrid>
      <w:tr>
        <w:trPr>
          <w:tblHeader/>
          <w:cantSplit/>
        </w:trPr>
        <w:tc>
          <w:tcPr>
            <w:tcW w:type="dxa" w:w="3364"/>
          </w:tcPr>
          <w:p>
            <w:r>
              <w:rPr>
                <w:sz w:val="16"/>
              </w:rPr>
              <w:t>Control humano</w:t>
            </w:r>
          </w:p>
        </w:tc>
        <w:tc>
          <w:tcPr>
            <w:tcW w:type="dxa" w:w="3364"/>
          </w:tcPr>
          <w:p>
            <w:r>
              <w:rPr>
                <w:sz w:val="16"/>
              </w:rPr>
              <w:t>Evidencia que debe revisar el equipo</w:t>
            </w:r>
          </w:p>
        </w:tc>
        <w:tc>
          <w:tcPr>
            <w:tcW w:type="dxa" w:w="3364"/>
          </w:tcPr>
          <w:p>
            <w:r>
              <w:rPr>
                <w:sz w:val="16"/>
              </w:rPr>
              <w:t>Estado</w:t>
            </w:r>
          </w:p>
        </w:tc>
      </w:tr>
      <w:tr>
        <w:trPr>
          <w:cantSplit/>
        </w:trPr>
        <w:tc>
          <w:tcPr>
            <w:tcW w:type="dxa" w:w="3364"/>
          </w:tcPr>
          <w:p>
            <w:r>
              <w:rPr>
                <w:sz w:val="16"/>
              </w:rPr>
              <w:t>Fuentes</w:t>
            </w:r>
          </w:p>
        </w:tc>
        <w:tc>
          <w:tcPr>
            <w:tcW w:type="dxa" w:w="3364"/>
          </w:tcPr>
          <w:p>
            <w:r>
              <w:rPr>
                <w:sz w:val="16"/>
              </w:rPr>
              <w:t>Abrir originales y contrastar afirmaciones; no IA como bibliografía</w:t>
            </w:r>
          </w:p>
        </w:tc>
        <w:tc>
          <w:tcPr>
            <w:tcW w:type="dxa" w:w="3364"/>
          </w:tcPr>
          <w:p>
            <w:r>
              <w:rPr>
                <w:sz w:val="16"/>
              </w:rPr>
              <w:t>Pendiente</w:t>
            </w:r>
          </w:p>
        </w:tc>
      </w:tr>
      <w:tr>
        <w:trPr>
          <w:cantSplit/>
        </w:trPr>
        <w:tc>
          <w:tcPr>
            <w:tcW w:type="dxa" w:w="3364"/>
          </w:tcPr>
          <w:p>
            <w:r>
              <w:rPr>
                <w:sz w:val="16"/>
              </w:rPr>
              <w:t>Supuestos</w:t>
            </w:r>
          </w:p>
        </w:tc>
        <w:tc>
          <w:tcPr>
            <w:tcW w:type="dxa" w:w="3364"/>
          </w:tcPr>
          <w:p>
            <w:r>
              <w:rPr>
                <w:sz w:val="16"/>
              </w:rPr>
              <w:t>Aceptar/rechazar S-22–S-26 y realismo del caso</w:t>
            </w:r>
          </w:p>
        </w:tc>
        <w:tc>
          <w:tcPr>
            <w:tcW w:type="dxa" w:w="3364"/>
          </w:tcPr>
          <w:p>
            <w:r>
              <w:rPr>
                <w:sz w:val="16"/>
              </w:rPr>
              <w:t>Pendiente</w:t>
            </w:r>
          </w:p>
        </w:tc>
      </w:tr>
      <w:tr>
        <w:trPr>
          <w:cantSplit/>
        </w:trPr>
        <w:tc>
          <w:tcPr>
            <w:tcW w:type="dxa" w:w="3364"/>
          </w:tcPr>
          <w:p>
            <w:r>
              <w:rPr>
                <w:sz w:val="16"/>
              </w:rPr>
              <w:t>Madurez</w:t>
            </w:r>
          </w:p>
        </w:tc>
        <w:tc>
          <w:tcPr>
            <w:tcW w:type="dxa" w:w="3364"/>
          </w:tcPr>
          <w:p>
            <w:r>
              <w:rPr>
                <w:sz w:val="16"/>
              </w:rPr>
              <w:t>Revisar instrumento; aportar evidencia o conservar ND</w:t>
            </w:r>
          </w:p>
        </w:tc>
        <w:tc>
          <w:tcPr>
            <w:tcW w:type="dxa" w:w="3364"/>
          </w:tcPr>
          <w:p>
            <w:r>
              <w:rPr>
                <w:sz w:val="16"/>
              </w:rPr>
              <w:t>Pendiente</w:t>
            </w:r>
          </w:p>
        </w:tc>
      </w:tr>
      <w:tr>
        <w:trPr>
          <w:cantSplit/>
        </w:trPr>
        <w:tc>
          <w:tcPr>
            <w:tcW w:type="dxa" w:w="3364"/>
          </w:tcPr>
          <w:p>
            <w:r>
              <w:rPr>
                <w:sz w:val="16"/>
              </w:rPr>
              <w:t>Experimento</w:t>
            </w:r>
          </w:p>
        </w:tc>
        <w:tc>
          <w:tcPr>
            <w:tcW w:type="dxa" w:w="3364"/>
          </w:tcPr>
          <w:p>
            <w:r>
              <w:rPr>
                <w:sz w:val="16"/>
              </w:rPr>
              <w:t>Revisar baseline, separación, tolerancias y límites históricos</w:t>
            </w:r>
          </w:p>
        </w:tc>
        <w:tc>
          <w:tcPr>
            <w:tcW w:type="dxa" w:w="3364"/>
          </w:tcPr>
          <w:p>
            <w:r>
              <w:rPr>
                <w:sz w:val="16"/>
              </w:rPr>
              <w:t>Pendiente</w:t>
            </w:r>
          </w:p>
        </w:tc>
      </w:tr>
      <w:tr>
        <w:trPr>
          <w:cantSplit/>
        </w:trPr>
        <w:tc>
          <w:tcPr>
            <w:tcW w:type="dxa" w:w="3364"/>
          </w:tcPr>
          <w:p>
            <w:r>
              <w:rPr>
                <w:sz w:val="16"/>
              </w:rPr>
              <w:t>Arquitectura</w:t>
            </w:r>
          </w:p>
        </w:tc>
        <w:tc>
          <w:tcPr>
            <w:tcW w:type="dxa" w:w="3364"/>
          </w:tcPr>
          <w:p>
            <w:r>
              <w:rPr>
                <w:sz w:val="16"/>
              </w:rPr>
              <w:t>Explicar módulos, fronteras, datos, ADR y alternativas</w:t>
            </w:r>
          </w:p>
        </w:tc>
        <w:tc>
          <w:tcPr>
            <w:tcW w:type="dxa" w:w="3364"/>
          </w:tcPr>
          <w:p>
            <w:r>
              <w:rPr>
                <w:sz w:val="16"/>
              </w:rPr>
              <w:t>Pendiente</w:t>
            </w:r>
          </w:p>
        </w:tc>
      </w:tr>
      <w:tr>
        <w:trPr>
          <w:cantSplit/>
        </w:trPr>
        <w:tc>
          <w:tcPr>
            <w:tcW w:type="dxa" w:w="3364"/>
          </w:tcPr>
          <w:p>
            <w:r>
              <w:rPr>
                <w:sz w:val="16"/>
              </w:rPr>
              <w:t>Diagramas/formatos</w:t>
            </w:r>
          </w:p>
        </w:tc>
        <w:tc>
          <w:tcPr>
            <w:tcW w:type="dxa" w:w="3364"/>
          </w:tcPr>
          <w:p>
            <w:r>
              <w:rPr>
                <w:sz w:val="16"/>
              </w:rPr>
              <w:t>Abrir PDF/DOCX/XLSX; revisar figuras y presentación</w:t>
            </w:r>
          </w:p>
        </w:tc>
        <w:tc>
          <w:tcPr>
            <w:tcW w:type="dxa" w:w="3364"/>
          </w:tcPr>
          <w:p>
            <w:r>
              <w:rPr>
                <w:sz w:val="16"/>
              </w:rPr>
              <w:t>Pendiente</w:t>
            </w:r>
          </w:p>
        </w:tc>
      </w:tr>
      <w:tr>
        <w:trPr>
          <w:cantSplit/>
        </w:trPr>
        <w:tc>
          <w:tcPr>
            <w:tcW w:type="dxa" w:w="3364"/>
          </w:tcPr>
          <w:p>
            <w:r>
              <w:rPr>
                <w:sz w:val="16"/>
              </w:rPr>
              <w:t>Coherencia</w:t>
            </w:r>
          </w:p>
        </w:tc>
        <w:tc>
          <w:tcPr>
            <w:tcW w:type="dxa" w:w="3364"/>
          </w:tcPr>
          <w:p>
            <w:r>
              <w:rPr>
                <w:sz w:val="16"/>
              </w:rPr>
              <w:t>Contrastar S1→S5 y registros vigentes/históricos</w:t>
            </w:r>
          </w:p>
        </w:tc>
        <w:tc>
          <w:tcPr>
            <w:tcW w:type="dxa" w:w="3364"/>
          </w:tcPr>
          <w:p>
            <w:r>
              <w:rPr>
                <w:sz w:val="16"/>
              </w:rPr>
              <w:t>Pendiente</w:t>
            </w:r>
          </w:p>
        </w:tc>
      </w:tr>
      <w:tr>
        <w:trPr>
          <w:cantSplit/>
        </w:trPr>
        <w:tc>
          <w:tcPr>
            <w:tcW w:type="dxa" w:w="3364"/>
          </w:tcPr>
          <w:p>
            <w:r>
              <w:rPr>
                <w:sz w:val="16"/>
              </w:rPr>
              <w:t>Contribuciones/defensa</w:t>
            </w:r>
          </w:p>
        </w:tc>
        <w:tc>
          <w:tcPr>
            <w:tcW w:type="dxa" w:w="3364"/>
          </w:tcPr>
          <w:p>
            <w:r>
              <w:rPr>
                <w:sz w:val="16"/>
              </w:rPr>
              <w:t>Cada integrante debe explicar el conjunto y confirmar sus aportes reales</w:t>
            </w:r>
          </w:p>
        </w:tc>
        <w:tc>
          <w:tcPr>
            <w:tcW w:type="dxa" w:w="3364"/>
          </w:tcPr>
          <w:p>
            <w:r>
              <w:rPr>
                <w:sz w:val="16"/>
              </w:rPr>
              <w:t>Pendiente</w:t>
            </w:r>
          </w:p>
        </w:tc>
      </w:tr>
      <w:tr>
        <w:trPr>
          <w:cantSplit/>
        </w:trPr>
        <w:tc>
          <w:tcPr>
            <w:tcW w:type="dxa" w:w="3364"/>
          </w:tcPr>
          <w:p>
            <w:r>
              <w:rPr>
                <w:sz w:val="16"/>
              </w:rPr>
              <w:t>Entrega</w:t>
            </w:r>
          </w:p>
        </w:tc>
        <w:tc>
          <w:tcPr>
            <w:tcW w:type="dxa" w:w="3364"/>
          </w:tcPr>
          <w:p>
            <w:r>
              <w:rPr>
                <w:sz w:val="16"/>
              </w:rPr>
              <w:t>Confirmar archivo/versión y fecha en aula virtual</w:t>
            </w:r>
          </w:p>
        </w:tc>
        <w:tc>
          <w:tcPr>
            <w:tcW w:type="dxa" w:w="3364"/>
          </w:tcPr>
          <w:p>
            <w:r>
              <w:rPr>
                <w:sz w:val="16"/>
              </w:rPr>
              <w:t>Pendiente</w:t>
            </w:r>
          </w:p>
        </w:tc>
      </w:tr>
    </w:tbl>
    <w:p/>
    <w:p>
      <w:r>
        <w:rPr>
          <w:b w:val="0"/>
        </w:rPr>
        <w:t>Ningún casillero se considera realizado por generar esta tabla. No se exige un acta con formato no prescrito. H-01 sigue abierto. H-10 conserva límites; procedencia de fotos/iconos originales S2 no recuperada: no se reutilizan en la presentación vigente. No se acredita medición empresarial ni cumplimiento retroactivo.</w:t>
      </w:r>
    </w:p>
    <w:p>
      <w:pPr>
        <w:pStyle w:val="Heading2"/>
      </w:pPr>
      <w:r>
        <w:t>12. Referencias activas y verificación</w:t>
      </w:r>
    </w:p>
    <w:p>
      <w:r>
        <w:rPr>
          <w:b w:val="0"/>
        </w:rPr>
        <w:t xml:space="preserve">Las fuentes siguientes se consultaron en sus páginas originales el 25/10/2026, salvo Oracle, retenida solo como antecedente en v1.1. APA 7: referencias ordenadas por autor; páginas sin fecha con recuperación. Registro de localizaciones y límites en </w:t>
      </w:r>
      <w:r>
        <w:rPr>
          <w:b w:val="0"/>
        </w:rPr>
        <w:t>fuentes/revision-v1.2/VERIFICACION_FUENTES.md</w:t>
      </w:r>
      <w:r>
        <w:rPr>
          <w:b w:val="0"/>
        </w:rPr>
        <w:t>. Las fuentes no establecen los umbrales internos.</w:t>
      </w:r>
    </w:p>
    <w:p>
      <w:r>
        <w:rPr>
          <w:b w:val="0"/>
        </w:rPr>
        <w:t>Boyagi, A. (2025, 9 de julio). Atlassian research: AI adoption is rising, but friction persists. Inside Atlassian. https://www.atlassian.com/blog/developer/developer-experience-report-2025</w:t>
      </w:r>
    </w:p>
    <w:p>
      <w:r>
        <w:rPr>
          <w:b w:val="0"/>
        </w:rPr>
        <w:t>Cámara Peruana de Comercio Electrónico. (s. f.). Observatorio Ecommerce Perú 2024–2025. Recuperado el 25 de octubre de 2026, de https://www.capece.org.pe/observatorio-ecommerce/</w:t>
      </w:r>
    </w:p>
    <w:p>
      <w:r>
        <w:rPr>
          <w:b w:val="0"/>
        </w:rPr>
        <w:t>CodeIgniter Foundation. (2022, 3 de marzo). Database reference. CodeIgniter 3 documentation. https://codeigniter.com/userguide3/database/index.html</w:t>
      </w:r>
    </w:p>
    <w:p>
      <w:r>
        <w:rPr>
          <w:b w:val="0"/>
        </w:rPr>
        <w:t>DORA. (2025). State of AI-assisted Software Development. https://dora.dev/research/2025/dora-report/</w:t>
      </w:r>
    </w:p>
    <w:p>
      <w:r>
        <w:rPr>
          <w:b w:val="0"/>
        </w:rPr>
        <w:t>Microsoft. (2026a, 18 de septiembre). On-premises data gateways in Power BI. Microsoft Learn. https://learn.microsoft.com/en-us/power-bi/connect-data/service-gateway-onprem</w:t>
      </w:r>
    </w:p>
    <w:p>
      <w:r>
        <w:rPr>
          <w:b w:val="0"/>
        </w:rPr>
        <w:t>Microsoft. (2026b, 13 de mayo). Row-level security (RLS) with Power BI. Microsoft Learn. https://learn.microsoft.com/en-us/fabric/security/service-admin-row-level-security</w:t>
      </w:r>
    </w:p>
    <w:p>
      <w:r>
        <w:rPr>
          <w:b w:val="0"/>
        </w:rPr>
        <w:t>Postman. (2025). 2025 State of the API Report. https://www.postman.com/state-of-api/2025/</w:t>
      </w:r>
    </w:p>
    <w:p>
      <w:r>
        <w:rPr>
          <w:b w:val="0"/>
        </w:rPr>
        <w:t>Python Software Foundation. (s. f.). Statistics: Mathematical statistics functions. Python 3.12 documentation. Recuperado el 25 de octubre de 2026, de https://docs.python.org/3.12/library/statistics.html#statistics.median</w:t>
      </w:r>
    </w:p>
    <w:p>
      <w:r>
        <w:rPr>
          <w:b w:val="0"/>
        </w:rPr>
        <w:t>Scikit-learn developers. (s. f.-a). Common pitfalls and recommended practices: Data leakage. Recuperado el 25 de octubre de 2026, de https://scikit-learn.org/stable/common_pitfalls.html#data-leakage</w:t>
      </w:r>
    </w:p>
    <w:p>
      <w:r>
        <w:rPr>
          <w:b w:val="0"/>
        </w:rPr>
        <w:t>Scikit-learn developers. (s. f.-b). Mean absolute percentage error. Recuperado el 25 de octubre de 2026, de https://scikit-learn.org/stable/modules/generated/sklearn.metrics.mean_absolute_percentage_error.html</w:t>
      </w:r>
    </w:p>
    <w:p>
      <w:r>
        <w:rPr>
          <w:b w:val="0"/>
        </w:rPr>
        <w:t>Souppaya, M., Scarfone, K., &amp; Dodson, D. (2022). Secure Software Development Framework (SSDF) Version 1.1: Recommendations for mitigating the risk of software vulnerabilities (NIST SP 800-218). National Institute of Standards and Technology. https://doi.org/10.6028/NIST.SP.800-218</w:t>
      </w:r>
    </w:p>
    <w:p>
      <w:r>
        <w:rPr>
          <w:b w:val="0"/>
        </w:rPr>
        <w:t>Thoughtworks. (2025, 2 de abril). Data product thinking. Technology Radar. https://www.thoughtworks.com/en-us/radar/techniques/data-product-thinking</w:t>
      </w:r>
    </w:p>
    <w:p>
      <w:r>
        <w:rPr>
          <w:b w:val="0"/>
        </w:rPr>
        <w:t xml:space="preserve">Universidad Nacional Mayor de San Marcos, FISI. (2026). Guía del Proyecto Integrador: Estrategia de adopción tecnológica y transformación de Ingeniería de Software 2026–2029. Documento local </w:t>
      </w:r>
      <w:r>
        <w:rPr>
          <w:b w:val="0"/>
        </w:rPr>
        <w:t>proyectoIntegrador (1).pdf</w:t>
      </w:r>
      <w:r>
        <w:rPr>
          <w:b w:val="0"/>
        </w:rPr>
        <w:t>, pp. 3–8 y 13–16.</w:t>
      </w:r>
    </w:p>
    <w:p>
      <w:r>
        <w:rPr>
          <w:b w:val="0"/>
        </w:rPr>
        <w:t>Referencias históricas S1–S5 y su estado se conservan en libros e informes previos. Thoughtworks Vol. 33 no se sustituye por la portada del volumen actual como si fuera la misma edición. SSDF 1.2 sigue rotulado Initial Public Draft en la página consultada; se usa 1.1 final como fundamento. No se exige el mínimo de veinte referencias de S14 en S5.</w:t>
      </w:r>
    </w:p>
    <w:p>
      <w:pPr>
        <w:pStyle w:val="Heading2"/>
      </w:pPr>
      <w:r>
        <w:t>13. Uso de IA, formatos y siguiente paso</w:t>
      </w:r>
    </w:p>
    <w:p>
      <w:r>
        <w:rPr>
          <w:b w:val="0"/>
        </w:rPr>
        <w:t xml:space="preserve">Herramienta: OpenCode, modelo declarado por el entorno GPT-6.1 Sol; skill local </w:t>
      </w:r>
      <w:r>
        <w:rPr>
          <w:b w:val="0"/>
        </w:rPr>
        <w:t>pdf</w:t>
      </w:r>
      <w:r>
        <w:rPr>
          <w:b w:val="0"/>
        </w:rPr>
        <w:t xml:space="preserve"> y bibliotecas existentes. Propósito: corregir documentación, generar artefactos v1.2 y comprobar consistencia. Entradas: guía, auditoría, históricos y fuentes públicas. Salidas: esta revisión, diagramas, registros, presentación sustituta e informes. No se enviaron bases empresariales ni credenciales a herramientas externas. No se utilizó IA como fuente bibliográfica.</w:t>
      </w:r>
    </w:p>
    <w:p>
      <w:r>
        <w:rPr>
          <w:b w:val="0"/>
        </w:rPr>
        <w:t xml:space="preserve">Criterio de aceptación humano: fuentes originales, supuestos razonables, explicabilidad de métricas/ADR, correspondencia de formatos y defensa por los integrantes. </w:t>
      </w:r>
      <w:r>
        <w:rPr>
          <w:b/>
        </w:rPr>
        <w:t>Pendiente de validación humana</w:t>
      </w:r>
      <w:r>
        <w:rPr>
          <w:b w:val="0"/>
        </w:rPr>
        <w:t>; comprobación técnica no equivale a aprobación del equipo.</w:t>
      </w:r>
    </w:p>
    <w:p>
      <w:r>
        <w:rPr>
          <w:b w:val="0"/>
        </w:rPr>
        <w:t xml:space="preserve">PDF y DOCX se generan independientemente desde Markdown, no mediante conversión Office. Las comprobaciones estructurales no certifican paginación Word ni diseño Excel, que requieren revisión en aplicaciones de escritorio. La revisión visual PDF/figuras efectivamente realizada se detalla en </w:t>
      </w:r>
      <w:r>
        <w:rPr>
          <w:b w:val="0"/>
        </w:rPr>
        <w:t>evidencias/revision-v1.2/README.md</w:t>
      </w:r>
      <w:r>
        <w:rPr>
          <w:b w:val="0"/>
        </w:rPr>
        <w:t xml:space="preserve"> y no se extrapola al DOCX.</w:t>
      </w:r>
    </w:p>
    <w:p>
      <w:r>
        <w:rPr>
          <w:b w:val="0"/>
        </w:rPr>
        <w:t>S6: AI-Native SDLC y prueba de actividad de desarrollo, no cierre de Radar. S8: examen parcial sin entregable; S14: Radar v1.0 e integración final; S15: defensa. No se altera el caso ni se reemplaza el ERP.</w:t>
      </w:r>
    </w:p>
    <w:sectPr w:rsidR="00FC693F" w:rsidRPr="0006063C" w:rsidSect="00034616">
      <w:footerReference w:type="default" r:id="rId13"/>
      <w:pgSz w:w="11906" w:h="16838"/>
      <w:pgMar w:top="964" w:right="907" w:bottom="96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Grupo 1 · v1.2 · 25/10/2026 · Pendiente de validación humana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Hito I v1.2 — Grupo 1</dc:title>
  <dc:subject/>
  <dc:creator>Grupo 1; revisión humana pendiente</dc:creator>
  <cp:keywords/>
  <dc:description>generated by python-docx</dc:description>
  <cp:lastModifiedBy/>
  <cp:revision>1</cp:revision>
  <dcterms:created xsi:type="dcterms:W3CDTF">2013-12-23T23:15:00Z</dcterms:created>
  <dcterms:modified xsi:type="dcterms:W3CDTF">2013-12-23T23:15:00Z</dcterms:modified>
  <cp:category/>
</cp:coreProperties>
</file>