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Proyecto Integrador — Semana 4</w:t>
      </w:r>
    </w:p>
    <w:p>
      <w:pPr>
        <w:pStyle w:val="Heading1"/>
      </w:pPr>
      <w:r>
        <w:t xml:space="preserve">Innovación, propuesta de valor e hipótesis</w:t>
      </w:r>
    </w:p>
    <w:p>
      <w:pPr/>
      <w:r>
        <w:rPr>
          <w:b/>
        </w:rPr>
        <w:t xml:space="preserve">Transformación Digital de Constructora Andina S.A.C.</w:t>
      </w:r>
    </w:p>
    <w:p>
      <w:pPr/>
      <w:r>
        <w:t xml:space="preserve">*Hacia el control integrado de costos previsto vs. ejecutado a partir de los históricos de obra*</w:t>
      </w:r>
    </w:p>
    <w:p>
      <w:pPr/>
      <w:r>
        <w:t xml:space="preserve">Universidad Nacional Mayor de San Marcos (UNMSM) — FISI — Ingeniería de Software</w:t>
      </w:r>
    </w:p>
    <w:p>
      <w:pPr/>
      <w:r>
        <w:t xml:space="preserve">Curso: Tendencias en Ingeniería de Software y Gestión — Proyecto Integrador 2026-2</w:t>
      </w:r>
    </w:p>
    <w:p>
      <w:pPr/>
      <w:r>
        <w:t xml:space="preserve">Grupo 1 · Docente: Mg. PMP Yamil Quiñones Nieto</w:t>
      </w:r>
    </w:p>
    <w:p>
      <w:pPr>
        <w:pBdr>
          <w:bottom w:val="single" w:sz="6" w:color="BBBBBB"/>
        </w:pBdr>
      </w:pPr>
    </w:p>
    <w:p>
      <w:pPr>
        <w:pStyle w:val="Heading2"/>
      </w:pPr>
      <w:r>
        <w:t xml:space="preserve">Control de versiones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Versión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Fecha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Cambio principal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Responsable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v1.0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Declaración de problema, propuesta de valor, hipótesis, PoC, métricas e Impact Canvas actualizado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Equipo</w:t>
            </w:r>
          </w:p>
        </w:tc>
      </w:tr>
    </w:tbl>
    <w:p>
      <w:pPr/>
      <w:r>
        <w:rPr>
          <w:b/>
        </w:rPr>
        <w:t xml:space="preserve">Objetivo de la semana (guía del curso):</w:t>
      </w:r>
      <w:r>
        <w:t xml:space="preserve"> transformar el problema en hipótesis comprobables y definir cómo se validará el valor antes de escalar una solución.</w:t>
      </w:r>
    </w:p>
    <w:p>
      <w:pPr/>
      <w:r>
        <w:rPr>
          <w:b/>
        </w:rPr>
        <w:t xml:space="preserve">Peso en el proyecto:</w:t>
      </w:r>
      <w:r>
        <w:t xml:space="preserve"> 5 % (acumulado 17 %). </w:t>
      </w:r>
      <w:r>
        <w:rPr>
          <w:b/>
        </w:rPr>
        <w:t xml:space="preserve">Tendencia principal:</w:t>
      </w:r>
      <w:r>
        <w:t xml:space="preserve"> BI y analítica operacional (anillo *Adoptar* del Technology Radar v0.1).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1. Declaración precisa del problema y usuarios afectados</w:t>
      </w:r>
    </w:p>
    <w:p>
      <w:pPr>
        <w:pStyle w:val="Heading2"/>
      </w:pPr>
      <w:r>
        <w:t xml:space="preserve">1.1 Problema</w:t>
      </w:r>
    </w:p>
    <w:p>
      <w:pPr/>
      <w:r>
        <w:t xml:space="preserve">Constructora Andina S.A.C. registra en su ERP los datos de producción de obra (tareo, horas-hombre, metrados, costos de materiales y partidas de control), pero </w:t>
      </w:r>
      <w:r>
        <w:rPr>
          <w:b/>
        </w:rPr>
        <w:t xml:space="preserve">no reutiliza de forma integrada y automática esos históricos para presupuestar nuevas obras ni para comparar el costo previsto con el ejecutado</w:t>
      </w:r>
      <w:r>
        <w:t xml:space="preserve">. Cada presupuesto se elabora con hojas de cálculo locales y criterio individual del analista; el estado económico real de una obra tarda hasta 15 días en consolidarse (diagnóstico de madurez, Semana 3).</w:t>
      </w:r>
    </w:p>
    <w:p>
      <w:pPr/>
      <w:r>
        <w:t xml:space="preserve">Formulación estructurada: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Elemento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Descripción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¿Quién?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Analistas de Costos y Presupuestos, Jefes de Obra y Gerencia General de Constructora Andina S.A.C.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¿Qué?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El histórico de producción no se convierte en una base reutilizable para estimar partidas ni para controlar desviaciones previsto vs. ejecutado en el momento oportuno.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¿Por qué ocurre?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Datos en silos, uso de planillas locales, ausencia de un modelo analítico y de gobierno de datos (Semana 3, dimensiones Cultura, Collaboration y Talent en Nivel 2).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¿Por qué importa?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Afecta el margen operativo del contratista: las estimaciones inexactas y el control tardío son causas centrales de sobrecostos (Abdelalim et al., 2025; Elserougy et al., 2024).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Evidencia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Supuesto S-08 (Semana 1), resistencias 4.1–4.5 y matriz de brechas (Semana 3).</w:t>
            </w:r>
          </w:p>
        </w:tc>
      </w:tr>
    </w:tbl>
    <w:p>
      <w:pPr>
        <w:pStyle w:val="Heading2"/>
      </w:pPr>
      <w:r>
        <w:t xml:space="preserve">1.2 Usuarios afectados y su relación con el problema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Usuario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Rol en el problema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Necesidad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Analista de Costos y Presupuestos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Elabora presupuestos sin base histórica integrada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Estimar partidas con ratios reales de obras cerradas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Jefe de Obra / Residente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Registra tareo y metrados; recibe control tardío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Ver desviaciones durante la ejecución, no semanas después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Gerencia General / Operaciones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Decide con información consolidada tardía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Visibilidad económica temprana del margen por obra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Compras / Logística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Sufre variaciones de precio no previstas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Anticipar consumo y precios a partir de históricos</w:t>
            </w:r>
          </w:p>
        </w:tc>
      </w:tr>
    </w:tbl>
    <w:p>
      <w:pPr>
        <w:pBdr>
          <w:bottom w:val="single" w:sz="6" w:color="BBBBBB"/>
        </w:pBdr>
      </w:pPr>
    </w:p>
    <w:p>
      <w:pPr>
        <w:pStyle w:val="Heading1"/>
      </w:pPr>
      <w:r>
        <w:t xml:space="preserve">2. Propuesta de valor para la capacidad tecnológica</w:t>
      </w:r>
    </w:p>
    <w:p>
      <w:pPr/>
      <w:r>
        <w:rPr>
          <w:b/>
        </w:rPr>
        <w:t xml:space="preserve">Capacidad propuesta:</w:t>
      </w:r>
      <w:r>
        <w:t xml:space="preserve"> una capa de </w:t>
      </w:r>
      <w:r>
        <w:rPr>
          <w:b/>
        </w:rPr>
        <w:t xml:space="preserve">BI y analítica operacional</w:t>
      </w:r>
      <w:r>
        <w:t xml:space="preserve"> que integre los históricos de obras cerradas (tareo, metrados, costos por partida) en un modelo de datos gobernado, exponga </w:t>
      </w:r>
      <w:r>
        <w:rPr>
          <w:b/>
        </w:rPr>
        <w:t xml:space="preserve">tableros de previsto vs. ejecutado</w:t>
      </w:r>
      <w:r>
        <w:t xml:space="preserve"> y entregue </w:t>
      </w:r>
      <w:r>
        <w:rPr>
          <w:b/>
        </w:rPr>
        <w:t xml:space="preserve">estimaciones asistidas de partidas</w:t>
      </w:r>
      <w:r>
        <w:t xml:space="preserve"> para nuevas obras.</w:t>
      </w:r>
    </w:p>
    <w:p>
      <w:pPr/>
      <w:r>
        <w:t xml:space="preserve">Se aplica *Value Proposition Canvas* (Osterwalder et al., 2014) sobre el usuario principal: el Analista de Costos y el Jefe de Obra.</w:t>
      </w:r>
    </w:p>
    <w:p>
      <w:pPr>
        <w:pStyle w:val="Heading2"/>
      </w:pPr>
      <w:r>
        <w:t xml:space="preserve">2.1 Mapa del cliente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Tareas del usuario (jobs)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Dolores (pains)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Ganancias esperadas (gains)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Presupuestar partidas de nuevas obras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No hay base histórica confiable; se estima "a ojo"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Estimar con referencias reales de rendimiento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Controlar costo previsto vs. ejecutado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Consolidación manual y tardía (hasta 15 días)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Ver desviaciones en el momento oportuno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Sustentar valorizaciones y margen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Reprocesos y discusiones por cifras dispares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Cifras trazables y auditables, una sola versión</w:t>
            </w:r>
          </w:p>
        </w:tc>
      </w:tr>
    </w:tbl>
    <w:p>
      <w:pPr>
        <w:pStyle w:val="Heading2"/>
      </w:pPr>
      <w:r>
        <w:t xml:space="preserve">2.2 Lienzo de propuesta de valor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Aliviadores de dolor (pain relievers)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Creadores de ganancia (gain creators)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Repositorio histórico único de ratios de rendimiento y costo por partida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Estimación de partidas asistida por históricos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Tablero previsto vs. ejecutado en línea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Detección temprana de desviaciones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Un solo origen de verdad, con reglas de calidad y trazabilidad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Reducción del tiempo de elaboración de valorizaciones</w:t>
            </w:r>
          </w:p>
        </w:tc>
      </w:tr>
    </w:tbl>
    <w:p>
      <w:pPr/>
      <w:r>
        <w:rPr>
          <w:b/>
        </w:rPr>
        <w:t xml:space="preserve">Encaje (fit):</w:t>
      </w:r>
      <w:r>
        <w:t xml:space="preserve"> la propuesta ataca directamente la causa raíz S-08 y los dolores declarados por Costos y Obra en la Semana 3, sin reemplazar el ERP transaccional (decisión D-02).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3. Hipótesis</w:t>
      </w:r>
    </w:p>
    <w:p>
      <w:pPr/>
      <w:r>
        <w:t xml:space="preserve">Toda hipótesis se declara de forma </w:t>
      </w:r>
      <w:r>
        <w:rPr>
          <w:b/>
        </w:rPr>
        <w:t xml:space="preserve">falsable</w:t>
      </w:r>
      <w:r>
        <w:t xml:space="preserve">, con una variable observable y un sujeto de comparación.</w:t>
      </w:r>
    </w:p>
    <w:p>
      <w:pPr>
        <w:pStyle w:val="Heading2"/>
      </w:pPr>
      <w:r>
        <w:t xml:space="preserve">H1 — Hipótesis de valor *(principal)*</w:t>
      </w:r>
    </w:p>
    <w:p>
      <w:pPr/>
      <w:r>
        <w:t xml:space="preserve">&gt; </w:t>
      </w:r>
      <w:r>
        <w:rPr>
          <w:b/>
        </w:rPr>
        <w:t xml:space="preserve">Si</w:t>
      </w:r>
      <w:r>
        <w:t xml:space="preserve"> se integran los históricos de tareo, metrados y costos de obras cerradas en un modelo analítico y se usan para estimar las partidas de una obra nueva, </w:t>
      </w:r>
      <w:r>
        <w:rPr>
          <w:b/>
        </w:rPr>
        <w:t xml:space="preserve">entonces</w:t>
      </w:r>
      <w:r>
        <w:t xml:space="preserve"> el desvío entre el costo estimado y el costo real ejecutado se reduce a un máximo de </w:t>
      </w:r>
      <w:r>
        <w:rPr>
          <w:b/>
        </w:rPr>
        <w:t xml:space="preserve">±15 %</w:t>
      </w:r>
      <w:r>
        <w:t xml:space="preserve"> (rango compatible con una estimación de Clase 2–3 según AACE 18R-97), frente a la línea base de estimación manual actual.</w:t>
      </w:r>
    </w:p>
    <w:p>
      <w:pPr>
        <w:ind w:left="567" w:hanging="283"/>
      </w:pPr>
      <w:r>
        <w:t xml:space="preserve">•  </w:t>
      </w:r>
      <w:r>
        <w:rPr>
          <w:b/>
        </w:rPr>
        <w:t xml:space="preserve">Variable observable:</w:t>
      </w:r>
      <w:r>
        <w:t xml:space="preserve"> error porcentual absoluto de la estimación por partida (|estimado − real| / real).</w:t>
      </w:r>
    </w:p>
    <w:p>
      <w:pPr>
        <w:ind w:left="567" w:hanging="283"/>
      </w:pPr>
      <w:r>
        <w:t xml:space="preserve">•  </w:t>
      </w:r>
      <w:r>
        <w:rPr>
          <w:b/>
        </w:rPr>
        <w:t xml:space="preserve">Se falsa si:</w:t>
      </w:r>
      <w:r>
        <w:t xml:space="preserve"> el desvío del método analítico no es estadísticamente menor que el de la línea base manual.</w:t>
      </w:r>
    </w:p>
    <w:p>
      <w:pPr>
        <w:pStyle w:val="Heading2"/>
      </w:pPr>
      <w:r>
        <w:t xml:space="preserve">H2 — Hipótesis de viabilidad técnica</w:t>
      </w:r>
    </w:p>
    <w:p>
      <w:pPr/>
      <w:r>
        <w:t xml:space="preserve">&gt; </w:t>
      </w:r>
      <w:r>
        <w:rPr>
          <w:b/>
        </w:rPr>
        <w:t xml:space="preserve">Es viable</w:t>
      </w:r>
      <w:r>
        <w:t xml:space="preserve"> construir un prototipo extracción → modelo dimensional → tablero, a partir de extractos sintéticos del ERP, </w:t>
      </w:r>
      <w:r>
        <w:rPr>
          <w:b/>
        </w:rPr>
        <w:t xml:space="preserve">sin</w:t>
      </w:r>
      <w:r>
        <w:t xml:space="preserve"> degradar el ERP transaccional y </w:t>
      </w:r>
      <w:r>
        <w:rPr>
          <w:b/>
        </w:rPr>
        <w:t xml:space="preserve">con</w:t>
      </w:r>
      <w:r>
        <w:t xml:space="preserve"> el equipo TI actual, en un horizonte académico de </w:t>
      </w:r>
      <w:r>
        <w:rPr>
          <w:b/>
        </w:rPr>
        <w:t xml:space="preserve">≤ 4 semanas</w:t>
      </w:r>
      <w:r>
        <w:t xml:space="preserve"> de esfuerzo.</w:t>
      </w:r>
    </w:p>
    <w:p>
      <w:pPr>
        <w:ind w:left="567" w:hanging="283"/>
      </w:pPr>
      <w:r>
        <w:t xml:space="preserve">•  </w:t>
      </w:r>
      <w:r>
        <w:rPr>
          <w:b/>
        </w:rPr>
        <w:t xml:space="preserve">Variable observable:</w:t>
      </w:r>
      <w:r>
        <w:t xml:space="preserve"> pipeline ejecutado de extremo a extremo, reproducible con un comando, y ausencia de impacto sobre el sistema transaccional.</w:t>
      </w:r>
    </w:p>
    <w:p>
      <w:pPr>
        <w:ind w:left="567" w:hanging="283"/>
      </w:pPr>
      <w:r>
        <w:t xml:space="preserve">•  </w:t>
      </w:r>
      <w:r>
        <w:rPr>
          <w:b/>
        </w:rPr>
        <w:t xml:space="preserve">Se falsa si:</w:t>
      </w:r>
      <w:r>
        <w:t xml:space="preserve"> el prototipo no se completa, no es reproducible, o exige tocar el ERP en producción.</w:t>
      </w:r>
    </w:p>
    <w:p>
      <w:pPr>
        <w:pStyle w:val="Heading2"/>
      </w:pPr>
      <w:r>
        <w:t xml:space="preserve">H3 — Hipótesis de adopción / operación</w:t>
      </w:r>
    </w:p>
    <w:p>
      <w:pPr/>
      <w:r>
        <w:t xml:space="preserve">&gt; </w:t>
      </w:r>
      <w:r>
        <w:rPr>
          <w:b/>
        </w:rPr>
        <w:t xml:space="preserve">Si</w:t>
      </w:r>
      <w:r>
        <w:t xml:space="preserve"> el tablero previsto vs. ejecutado reduce el tiempo de elaboración de la valorización en </w:t>
      </w:r>
      <w:r>
        <w:rPr>
          <w:b/>
        </w:rPr>
        <w:t xml:space="preserve">≥ 80 %</w:t>
      </w:r>
      <w:r>
        <w:t xml:space="preserve"> (meta de la "marcha en paralelo", Semana 3) y exige un esfuerzo de registro aceptable, </w:t>
      </w:r>
      <w:r>
        <w:rPr>
          <w:b/>
        </w:rPr>
        <w:t xml:space="preserve">entonces</w:t>
      </w:r>
      <w:r>
        <w:t xml:space="preserve"> al menos </w:t>
      </w:r>
      <w:r>
        <w:rPr>
          <w:b/>
        </w:rPr>
        <w:t xml:space="preserve">70 %</w:t>
      </w:r>
      <w:r>
        <w:t xml:space="preserve"> de los usuarios de Costos y Jefes de Obra mantendrán su uso semanal tras 4 semanas, abandonando las planillas paralelas.</w:t>
      </w:r>
    </w:p>
    <w:p>
      <w:pPr>
        <w:ind w:left="567" w:hanging="283"/>
      </w:pPr>
      <w:r>
        <w:t xml:space="preserve">•  </w:t>
      </w:r>
      <w:r>
        <w:rPr>
          <w:b/>
        </w:rPr>
        <w:t xml:space="preserve">Variable observable:</w:t>
      </w:r>
      <w:r>
        <w:t xml:space="preserve"> porcentaje de usuarios activos semanales y tiempo de elaboración (min).</w:t>
      </w:r>
    </w:p>
    <w:p>
      <w:pPr>
        <w:ind w:left="567" w:hanging="283"/>
      </w:pPr>
      <w:r>
        <w:t xml:space="preserve">•  </w:t>
      </w:r>
      <w:r>
        <w:rPr>
          <w:b/>
        </w:rPr>
        <w:t xml:space="preserve">Se falsa si:</w:t>
      </w:r>
      <w:r>
        <w:t xml:space="preserve"> el uso semanal es menor al 70 % o el tiempo no se reduce.</w:t>
      </w:r>
    </w:p>
    <w:p>
      <w:pPr>
        <w:ind w:left="567" w:hanging="283"/>
      </w:pPr>
      <w:r>
        <w:t xml:space="preserve">•  </w:t>
      </w:r>
      <w:r>
        <w:rPr>
          <w:b/>
        </w:rPr>
        <w:t xml:space="preserve">Nota de integridad:</w:t>
      </w:r>
      <w:r>
        <w:t xml:space="preserve"> el umbral del 80 % proviene de la meta interna fijada en la Semana 3; el umbral del 70 % es un </w:t>
      </w:r>
      <w:r>
        <w:rPr>
          <w:b/>
        </w:rPr>
        <w:t xml:space="preserve">supuesto operativo del equipo</w:t>
      </w:r>
      <w:r>
        <w:t xml:space="preserve"> (S-11) y deberá validarse con datos reales de adopción, no se presenta como benchmark externo.</w:t>
      </w:r>
    </w:p>
    <w:p>
      <w:pPr/>
      <w:r>
        <w:rPr>
          <w:b/>
        </w:rPr>
        <w:t xml:space="preserve">Nota metodológica:</w:t>
      </w:r>
      <w:r>
        <w:t xml:space="preserve"> las hipótesis no incluyen IA generativa como componente principal. La IA (T5) permanece en anillo *Probar/Evaluar* y su valor depende de que H1 y H2 se validen primero; priorizarla antes de resolver la calidad y el control de datos contradiría la decisión D-03.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4. Diseño del experimento / PoC (valida H1)</w:t>
      </w:r>
    </w:p>
    <w:p>
      <w:pPr/>
      <w:r>
        <w:rPr>
          <w:b/>
        </w:rPr>
        <w:t xml:space="preserve">Tipo:</w:t>
      </w:r>
      <w:r>
        <w:t xml:space="preserve"> experimento controlado de comparación de método de estimación sobre datos sintéticos.</w:t>
      </w:r>
    </w:p>
    <w:p>
      <w:pPr/>
      <w:r>
        <w:rPr>
          <w:b/>
        </w:rPr>
        <w:t xml:space="preserve">Alcance:</w:t>
      </w:r>
      <w:r>
        <w:t xml:space="preserve"> académico, reproducible, sin datos reales ni confidenciales.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Elemento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Definición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Objetivo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Medir si la estimación basada en históricos reduce el error frente a una línea base manual simulada.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Unidad de análisis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Partida de control de una obra.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Población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6 obras cerradas (histórico) + 1 obra nueva a estimar.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Tratamiento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Estimación por ratios históricos (HH/unidad y S//unidad) calculados del histórico.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Control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Estimación "manual" simulada con la variabilidad observada en la estimación sin base integrada.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Datos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Extractos </w:t>
            </w:r>
            <w:r>
              <w:rPr>
                <w:b/>
              </w:rPr>
              <w:t xml:space="preserve">sintéticos</w:t>
            </w:r>
            <w:r>
              <w:t xml:space="preserve"> generados por </w:t>
            </w:r>
            <w:r>
              <w:rPr>
                <w:rFonts w:ascii="Consolas" w:hAnsi="Consolas"/>
                <w:sz w:val="20"/>
              </w:rPr>
              <w:t xml:space="preserve">poc/POC-01-estimacion-historicos/src/synthetic_erp_data.py</w:t>
            </w:r>
            <w:r>
              <w:t xml:space="preserve"> (semilla fija).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Métrica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MAPE (error porcentual absoluto medio) por partida, para tratamiento y control.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Duración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Ejecución en minutos; diseño y análisis en ≤ 4 semanas académicas.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Recursos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Python estándar (sin dependencias externas), un entorno local.</w:t>
            </w:r>
          </w:p>
        </w:tc>
      </w:tr>
    </w:tbl>
    <w:p>
      <w:pPr/>
      <w:r>
        <w:rPr>
          <w:b/>
        </w:rPr>
        <w:t xml:space="preserve">Pasos:</w:t>
      </w:r>
    </w:p>
    <w:p>
      <w:pPr>
        <w:ind w:left="567" w:hanging="283"/>
      </w:pPr>
      <w:r>
        <w:t xml:space="preserve">•  </w:t>
      </w:r>
      <w:r>
        <w:t xml:space="preserve">1. Generar extractos sintéticos (</w:t>
      </w:r>
      <w:r>
        <w:rPr>
          <w:rFonts w:ascii="Consolas" w:hAnsi="Consolas"/>
          <w:sz w:val="20"/>
        </w:rPr>
        <w:t xml:space="preserve">synthetic_erp_data.py</w:t>
      </w:r>
      <w:r>
        <w:t xml:space="preserve">) y guardarlos en </w:t>
      </w:r>
      <w:r>
        <w:rPr>
          <w:rFonts w:ascii="Consolas" w:hAnsi="Consolas"/>
          <w:sz w:val="20"/>
        </w:rPr>
        <w:t xml:space="preserve">poc/experimento_bi/data/</w:t>
      </w:r>
      <w:r>
        <w:t xml:space="preserve">.</w:t>
      </w:r>
    </w:p>
    <w:p>
      <w:pPr>
        <w:ind w:left="567" w:hanging="283"/>
      </w:pPr>
      <w:r>
        <w:t xml:space="preserve">•  </w:t>
      </w:r>
      <w:r>
        <w:t xml:space="preserve">2. Calcular ratios históricos por partida desde obras cerradas.</w:t>
      </w:r>
    </w:p>
    <w:p>
      <w:pPr>
        <w:ind w:left="567" w:hanging="283"/>
      </w:pPr>
      <w:r>
        <w:t xml:space="preserve">•  </w:t>
      </w:r>
      <w:r>
        <w:t xml:space="preserve">3. Estimar la obra nueva con el método analítico y con la línea base manual.</w:t>
      </w:r>
    </w:p>
    <w:p>
      <w:pPr>
        <w:ind w:left="567" w:hanging="283"/>
      </w:pPr>
      <w:r>
        <w:t xml:space="preserve">•  </w:t>
      </w:r>
      <w:r>
        <w:t xml:space="preserve">4. Calcular MAPE de ambos métodos y contrastar con los umbrales.</w:t>
      </w:r>
    </w:p>
    <w:p>
      <w:pPr>
        <w:ind w:left="567" w:hanging="283"/>
      </w:pPr>
      <w:r>
        <w:t xml:space="preserve">•  </w:t>
      </w:r>
      <w:r>
        <w:t xml:space="preserve">5. Emitir </w:t>
      </w:r>
      <w:r>
        <w:rPr>
          <w:rFonts w:ascii="Consolas" w:hAnsi="Consolas"/>
          <w:sz w:val="20"/>
        </w:rPr>
        <w:t xml:space="preserve">resultados.csv</w:t>
      </w:r>
      <w:r>
        <w:t xml:space="preserve"> y registrar la decisión (continuar / modificar / detener).</w:t>
      </w:r>
    </w:p>
    <w:p>
      <w:pPr/>
      <w:r>
        <w:rPr>
          <w:b/>
        </w:rPr>
        <w:t xml:space="preserve">Riesgos del experimento y control:</w:t>
      </w:r>
      <w:r>
        <w:t xml:space="preserve"> datos sintéticos pueden no representar al caso real (se declara como limitación, no como resultado de negocio); el diseño prioriza verificar el </w:t>
      </w:r>
      <w:r>
        <w:rPr>
          <w:b/>
        </w:rPr>
        <w:t xml:space="preserve">método y las métricas</w:t>
      </w:r>
      <w:r>
        <w:t xml:space="preserve">, no afirmar desempeño real (regla de integridad de la guía).</w:t>
      </w:r>
    </w:p>
    <w:p>
      <w:pPr/>
      <w:r>
        <w:t xml:space="preserve">El guion reproducible y los archivos se detallan en </w:t>
      </w:r>
      <w:r>
        <w:rPr>
          <w:rFonts w:ascii="Consolas" w:hAnsi="Consolas"/>
          <w:sz w:val="20"/>
        </w:rPr>
        <w:t xml:space="preserve">poc/POC-01-estimacion-historicos/README.md</w:t>
      </w:r>
      <w:r>
        <w:t xml:space="preserve">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5. Tabla hipótesis – experimento – métrica – umbral – decisión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Hipótesis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Experimento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Métrica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Umbral de aceptación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Criterio de decisión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H1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La estimación con históricos reduce el desvío a ≤ ±15 %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Comparar MAPE del método analítico vs. línea base manual sobre obra sintética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MAPE partida (%)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Analítico ≤ 15 % </w:t>
            </w:r>
            <w:r>
              <w:rPr>
                <w:b/>
              </w:rPr>
              <w:t xml:space="preserve">y</w:t>
            </w:r>
            <w:r>
              <w:t xml:space="preserve"> reducción ≥ 30 % del error frente a la base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Continuar</w:t>
            </w:r>
            <w:r>
              <w:t xml:space="preserve"> si cumple; </w:t>
            </w:r>
            <w:r>
              <w:rPr>
                <w:b/>
              </w:rPr>
              <w:t xml:space="preserve">modificar</w:t>
            </w:r>
            <w:r>
              <w:t xml:space="preserve"> el modelo si no mejora; </w:t>
            </w:r>
            <w:r>
              <w:rPr>
                <w:b/>
              </w:rPr>
              <w:t xml:space="preserve">detener</w:t>
            </w:r>
            <w:r>
              <w:t xml:space="preserve"> si MAPE analítico &gt; 30 %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H2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Es viable un PoC reproducible sin afectar el ERP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Ejecutar el pipeline completo con un comando y verificar aislamiento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Éxito de ejecución + tiempo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100 % reproducible y sin tocar el transaccional, en ≤ 4 semanas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Continuar</w:t>
            </w:r>
            <w:r>
              <w:t xml:space="preserve"> si cumple; </w:t>
            </w:r>
            <w:r>
              <w:rPr>
                <w:b/>
              </w:rPr>
              <w:t xml:space="preserve">detener</w:t>
            </w:r>
            <w:r>
              <w:t xml:space="preserve"> si requiere acceso a producción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H3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≥ 70 % de uso semanal con −80 % de tiempo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Piloto de tablero con usuarios sintéticos/entrevistas de usabilidad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% usuarios activos semanales; tiempo (min)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Uso ≥ 70 %; tiempo ≤ 20 % del actual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Continuar</w:t>
            </w:r>
            <w:r>
              <w:t xml:space="preserve"> si cumple; </w:t>
            </w:r>
            <w:r>
              <w:rPr>
                <w:b/>
              </w:rPr>
              <w:t xml:space="preserve">modificar</w:t>
            </w:r>
            <w:r>
              <w:t xml:space="preserve"> UX si el uso es menor; </w:t>
            </w:r>
            <w:r>
              <w:rPr>
                <w:b/>
              </w:rPr>
              <w:t xml:space="preserve">detener</w:t>
            </w:r>
            <w:r>
              <w:t xml:space="preserve"> si no reduce tiempo</w:t>
            </w:r>
          </w:p>
        </w:tc>
      </w:tr>
    </w:tbl>
    <w:p>
      <w:pPr>
        <w:pStyle w:val="Heading2"/>
      </w:pPr>
      <w:r>
        <w:t xml:space="preserve">5.1 Justificación de umbrales con fuentes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Umbral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Valor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Fuente / razón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Exactitud de estimación por clases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Clase 5: −20 %/−50 % a +30 %/+100 %; Clase 1: −3 %/−10 % a +3 %/+15 % (80 % de confianza)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AACE International (2020), RP 18R-97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Meta de desvío H1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≤ ±15 %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Dentro del rango de estimación de Clase 2–3 (factibilidad / autorización de presupuesto) de AACE 18R-97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Severidad del problema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30–40 % de proyectos globales con pobre desempeño de costo; estimación inexacta entre los 7 factores clave de sobrecosto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Elserougy et al. (2024); Abdelalim et al. (2025)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Benchmark financiero del sector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Rangos de margen/costo para contextualizar el impacto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CFMA (2025)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Viabilidad/automatización de la entrega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Las capacidades y la automatización impactan el desempeño de entrega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DORA (2025)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Madurez tecnológica de la tendencia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BI/analítica operacional en anillo *Adoptar*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Thoughtworks (2025)</w:t>
            </w:r>
          </w:p>
        </w:tc>
      </w:tr>
    </w:tbl>
    <w:p>
      <w:pPr/>
      <w:r>
        <w:rPr>
          <w:b/>
        </w:rPr>
        <w:t xml:space="preserve">Nota:</w:t>
      </w:r>
      <w:r>
        <w:t xml:space="preserve"> todos los valores numéricos provienen de las fuentes citadas, salvo el umbral operativo de adopción (70 %), declarado como supuesto S-11.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6. Impact Canvas actualizado — BI y analítica operacional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Dimensión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Análisis actualizado (Semana 4)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Valor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Habilita estimación de partidas con históricos y control previsto vs. ejecutado; ataca directamente S-08. El valor se mide como reducción del desvío (H1) y del tiempo de control.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Arquitectura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Capa analítica desacoplada del ERP: extracción → modelo dimensional (partidas, obra, tiempo) → serving. No reemplaza el transaccional (D-02). Habilita la T4 (arquitectura de datos analítica) en anillo *Probar*.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Personas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Requiere capacidades de modelado y análisis (brecha Semana 3: Analista de Presupuestos → Ingeniero de Costos Basado en Datos) y adopción de Jefes de Obra (resistencia 4.2).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Seguridad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Permisos por rol y por obra; control de acceso a información económica; trazabilidad de origen (NIST SSDF, 2025).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Economía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Costos de licencias, desarrollo y operación deben compararse con el ahorro de esfuerzo y el valor de decisión; complejidad proporcional a la escala (CFMA, 2025).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Sostenibilidad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Evitar duplicación de datos y procesamiento innecesario; reutilizar el histórico existente antes de añadir plataforma.</w:t>
            </w:r>
          </w:p>
        </w:tc>
      </w:tr>
    </w:tbl>
    <w:p>
      <w:pPr/>
      <w:r>
        <w:rPr>
          <w:b/>
        </w:rPr>
        <w:t xml:space="preserve">Cambio respecto de la Semana 1:</w:t>
      </w:r>
      <w:r>
        <w:t xml:space="preserve"> se refuerza la dimensión de valor con umbrales medibles (H1) y se precisan los riesgos de adopción (H3), antes ausentes. El anillo (*Adoptar*) se mantiene; ver sección 7.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7. Registros actualizados</w:t>
      </w:r>
    </w:p>
    <w:p>
      <w:pPr>
        <w:pStyle w:val="Heading2"/>
      </w:pPr>
      <w:r>
        <w:t xml:space="preserve">7.1 Registro de decisiones (nuevas / actualizadas)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Fecha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Decisión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Alternativas consideradas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Evidencia / razón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Responsable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Fijar BI y analítica operacional como tendencia principal de la Semana 4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Arquitectura de datos analítica; IA generativa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Ataca directamente S-08 y es el anillo *Adoptar* del Radar v0.1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Equipo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D-07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Validar H1 con un PoC de estimación por históricos sobre datos sintéticos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Encuesta de percepción; piloto en producción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Permite medir desvío real sin riesgo y a escala académica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Equipo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D-08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Mantener la IA generativa en *Probar/Evaluar* subordinada a H1/H2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Priorizar IA como primera capa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Depende de datos confiables y trazables (D-03)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Equipo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Vigente</w:t>
            </w:r>
          </w:p>
        </w:tc>
      </w:tr>
    </w:tbl>
    <w:p>
      <w:pPr>
        <w:pStyle w:val="Heading2"/>
      </w:pPr>
      <w:r>
        <w:t xml:space="preserve">7.2 Supuestos nuevos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Supuesto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Tipo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S-11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El umbral de adopción operativa se fija en 70 % de uso semanal tras 4 semanas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Operación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Por validar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S-12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Existen históricos suficientes de obras cerradas con granularidad por partida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Datos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Por validar</w:t>
            </w:r>
          </w:p>
        </w:tc>
      </w:tr>
    </w:tbl>
    <w:p>
      <w:pPr>
        <w:pStyle w:val="Heading2"/>
      </w:pPr>
      <w:r>
        <w:t xml:space="preserve">7.3 Registro de contribuciones</w:t>
      </w:r>
    </w:p>
    <w:tbl>
      <w:tblPr>
        <w:tblW w:w="0" w:type="auto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Integrante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Responsabilidad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Artefacto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Fecha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Anthony Romani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Declaración del problema y usuarios afectados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Sección 1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Documento: Sección 1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Max Astuhuaman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Hipótesis y tabla hipótesis–experimento–métrica–umbral–decisión; fuentes y umbrales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Secciones 3 y 5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Documento: Secciones 3 y 5; hoja Fuentes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Guillermo Calle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Diseño y construcción del PoC (generador de datos y experimento)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Sección 4 y </w:t>
            </w:r>
            <w:r>
              <w:rPr>
                <w:rFonts w:ascii="Consolas" w:hAnsi="Consolas"/>
                <w:sz w:val="20"/>
              </w:rPr>
              <w:t xml:space="preserve">poc/POC-01-estimacion-historicos/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 xml:space="preserve">synthetic_erp_data.py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 xml:space="preserve">experimento_bi.py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 xml:space="preserve">resultados.csv</w:t>
            </w:r>
          </w:p>
        </w:tc>
      </w:tr>
      <w:tr>
        <w:tc>
          <w:tcPr>
            <w:tcW w:w="1800" w:type="dxa"/>
          </w:tcPr>
          <w:p>
            <w:pPr>
              <w:spacing w:after="0"/>
            </w:pPr>
            <w:r>
              <w:t xml:space="preserve">Pablo Mendoza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Propuesta de valor, Impact Canvas actualizado y revisión de coherencia integral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Secciones 2 y 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02/10/2026</w:t>
            </w:r>
          </w:p>
        </w:tc>
        <w:tc>
          <w:tcPr>
            <w:tcW w:w="1800" w:type="dxa"/>
          </w:tcPr>
          <w:p>
            <w:pPr>
              <w:spacing w:after="0"/>
            </w:pPr>
            <w:r>
              <w:t xml:space="preserve">Documento: Secciones 2 y 6; revisión final</w:t>
            </w:r>
          </w:p>
        </w:tc>
      </w:tr>
    </w:tbl>
    <w:p>
      <w:pPr/>
      <w:r>
        <w:t xml:space="preserve">*(El registro editable se mantiene en </w:t>
      </w:r>
      <w:r>
        <w:rPr>
          <w:rFonts w:ascii="Consolas" w:hAnsi="Consolas"/>
          <w:sz w:val="20"/>
        </w:rPr>
        <w:t xml:space="preserve">gestion/registros/</w:t>
      </w:r>
      <w:r>
        <w:t xml:space="preserve"> con autor, actividad, fecha y evidencia verificable.)*</w:t>
      </w:r>
    </w:p>
    <w:p>
      <w:pPr>
        <w:pBdr>
          <w:bottom w:val="single" w:sz="6" w:color="BBBBBB"/>
        </w:pBdr>
      </w:pPr>
    </w:p>
    <w:p>
      <w:pPr>
        <w:pStyle w:val="Heading1"/>
      </w:pPr>
      <w:r>
        <w:t xml:space="preserve">8. Referencias</w:t>
      </w:r>
    </w:p>
    <w:p>
      <w:pPr/>
      <w:r>
        <w:t xml:space="preserve">AACE International. (2020). *Recommended Practice No. 18R-97: Cost Estimate Classification System – As Applied in Engineering, Procurement, and Construction for the Process Industries* (Rev. August 7, 2020). AACE International. https://web.aacei.org/docs/default-source/toc/toc_18r-97.pdf</w:t>
      </w:r>
    </w:p>
    <w:p>
      <w:pPr/>
      <w:r>
        <w:t xml:space="preserve">Abdelalim, A. M., Salem, M., Salem, M., Al-Adwani, M., &amp; Tantawy, M. (2025). An analysis of factors contributing to cost overruns in the global construction industry. *Buildings, 15*(1), 18. https://doi.org/10.3390/buildings15010018</w:t>
      </w:r>
    </w:p>
    <w:p>
      <w:pPr/>
      <w:r>
        <w:t xml:space="preserve">Construction Financial Management Association. (2025). *2025 Construction Financial Benchmarker*. CFMA. https://cfma.org/</w:t>
      </w:r>
    </w:p>
    <w:p>
      <w:pPr/>
      <w:r>
        <w:t xml:space="preserve">DORA. (2025). *State of AI-assisted Software Development 2025*. https://dora.dev/research/2025/dora-report/</w:t>
      </w:r>
    </w:p>
    <w:p>
      <w:pPr/>
      <w:r>
        <w:t xml:space="preserve">Elserougy, M., Khodeir, L. M., &amp; Fathy, F. (2024). Practices and techniques for construction projects cost control – a critical review. *HBRC Journal, 20*(1), 525–552. https://doi.org/10.1080/16874048.2024.2337060</w:t>
      </w:r>
    </w:p>
    <w:p>
      <w:pPr/>
      <w:r>
        <w:t xml:space="preserve">National Institute of Standards and Technology. (2025). *Secure Software Development Framework (SSDF) Version 1.2* (NIST SP 800-218 Rev. 1). https://csrc.nist.gov/</w:t>
      </w:r>
    </w:p>
    <w:p>
      <w:pPr/>
      <w:r>
        <w:t xml:space="preserve">Osterwalder, A., Pigneur, Y., Bernarda, G., &amp; Smith, A. (2014). *Value Proposition Design*. Wiley.</w:t>
      </w:r>
    </w:p>
    <w:p>
      <w:pPr/>
      <w:r>
        <w:t xml:space="preserve">Thoughtworks. (2025). *Technology Radar, Volume 33*. https://www.thoughtworks.com/radar</w:t>
      </w:r>
    </w:p>
    <w:p>
      <w:pPr>
        <w:pBdr>
          <w:bottom w:val="single" w:sz="6" w:color="BBBBBB"/>
        </w:pBdr>
      </w:pPr>
    </w:p>
    <w:p>
      <w:pPr/>
      <w:r>
        <w:t xml:space="preserve">*Documento elaborado por el Grupo 1. Las cifras de desempeño del PoC son simuladas con datos sintéticos y sirven para validar método y métricas, no para afirmar resultados de negocio reales.*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pPr>
      <w:spacing w:before="240" w:after="120"/>
    </w:pPr>
    <w:rPr>
      <w:b/>
      <w:sz w:val="40"/>
      <w:color w:val="1F4E79"/>
    </w:rPr>
  </w:style>
  <w:style w:type="paragraph" w:styleId="Heading1">
    <w:name w:val="heading 1"/>
    <w:pPr>
      <w:keepNext/>
      <w:spacing w:before="280" w:after="120"/>
      <w:outlineLvl w:val="0"/>
    </w:pPr>
    <w:rPr>
      <w:b/>
      <w:sz w:val="30"/>
      <w:color w:val="1F4E79"/>
    </w:rPr>
  </w:style>
  <w:style w:type="paragraph" w:styleId="Heading2">
    <w:name w:val="heading 2"/>
    <w:pPr>
      <w:keepNext/>
      <w:spacing w:before="200" w:after="80"/>
      <w:outlineLvl w:val="1"/>
    </w:pPr>
    <w:rPr>
      <w:b/>
      <w:sz w:val="26"/>
      <w:color w:val="2E74B5"/>
    </w:rPr>
  </w:style>
  <w:style w:type="paragraph" w:styleId="Heading3">
    <w:name w:val="heading 3"/>
    <w:pPr>
      <w:keepNext/>
      <w:spacing w:before="160" w:after="60"/>
      <w:outlineLvl w:val="2"/>
    </w:pPr>
    <w:rPr>
      <w:b/>
      <w:sz w:val="23"/>
      <w:color w:val="2E74B5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Grupo1-TISG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Proyecto Integrador — Semana 4</dc:title>
  <dc:creator>Grupo 1 - TISG 2026-2</dc:creator>
  <dcterms:created xsi:type="dcterms:W3CDTF">2026-10-19T16:27:59Z</dcterms:created>
</cp:coreProperties>
</file>