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Proyecto Integrador — Semana 5</w:t>
      </w:r>
    </w:p>
    <w:p>
      <w:pPr>
        <w:pStyle w:val="Heading1"/>
      </w:pPr>
      <w:r>
        <w:t xml:space="preserve">Hito I: arquitectura AS-IS / TO-BE v0.1</w:t>
      </w:r>
    </w:p>
    <w:p>
      <w:pPr/>
      <w:r>
        <w:rPr>
          <w:b/>
        </w:rPr>
        <w:t xml:space="preserve">Transformación Digital de Constructora Andina S.A.C.</w:t>
      </w:r>
    </w:p>
    <w:p>
      <w:pPr/>
      <w:r>
        <w:t xml:space="preserve">*Hacia el control integrado de costos previsto vs. ejecutado a partir de los históricos de obra*</w:t>
      </w:r>
    </w:p>
    <w:p>
      <w:pPr/>
      <w:r>
        <w:t xml:space="preserve">Universidad Nacional Mayor de San Marcos (UNMSM) — FISI — Ingeniería de Software</w:t>
      </w:r>
    </w:p>
    <w:p>
      <w:pPr/>
      <w:r>
        <w:t xml:space="preserve">Curso: Tendencias en Ingeniería de Software y Gestión — Proyecto Integrador 2026-2</w:t>
      </w:r>
    </w:p>
    <w:p>
      <w:pPr/>
      <w:r>
        <w:t xml:space="preserve">Grupo 1 · Docente: Mg. PMP Yamil Quiñones Nieto</w:t>
      </w:r>
    </w:p>
    <w:p>
      <w:pPr>
        <w:pBdr>
          <w:bottom w:val="single" w:sz="6" w:color="BBBBBB"/>
        </w:pBdr>
      </w:pPr>
    </w:p>
    <w:p>
      <w:pPr>
        <w:pStyle w:val="Heading2"/>
      </w:pPr>
      <w:r>
        <w:t xml:space="preserve">Control de versiones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Versión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Fecha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Cambio principal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v1.0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09/10/2026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Consolidación de las semanas 1–5: arquitectura AS-IS, deuda técnica priorizada, arquitectura TO-BE v0.1, seis decisiones arquitectónicas y mapa de dependencias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</w:tr>
    </w:tbl>
    <w:p>
      <w:pPr/>
      <w:r>
        <w:rPr>
          <w:b/>
        </w:rPr>
        <w:t xml:space="preserve">Objetivo del Hito I (guía del curso):</w:t>
      </w:r>
      <w:r>
        <w:t xml:space="preserve"> consolidar en un solo documento la fotografía arquitectónica actual, los problemas que la limitan y una versión objetivo proporcional, con decisiones justificadas y un mapa de dependencias para implementarla.</w:t>
      </w:r>
    </w:p>
    <w:p>
      <w:pPr/>
      <w:r>
        <w:rPr>
          <w:b/>
        </w:rPr>
        <w:t xml:space="preserve">Peso en el proyecto:</w:t>
      </w:r>
      <w:r>
        <w:t xml:space="preserve"> 8 % (acumulado 25 %). </w:t>
      </w:r>
      <w:r>
        <w:rPr>
          <w:b/>
        </w:rPr>
        <w:t xml:space="preserve">Regla del hito:</w:t>
      </w:r>
      <w:r>
        <w:t xml:space="preserve"> es una fotografía hasta la semana 5; toda corrección posterior debe registrarse y justificarse.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1. Resumen ejecutivo</w:t>
      </w:r>
    </w:p>
    <w:p>
      <w:pPr/>
      <w:r>
        <w:t xml:space="preserve">Constructora Andina S.A.C. opera con un ERP Odoo 16 Enterprise on-premise que registra la transacción, pero </w:t>
      </w:r>
      <w:r>
        <w:rPr>
          <w:b/>
        </w:rPr>
        <w:t xml:space="preserve">no reutiliza sus históricos</w:t>
      </w:r>
      <w:r>
        <w:t xml:space="preserve"> para presupuestar ni para controlar el costo previsto frente al ejecutado. La información de obra se completa en hojas de cálculo locales, se consolida por correo y tarda hasta 15 días en reflejar el estado económico real.</w:t>
      </w:r>
    </w:p>
    <w:p>
      <w:pPr/>
      <w:r>
        <w:t xml:space="preserve">El Hito I no propone reemplazar el ERP. Propone una </w:t>
      </w:r>
      <w:r>
        <w:rPr>
          <w:b/>
        </w:rPr>
        <w:t xml:space="preserve">evolución por capas</w:t>
      </w:r>
      <w:r>
        <w:t xml:space="preserve">: mantener Odoo 16 como núcleo transaccional, agregar una capa de datos analítica (réplica de solo lectura, orquestación y transformación versionada), publicar un modelo gobernado y consumirlo con Power BI Pro bajo control de acceso. La arquitectura objetivo v0.1 excluye explícitamente eventos, agentes de IA, lakehouse y nuevas integraciones en tiempo real porque </w:t>
      </w:r>
      <w:r>
        <w:rPr>
          <w:b/>
        </w:rPr>
        <w:t xml:space="preserve">no tienen todavía una función de negocio definida y evidenciada</w:t>
      </w:r>
      <w:r>
        <w:t xml:space="preserve"> en el caso.</w:t>
      </w:r>
    </w:p>
    <w:p>
      <w:pPr/>
      <w:r>
        <w:t xml:space="preserve">La consolidación de las semanas 1–5 da como resultado seis decisiones arquitectónicas (ADR-01 a ADR-06), once problemas y deudas técnicas priorizadas (DT-01 a DT-11) y un mapa de dependencias con nueve habilitadores (E-1 a E-9) sobre una base de gobernanza (F-01).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2. Trazabilidad de la consolidación (semanas 1–5)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Semana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Artefacto entregado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Aporte al Hito 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Caso, Project Charter, stakeholder map inicial y Technology Radar v0.1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Define alcance, objetivos, 12 tendencias y los anillos Adoptar/Probar/Evaluar/Esperar que acotan el TO-BE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Business Model Canvas, oportunidades P-01 a P-03, decisiones D-01 a D-10 y supuestos SE-01 a SE-10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Explica por qué el valor está en costos y datos, no en cambiar el negocio; fundamenta D-02 y D-07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Stakeholder map ampliado, madurez sociotécnica (6 dimensiones), skills gap, 5 resistencias y plan de adopción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Identifica la brecha de personas y el riesgo de adopción que condiciona el orden de implementación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Problema, propuesta de valor, hipótesis H1–H3, PoC y Impact Canvas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Fija la métrica de valor y demuestra viabilidad técnica sin tocar el ERP en producción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AS-IS, deuda técnica, TO-BE v0.1, ADR y mapa de dependencias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Cierra el Hito I y convierte las hipótesis en una arquitectura implementable</w:t>
            </w:r>
          </w:p>
        </w:tc>
      </w:tr>
    </w:tbl>
    <w:p>
      <w:pPr/>
      <w:r>
        <w:rPr>
          <w:b/>
        </w:rPr>
        <w:t xml:space="preserve">Coherencia verificada:</w:t>
      </w:r>
      <w:r>
        <w:t xml:space="preserve"> el problema de la Semana 4 (histórico no reutilizado) es el mismo que ataca la oportunidad P-01 de la Semana 2 y la misma que la arquitectura TO-BE habilita. No se introduce ninguna tecnología que no tenga una función declarada en esa cadena.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3. Arquitectura AS-IS</w:t>
      </w:r>
    </w:p>
    <w:p>
      <w:pPr>
        <w:jc w:val="center"/>
        <w:spacing w:before="120" w:after="60"/>
      </w:pPr>
      <w:r>
        <w:drawing>
          <wp:inline distT="0" distB="0" distL="0" distR="0">
            <wp:extent cx="6120130" cy="454"/>
            <wp:docPr id="1" name="Imagen 1" descr="Figura 1. Arquitectura AS-IS de Constructora Andina S.A.C."/>
            <a:graphic>
              <a:graphicData uri="http://schemas.openxmlformats.org/drawingml/2006/picture">
                <pic:pic>
                  <pic:nvPicPr>
                    <pic:cNvPr id="1" name="Imagen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1. Arquitectura AS-IS de Constructora Andina S.A.C.</w:t>
      </w:r>
    </w:p>
    <w:p>
      <w:pPr>
        <w:pStyle w:val="Heading2"/>
      </w:pPr>
      <w:r>
        <w:t xml:space="preserve">3.1 Aplicaciones, datos, integraciones y límites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Capa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Elementos observados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Límite o problema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Actores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Gerencia, Proyectos, Costos, Compras, Obra, Contabilidad, TI (2 FTE) y auditoría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La información económica se consulta por canales distintos y con versiones distintas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Aplicaciones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Odoo 16 Enterprise on-premise (Ventas, Compras, Inventario, Contabilidad, Manufactura, Proyectos, RR.HH.), Excel 2021/365 y SharePoint/Outlook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existe plataforma analítica, catálogo de datos ni capa de integración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PostgreSQL 15 transaccional, archivos Excel y documentos PDF/Word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El histórico vive en el ERP, pero su explotación depende de extracciones manuales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Infraestructura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Dos servidores Hiper-V, NAS on-premise y copias locales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Capacidad y continuidad dependen de un equipo TI de dos personas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Sistemas externos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Hosting del proveedor, SUNAT y OSE certificado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Comprobantes y declaraciones se gestionan con intercambio manual o semi-manual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Integraciones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Exportaciones XLSX, correo y carga manual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hay contrato de datos, trazabilidad de transformación ni reconciliación automática</w:t>
            </w:r>
          </w:p>
        </w:tc>
      </w:tr>
    </w:tbl>
    <w:p>
      <w:pPr>
        <w:pStyle w:val="Heading2"/>
      </w:pPr>
      <w:r>
        <w:t xml:space="preserve">3.2 Flujo de información actual</w:t>
      </w:r>
    </w:p>
    <w:p>
      <w:pPr>
        <w:jc w:val="center"/>
        <w:spacing w:before="120" w:after="60"/>
      </w:pPr>
      <w:r>
        <w:drawing>
          <wp:inline distT="0" distB="0" distL="0" distR="0">
            <wp:extent cx="6120130" cy="385"/>
            <wp:docPr id="2" name="Imagen 2" descr="Figura 2. Flujo de información AS-IS"/>
            <a:graphic>
              <a:graphicData uri="http://schemas.openxmlformats.org/drawingml/2006/picture">
                <pic:pic>
                  <pic:nvPicPr>
                    <pic:cNvPr id="2" name="Imagen 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2. Flujo de información AS-IS</w:t>
      </w:r>
    </w:p>
    <w:p>
      <w:pPr/>
      <w:r>
        <w:t xml:space="preserve">El dato nace en el ERP y en las hojas de obra, pero el control de costos se reconstruye manualmente. El resultado es un histórico </w:t>
      </w:r>
      <w:r>
        <w:rPr>
          <w:b/>
        </w:rPr>
        <w:t xml:space="preserve">no comparable entre proyectos</w:t>
      </w:r>
      <w:r>
        <w:t xml:space="preserve">: cada analista aplica criterios propios y no queda registro de cómo se transformó la cifra. Esta es la causa raíz que la Semana 4 formuló como hipótesis H1 y que la Semana 2 identificó como P-01.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4. Problemas arquitectónicos y deuda técnica priorizada</w:t>
      </w:r>
    </w:p>
    <w:p>
      <w:pPr/>
      <w:r>
        <w:t xml:space="preserve">Prioridad calculada como </w:t>
      </w:r>
      <w:r>
        <w:rPr>
          <w:b/>
        </w:rPr>
        <w:t xml:space="preserve">impacto en el negocio × urgencia</w:t>
      </w:r>
      <w:r>
        <w:t xml:space="preserve">, ajustada por el riesgo asociado. La columna "Origen" mantiene la trazabilidad con las semanas previas.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Problema / deuda técnica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Impacto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Prioridad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Origen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Ausencia de una fuente única para el histórico de costos y rendimientos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Excel locales; P-01; H1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S2, S4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Sin contrato de datos ni diccionario de definiciones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Cifras dispares entre áreas; D-03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S2, S3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Extracción manual y no reproducible desde el ERP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Exportaciones XLSX; R-01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S1, S4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Modelo de datos inexistente para previsto vs. ejecutado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Consolidación tardía (hasta 15 días)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S3, S4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DT-05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Consultas de reporte sobre la misma base transaccional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Riesgo de degradar Odoo; R-03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Sin control de versiones de transformaciones ni de indicadores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hay linaje; SE-07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S2, S4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Sin observabilidad de procesos de 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Fallos detectados por el usuario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Despliegues y pruebas manuales en TI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Madurez DevEx nivel 2; R-07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S3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DT-09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Acceso a información económica sin RLS ni auditoría sistemática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S1, S2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DT-10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Dependencia de conocimiento individual en Costos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Resistencia a abandonar planillas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S3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DT-11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Sin línea base de adopción y calidad de 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H3; SE-07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S3, S4</w:t>
            </w:r>
          </w:p>
        </w:tc>
      </w:tr>
    </w:tbl>
    <w:p>
      <w:pPr/>
      <w:r>
        <w:rPr>
          <w:b/>
        </w:rPr>
        <w:t xml:space="preserve">Regla de priorización:</w:t>
      </w:r>
      <w:r>
        <w:t xml:space="preserve"> ningún ítem P1 se resuelve comprando tecnología. DT-01, DT-02, DT-03, DT-04 y DT-09 se atacan con acuerdos, definiciones y automatización simple; la herramienta solo materializa la decisión.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5. Arquitectura TO-BE v0.1</w:t>
      </w:r>
    </w:p>
    <w:p>
      <w:pPr>
        <w:jc w:val="center"/>
        <w:spacing w:before="120" w:after="60"/>
      </w:pPr>
      <w:r>
        <w:drawing>
          <wp:inline distT="0" distB="0" distL="0" distR="0">
            <wp:extent cx="6120130" cy="454"/>
            <wp:docPr id="3" name="Imagen 3" descr="Figura 3. Arquitectura TO-BE v0.1"/>
            <a:graphic>
              <a:graphicData uri="http://schemas.openxmlformats.org/drawingml/2006/picture">
                <pic:pic>
                  <pic:nvPicPr>
                    <pic:cNvPr id="3" name="Imagen 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3. Arquitectura TO-BE v0.1</w:t>
      </w:r>
    </w:p>
    <w:p>
      <w:pPr>
        <w:pStyle w:val="Heading2"/>
      </w:pPr>
      <w:r>
        <w:t xml:space="preserve">5.1 Capacidades objetivo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Capacidad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Componente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Función de negocio explícita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Transacción sin cambio de negocio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Odoo 16 Enterprise on-premise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Mantener ventas, compras, inventario, contabilidad, manufactura, proyectos y RR.HH.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 conserva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Lectura analítica aislada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Réplica PostgreSQL 15 de solo lectura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Evitar que las consultas analíticas degraden la operación (R-03)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Orquestación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Apache Airflow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Programar y reintentar extracciones de forma reproducible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Transformación y calidad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dbt Core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Versionar modelos y pruebas de datos; generar linaje (R-01)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Modelo de consumo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Modelo por proyecto (hechos y dimensiones)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Sostener previsto vs. ejecutado y ratios por partida (H1)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Consumo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Power BI Pro (SaaS) con RLS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Publicar tableros con acceso por rol (R-04)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Operación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Prometheus + Grafana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Detectar fallos de extracción y freshness del dato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Entrega segura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GitHub Actions con prácticas SSDF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Automatizar pruebas y despliegue de la capa de datos (NIST SSDF)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Contrato funcional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Datos publicados, documentados y versionados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Permitir que Costos, Obra y Gerencia usen la misma definición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Nueva</w:t>
            </w:r>
          </w:p>
        </w:tc>
      </w:tr>
    </w:tbl>
    <w:p>
      <w:pPr>
        <w:pStyle w:val="Heading2"/>
      </w:pPr>
      <w:r>
        <w:t xml:space="preserve">5.2 Fuera del alcance de v0.1 (decisión explícita)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Elemento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Anillo del Radar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Razón para no incluirlo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Agentes de IA con acciones sobre ERP o presupuesto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Esperar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Privilegios y decisiones económicas; requisito de supervisión humana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RAG sobre conocimiento de obra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Evaluar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es requisito para resolver el problema principal de costos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Arquitectura orientada a eventos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Evaluar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se ha demostrado necesidad de tiempo real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Lakehouse / data lake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Probar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La escala no justifica la complejidad; primero se valida la capa proporcional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Reemplazo del ERP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Descartado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D-02: el ERP es crítico y de baja sustituibilidad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SaaS del ERP para terceros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Descartado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D-07: implicaría cambiar de negocio</w:t>
            </w:r>
          </w:p>
        </w:tc>
      </w:tr>
    </w:tbl>
    <w:p>
      <w:pPr/>
      <w:r>
        <w:rPr>
          <w:b/>
        </w:rPr>
        <w:t xml:space="preserve">Criterio del Hito I:</w:t>
      </w:r>
      <w:r>
        <w:t xml:space="preserve"> cada componente del TO-BE tiene una función declarada y un riesgo asociado. Lo que no cumple ambas condiciones queda fuera, aunque sea tendencia.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6. Decisiones arquitectónicas (ADR)</w:t>
      </w:r>
    </w:p>
    <w:p>
      <w:pPr/>
      <w:r>
        <w:t xml:space="preserve">Las seis decisiones se versionan en este documento. Cada una enlaza alternativas, trade-offs, evidencia y el riesgo que controla. El registro completo de decisiones del proyecto (D-01 a D-10) se mantiene en la sección 8.</w:t>
      </w:r>
    </w:p>
    <w:p>
      <w:pPr>
        <w:pStyle w:val="Heading2"/>
      </w:pPr>
      <w:r>
        <w:t xml:space="preserve">ADR-01 — Evolucionar el ERP en lugar de reemplazarlo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Mantener Odoo 16 Enterprise on-premise como núcleo transaccional y construir capacidades alrededor de él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Reemplazo por un ERP nuevo; (b) plataforma independiente que duplique la transacción; (c) evolución por capas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 acepta la dependencia del proveedor y del hosting actual a cambio de no interrumpir la operación ni migrar datos críticos; la evolución es más lenta pero reversible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D-02 (S2), análisis de dependencias críticas, madurez de TI nivel 2 (S3)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R-02 (sobredimensionar) y R-07 (capacidad del equipo); se controla con alcance acotado y capacitación</w:t>
            </w:r>
          </w:p>
        </w:tc>
      </w:tr>
    </w:tbl>
    <w:p>
      <w:pPr>
        <w:pStyle w:val="Heading2"/>
      </w:pPr>
      <w:r>
        <w:t xml:space="preserve">ADR-02 — Réplica de solo lectura antes que consultas directas al ERP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Crear una réplica PostgreSQL 15 de solo lectura para la carga analítica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Consultar la base transaccional; (b) copia lógica nocturna; (c) réplica de solo lectura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Añade infraestructura y un proceso de replicación que hay que operar; evita el riesgo de degradar la operación y permite consultas pesadas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DT-05, R-03, patrón estándar de separación de cargas transaccional/analítica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R-03 y R-04; se controla con permisos de solo lectura y monitoreo de latencia</w:t>
            </w:r>
          </w:p>
        </w:tc>
      </w:tr>
    </w:tbl>
    <w:p>
      <w:pPr>
        <w:pStyle w:val="Heading2"/>
      </w:pPr>
      <w:r>
        <w:t xml:space="preserve">ADR-03 — Integración por lotes orquestados, no por eventos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Usar extracción por lotes orquestada con Apache Airflow y transformación con dbt Core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Arquitectura orientada a eventos; (b) ETL punto a punto; (c) lotes orquestados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La actualización no es en tiempo real; se gana simplicidad, reintentos y trazabilidad compatibles con un equipo de dos personas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T8 en Evaluar; no existe requisito de tiempo real; D-04 (probar antes de seleccionar plataforma)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R-02; se revisa si aparece una necesidad operativa que exija eventos</w:t>
            </w:r>
          </w:p>
        </w:tc>
      </w:tr>
    </w:tbl>
    <w:p>
      <w:pPr>
        <w:pStyle w:val="Heading2"/>
      </w:pPr>
      <w:r>
        <w:t xml:space="preserve">ADR-04 — Transformación versionada y con pruebas de datos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Modelar y transformar con dbt Core, con pruebas y control de versiones en Git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SQL suelto en el orquestador; (b) transformación dentro de Power BI; (c) dbt Core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Requiere disciplina de repositorio y curva de aprendizaje; a cambio se obtiene linaje, reproducibilidad y detección temprana de datos inconsistentes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DT-02, DT-06, R-01, NIST SSDF (entrega segura)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R-07 (habilidades); se controla con capacitación y un primer modelo acotado</w:t>
            </w:r>
          </w:p>
        </w:tc>
      </w:tr>
    </w:tbl>
    <w:p>
      <w:pPr>
        <w:pStyle w:val="Heading2"/>
      </w:pPr>
      <w:r>
        <w:t xml:space="preserve">ADR-05 — Consumo con Power BI Pro y seguridad por rol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Publicar el modelo en Power BI Pro (SaaS) con RLS por rol y gobierno de accesos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Tableros dentro del ERP; (b) solución open source autoalojada; (c) Power BI Pro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 asume un costo de suscripción recurrente y dependencia de un proveedor SaaS; se gana tiempo de implementación y control de acceso maduro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D-09 (API-first interno), DT-09, R-04, capacidad actual de Microsoft 365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R-08 (costo variable) y R-04; se controla con licencias nominales y RLS</w:t>
            </w:r>
          </w:p>
        </w:tc>
      </w:tr>
    </w:tbl>
    <w:p>
      <w:pPr>
        <w:pStyle w:val="Heading2"/>
      </w:pPr>
      <w:r>
        <w:t xml:space="preserve">ADR-06 — Observabilidad y entrega segura desde el primer piloto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Incorporar Prometheus/Grafana y GitHub Actions con controles SSDF en la capa de datos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Alternativas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(a) Operación manual; (b) monitoreo solo del ERP; (c) observabilidad y CI/CD desde el piloto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Trade-offs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Agrega esfuerzo inicial y herramientas que un equipo pequeño debe sostener; reduce el tiempo de detección de fallos y el riesgo de desplegar transformaciones sin pruebas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DT-07, DT-08, T9 en Adoptar, T10 en Probar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R-07 y R-02; se controla con alcance mínimo (métricas de freshness y fallo)</w:t>
            </w:r>
          </w:p>
        </w:tc>
      </w:tr>
    </w:tbl>
    <w:p>
      <w:pPr/>
      <w:r>
        <w:rPr>
          <w:b/>
        </w:rPr>
        <w:t xml:space="preserve">Resumen de trade-offs:</w:t>
      </w:r>
      <w:r>
        <w:t xml:space="preserve"> las seis decisiones priorizan reversibilidad, bajo acoplamiento y proporcionalidad sobre sofisticación. Ninguna adopta una tecnología por moda: cada una responde a un problema priorizado o a un riesgo del registro.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7. Mapa de dependencias para implementar el TO-BE</w:t>
      </w:r>
    </w:p>
    <w:p>
      <w:pPr>
        <w:jc w:val="center"/>
        <w:spacing w:before="120" w:after="60"/>
      </w:pPr>
      <w:r>
        <w:drawing>
          <wp:inline distT="0" distB="0" distL="0" distR="0">
            <wp:extent cx="6120130" cy="428"/>
            <wp:docPr id="4" name="Imagen 4" descr="Figura 4. Mapa de dependencias del TO-BE v0.1"/>
            <a:graphic>
              <a:graphicData uri="http://schemas.openxmlformats.org/drawingml/2006/picture">
                <pic:pic>
                  <pic:nvPicPr>
                    <pic:cNvPr id="4" name="Imagen 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i/>
        </w:rPr>
        <w:t xml:space="preserve">Figura 4. Mapa de dependencias del TO-BE v0.1</w:t>
      </w:r>
    </w:p>
    <w:p>
      <w:pPr>
        <w:pStyle w:val="Heading2"/>
      </w:pPr>
      <w:r>
        <w:t xml:space="preserve">7.1 Habilitadores y orden mínimo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Habilitador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Depende de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Desbloquea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Responsable propuesto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F-01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Gobernanza del dato (dueños por dominio y registro)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E-2, E-6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Gerencia + TI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Personas: capacitación y habilidades de 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Líder de capacitación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Contrato de datos (diccionario y SLA)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Dueños de dominio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Réplica PostgreSQL de solo lectura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Apache Airflow (orquestación)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E-5, E-7, E-8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E-5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dbt Core (modelos y pruebas)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 + Costos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Power BI Pro (modelos y RLS)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E-5, E-1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 + Gerencia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Observabilidad (Prometheus/Grafana)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CI/CD con prácticas SSDF (GitHub Actions)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TI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Validación y línea base del piloto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E-6, E-7, E-8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E-10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Costos + Gerencia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E-10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Revisión v0.2 y Radar v1.0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Siguiente ciclo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</w:tr>
    </w:tbl>
    <w:p>
      <w:pPr>
        <w:pStyle w:val="Heading2"/>
      </w:pPr>
      <w:r>
        <w:t xml:space="preserve">7.2 Ruta crítica y restricciones</w:t>
      </w:r>
    </w:p>
    <w:p>
      <w:pPr>
        <w:ind w:left="567" w:hanging="283"/>
      </w:pPr>
      <w:r>
        <w:t xml:space="preserve">•  </w:t>
      </w:r>
      <w:r>
        <w:t xml:space="preserve">1. </w:t>
      </w:r>
      <w:r>
        <w:rPr>
          <w:b/>
        </w:rPr>
        <w:t xml:space="preserve">Ruta crítica:</w:t>
      </w:r>
      <w:r>
        <w:t xml:space="preserve"> F-01 → E-2 → E-3 → E-4 → E-5 → E-6 → E-9. Sin contrato de datos no hay réplica confiable; sin réplica no hay orquestación; sin transformación no hay tablero defendible.</w:t>
      </w:r>
    </w:p>
    <w:p>
      <w:pPr>
        <w:ind w:left="567" w:hanging="283"/>
      </w:pPr>
      <w:r>
        <w:t xml:space="preserve">•  </w:t>
      </w:r>
      <w:r>
        <w:t xml:space="preserve">2. </w:t>
      </w:r>
      <w:r>
        <w:rPr>
          <w:b/>
        </w:rPr>
        <w:t xml:space="preserve">Paralelizable:</w:t>
      </w:r>
      <w:r>
        <w:t xml:space="preserve"> E-1 (personas), E-7 (observabilidad) y E-8 (CI/CD) pueden avanzar en paralelo con E-4, pero no reemplazan la ruta crítica.</w:t>
      </w:r>
    </w:p>
    <w:p>
      <w:pPr>
        <w:ind w:left="567" w:hanging="283"/>
      </w:pPr>
      <w:r>
        <w:t xml:space="preserve">•  </w:t>
      </w:r>
      <w:r>
        <w:t xml:space="preserve">3. </w:t>
      </w:r>
      <w:r>
        <w:rPr>
          <w:b/>
        </w:rPr>
        <w:t xml:space="preserve">Restricción operativa:</w:t>
      </w:r>
      <w:r>
        <w:t xml:space="preserve"> ningún cambio puede interrumpir la operación de Odoo 16.</w:t>
      </w:r>
    </w:p>
    <w:p>
      <w:pPr>
        <w:ind w:left="567" w:hanging="283"/>
      </w:pPr>
      <w:r>
        <w:t xml:space="preserve">•  </w:t>
      </w:r>
      <w:r>
        <w:t xml:space="preserve">4. </w:t>
      </w:r>
      <w:r>
        <w:rPr>
          <w:b/>
        </w:rPr>
        <w:t xml:space="preserve">Restricción de alcance:</w:t>
      </w:r>
      <w:r>
        <w:t xml:space="preserve"> cada ADR desbloquea una columna del mapa; no se avanza a la siguiente sin evidencia de la anterior.</w:t>
      </w:r>
    </w:p>
    <w:p>
      <w:pPr>
        <w:ind w:left="567" w:hanging="283"/>
      </w:pPr>
      <w:r>
        <w:t xml:space="preserve">•  </w:t>
      </w:r>
      <w:r>
        <w:t xml:space="preserve">5. </w:t>
      </w:r>
      <w:r>
        <w:rPr>
          <w:b/>
        </w:rPr>
        <w:t xml:space="preserve">Restricción de proporcionalidad:</w:t>
      </w:r>
      <w:r>
        <w:t xml:space="preserve"> si E-9 no demuestra valor con el piloto, no se escala a v0.2 (D-04).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8. Registro de decisiones consolidado (D-01 a D-10)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Estado en el Hito 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Relación con ADR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Enfocar el caso en el uso histórico de costos y rendimientos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Evolucionar el ERP sin reemplazarlo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 (reforzada)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Priorizar calidad de datos y BI antes de IA avanzada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Probar una arquitectura analítica proporcional antes de elegir plataforma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ADR-02, ADR-03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D-05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Mantener agentes con acciones sobre presupuesto o ERP en Esperar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 (reforzada)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Fuera de alcance v0.1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Business Model Canvas como representación oficial del AS-IS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Inicial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Contexto del AS-IS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priorizar la provisión del ERP o su capa analítica como SaaS a terceros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Inicial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Fuera de alcance v0.1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Portal de cliente acotado como componente potencial de valor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Inicial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incluido en v0.1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Enfoque API-first interno antes de exponer APIs a terceros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Inicial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ADR-03, ADR-05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D-10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E-commerce limitado a captación, reserva y pago digital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Inicial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aplica a v0.1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D-11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Fijar BI y analítica operacional como tendencia principal de trabajo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ADR-04, ADR-05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D-12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Validar H1 con un PoC de estimación por históricos sobre datos sintéticos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E-9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D-13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Mantener la IA generativa en *Probar/Evaluar*, subordinada a H1 y H2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Fuera de alcance v0.1</w:t>
            </w:r>
          </w:p>
        </w:tc>
      </w:tr>
    </w:tbl>
    <w:p>
      <w:pPr/>
      <w:r>
        <w:rPr>
          <w:b/>
        </w:rPr>
        <w:t xml:space="preserve">Nota de reconciliación (corrección registrada en el Hito I):</w:t>
      </w:r>
      <w:r>
        <w:t xml:space="preserve"> la Semana 4 volvió a usar los identificadores D-06, D-07 y D-08 para tres decisiones nuevas, que ya estaban asignados en la Semana 2. Para preservar la trazabilidad y no alterar el documento histórico de la Semana 4, en este Hito I esas tres decisiones se renumeran como </w:t>
      </w:r>
      <w:r>
        <w:rPr>
          <w:b/>
        </w:rPr>
        <w:t xml:space="preserve">D-11, D-12 y D-13</w:t>
      </w:r>
      <w:r>
        <w:t xml:space="preserve">. La corrección queda versionada aquí y no modifica el contenido de la entrega anterior.</w:t>
      </w:r>
    </w:p>
    <w:p>
      <w:pPr/>
      <w:r>
        <w:rPr>
          <w:b/>
        </w:rPr>
        <w:t xml:space="preserve">Supuestos que condicionan el Hito I:</w:t>
      </w:r>
      <w:r>
        <w:t xml:space="preserve"> SE-03 (costo de TI fijo), SE-04 (costos de no calidad no registrados), SE-07 (beneficios medidos en horas y discrepancias), SE-09 (integración viable solo con proveedores recurrentes) y SE-10 (consumo cloud como costo variable con seguimiento).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9. Riesgos, hipótesis y trazabilidad de valor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Riesgo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Cómo lo controla el TO-BE v0.1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Hipótesis / evidencia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R-01 Históricos incompletos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Contrato de datos (E-2) y pruebas dbt (E-5)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H1; DT-01, DT-02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R-02 Plataforma sobredimensionada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Alcance v0.1 acotado y validación E-9 antes de escalar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D-04; DT-04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R-03 Consultas afectan al ERP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Réplica de solo lectura (E-3)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DT-05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R-04 Acceso indebido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RLS en Power BI y mínimo privilegio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DT-09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R-05 / R-06 IA incorrecta o insegura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Agentes y RAG fuera del alcance v0.1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T5–T7; D-05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R-07 Falta de capacidades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Plan de adopción S3 y E-1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Madurez nivel 2; skills gap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R-08 Costos variables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Licencias nominales y FinOps solo si aparece consumo material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SE-10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R-09 Datos reales en PoC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Datos sintéticos, sin datos confidenciales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PoC S4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R-10 Indicadores no aceptados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Contrato de datos y co-diseño con Costos y Obra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S3; H3</w:t>
            </w:r>
          </w:p>
        </w:tc>
      </w:tr>
    </w:tbl>
    <w:p>
      <w:pPr/>
      <w:r>
        <w:rPr>
          <w:b/>
        </w:rPr>
        <w:t xml:space="preserve">Trazabilidad de valor:</w:t>
      </w:r>
      <w:r>
        <w:t xml:space="preserve"> H1 (reducir el error de estimación a ±15 %) se sostiene con E-2, E-3, E-4 y E-5. H2 (viabilidad sin tocar producción) se sostiene con E-3 y E-4. H3 (adopción ≥70 % semanal) se sostiene con E-1, E-6 y el plan de adopción de la Semana 3.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10. Contribuciones del equipo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Integrante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Actividad en el Hito 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Artefacto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Fecha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Anthony Romani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Consolidación de stakeholders y del AS-IS de actores e integraciones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Sección 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09/10/2026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Sección 3; Figura 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Max Astuhuaman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Deuda técnica priorizada y decisiones arquitectónicas ADR-01 a ADR-06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Secciones 4 y 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09/10/2026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Secciones 4 y 6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Guillermo Calle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Arquitectura TO-BE v0.1, diagramas y mapa de dependencias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Secciones 5 y 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09/10/2026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Figuras 1–4; </w:t>
            </w:r>
            <w:r>
              <w:rPr>
                <w:rFonts w:ascii="Consolas" w:hAnsi="Consolas"/>
                <w:sz w:val="20"/>
              </w:rPr>
              <w:t xml:space="preserve">arquitectura/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Pablo Mendoza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Trazabilidad semanas 1–5, riesgos, revisión de coherencia y consolidación final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Secciones 2 y 9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09/10/2026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Secciones 2 y 9; revisión final</w:t>
            </w:r>
          </w:p>
        </w:tc>
      </w:tr>
    </w:tbl>
    <w:p>
      <w:pPr/>
      <w:r>
        <w:t xml:space="preserve">*(El registro editable se mantiene en </w:t>
      </w:r>
      <w:r>
        <w:rPr>
          <w:rFonts w:ascii="Consolas" w:hAnsi="Consolas"/>
          <w:sz w:val="20"/>
        </w:rPr>
        <w:t xml:space="preserve">gestion/registros/</w:t>
      </w:r>
      <w:r>
        <w:t xml:space="preserve"> con autor, actividad, fecha y evidencia verificable. No se fabrican nombres, commits ni enlaces.)*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11. Referencias</w:t>
      </w:r>
    </w:p>
    <w:p>
      <w:pPr/>
      <w:r>
        <w:t xml:space="preserve">AACE International. (2020). *Recommended Practice No. 18R-97: Cost Estimate Classification System – As Applied in Engineering, Procurement, and Construction for the Process Industries* (Rev. August 7, 2020). AACE International. https://web.aacei.org/docs/default-source/toc/toc_18r-97.pdf</w:t>
      </w:r>
    </w:p>
    <w:p>
      <w:pPr/>
      <w:r>
        <w:t xml:space="preserve">DORA. (2025). *State of AI-assisted Software Development 2025*. https://dora.dev/research/2025/dora-report/</w:t>
      </w:r>
    </w:p>
    <w:p>
      <w:pPr/>
      <w:r>
        <w:t xml:space="preserve">International Organization for Standardization. (2011). *Systems and software engineering — Architecture description* (ISO/IEC/IEEE 42010:2011). ISO.</w:t>
      </w:r>
    </w:p>
    <w:p>
      <w:pPr/>
      <w:r>
        <w:t xml:space="preserve">Kruchten, P., Nord, R. L., &amp; Ozkaya, I. (2012). Technical debt: From metaphor to theory and practice. *IEEE Software, 29*(6), 18–21. https://doi.org/10.1109/MS.2012.167</w:t>
      </w:r>
    </w:p>
    <w:p>
      <w:pPr/>
      <w:r>
        <w:t xml:space="preserve">National Institute of Standards and Technology. (2025). *Secure Software Development Framework (SSDF) Version 1.2* (NIST SP 800-218 Rev. 1). https://csrc.nist.gov/</w:t>
      </w:r>
    </w:p>
    <w:p>
      <w:pPr/>
      <w:r>
        <w:t xml:space="preserve">Osterwalder, A., Pigneur, Y., Bernarda, G., &amp; Smith, A. (2014). *Value Proposition Design*. Wiley.</w:t>
      </w:r>
    </w:p>
    <w:p>
      <w:pPr/>
      <w:r>
        <w:t xml:space="preserve">Thoughtworks. (2025). *Technology Radar, Volume 33*. https://www.thoughtworks.com/radar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12. Cierre del Hito I y siguiente paso</w:t>
      </w:r>
    </w:p>
    <w:p>
      <w:pPr/>
      <w:r>
        <w:t xml:space="preserve">El Hito I queda cerrado con una fotografía coherente: el AS-IS explica el problema, la deuda técnica lo prioriza, el TO-BE v0.1 lo ataca con el mínimo de componentes y los ADR justifican cada apuesta. La implementación no comienza por la herramienta más visible, sino por el contrato de datos y la réplica de lectura, que son la base de todo lo demás.</w:t>
      </w:r>
    </w:p>
    <w:p>
      <w:pPr/>
      <w:r>
        <w:rPr>
          <w:b/>
        </w:rPr>
        <w:t xml:space="preserve">Siguiente paso (Semana 6):</w:t>
      </w:r>
      <w:r>
        <w:t xml:space="preserve"> revisar el Hito I con el docente, registrar las correcciones como versiones del registro de decisiones y actualizar el Radar a v1.0 con la evidencia del piloto. No se ampliará el alcance del TO-BE hasta que E-9 demuestre valor con datos medidos.</w:t>
      </w:r>
    </w:p>
    <w:p>
      <w:pPr>
        <w:pBdr>
          <w:bottom w:val="single" w:sz="6" w:color="BBBBBB"/>
        </w:pBdr>
      </w:pPr>
    </w:p>
    <w:p>
      <w:pPr/>
      <w:r>
        <w:t xml:space="preserve">*Documento elaborado por el Grupo 1. Los diagramas son representaciones de arquitectura, no despliegues reales. Las cifras de desempeño citadas provienen de las fuentes indicadas o de la línea base declarada en la Semana 4; no se presentan resultados de negocio no medidos.*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spacing w:before="240" w:after="120"/>
    </w:pPr>
    <w:rPr>
      <w:b/>
      <w:sz w:val="40"/>
      <w:color w:val="1F4E79"/>
    </w:rPr>
  </w:style>
  <w:style w:type="paragraph" w:styleId="Heading1">
    <w:name w:val="heading 1"/>
    <w:pPr>
      <w:keepNext/>
      <w:spacing w:before="280" w:after="120"/>
      <w:outlineLvl w:val="0"/>
    </w:pPr>
    <w:rPr>
      <w:b/>
      <w:sz w:val="30"/>
      <w:color w:val="1F4E79"/>
    </w:rPr>
  </w:style>
  <w:style w:type="paragraph" w:styleId="Heading2">
    <w:name w:val="heading 2"/>
    <w:pPr>
      <w:keepNext/>
      <w:spacing w:before="200" w:after="80"/>
      <w:outlineLvl w:val="1"/>
    </w:pPr>
    <w:rPr>
      <w:b/>
      <w:sz w:val="26"/>
      <w:color w:val="2E74B5"/>
    </w:rPr>
  </w:style>
  <w:style w:type="paragraph" w:styleId="Heading3">
    <w:name w:val="heading 3"/>
    <w:pPr>
      <w:keepNext/>
      <w:spacing w:before="160" w:after="60"/>
      <w:outlineLvl w:val="2"/>
    </w:pPr>
    <w:rPr>
      <w:b/>
      <w:sz w:val="23"/>
      <w:color w:val="2E74B5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n-1.png"/><Relationship Id="rIdImg2" Type="http://schemas.openxmlformats.org/officeDocument/2006/relationships/image" Target="media/imagen-2.png"/><Relationship Id="rIdImg3" Type="http://schemas.openxmlformats.org/officeDocument/2006/relationships/image" Target="media/imagen-3.png"/><Relationship Id="rIdImg4" Type="http://schemas.openxmlformats.org/officeDocument/2006/relationships/image" Target="media/imagen-4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Grupo1-TISG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Proyecto Integrador — Semana 5</dc:title>
  <dc:creator>Grupo 1 - TISG 2026-2</dc:creator>
  <dcterms:created xsi:type="dcterms:W3CDTF">2026-10-19T23:50:33Z</dcterms:created>
</cp:coreProperties>
</file>