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3DFF" w14:textId="304B587E" w:rsidR="0057235C" w:rsidRDefault="00BC34ED">
      <w:r>
        <w:rPr>
          <w:rFonts w:ascii="Roboto" w:hAnsi="Roboto"/>
          <w:color w:val="000000"/>
          <w:shd w:val="clear" w:color="auto" w:fill="EEFFDE"/>
        </w:rPr>
        <w:t>Задачи и теоремы линейной алгебры (В. Прасолов)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EEFFDE"/>
        </w:rPr>
        <w:t>Зорич В. А. Математический анализ: МЦНМО, 2021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EEFFDE"/>
        </w:rPr>
        <w:t>W. J. Kaczor, M. T. Nowak Problems in Mathematical Analysis: AMS, 2000.</w:t>
      </w:r>
    </w:p>
    <w:sectPr w:rsidR="00572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83"/>
    <w:rsid w:val="00112E83"/>
    <w:rsid w:val="0057235C"/>
    <w:rsid w:val="00BC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470A8A-C503-4865-A000-4CB78A36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2023-07-08T10:46:00Z</dcterms:created>
  <dcterms:modified xsi:type="dcterms:W3CDTF">2023-07-08T10:46:00Z</dcterms:modified>
</cp:coreProperties>
</file>