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pPr>
      <w:r>
        <w:rPr>
          <w:rFonts w:ascii="Open Sans" w:cs="Open Sans" w:eastAsia="Open Sans" w:hAnsi="Open Sans"/>
          <w:b/>
          <w:bCs/>
          <w:caps/>
          <w:color w:val="00ACE6"/>
          <w:spacing w:val="200"/>
          <w:sz w:val="18"/>
          <w:szCs w:val="18"/>
        </w:rPr>
        <w:t xml:space="preserve">ENGINEERING DESIGN PROMPT</w:t>
      </w:r>
    </w:p>
    <w:p>
      <w:pPr>
        <w:spacing w:after="80" w:before="0"/>
      </w:pPr>
      <w:r>
        <w:rPr>
          <w:rFonts w:ascii="Open Sans" w:cs="Open Sans" w:eastAsia="Open Sans" w:hAnsi="Open Sans"/>
          <w:b/>
          <w:bCs/>
          <w:color w:val="212E3E"/>
          <w:sz w:val="56"/>
          <w:szCs w:val="56"/>
        </w:rPr>
        <w:t xml:space="preserve">iRemedy Healthcare Companies</w:t>
      </w:r>
    </w:p>
    <w:p>
      <w:pPr>
        <w:spacing w:after="80" w:before="0"/>
      </w:pPr>
      <w:r>
        <w:rPr>
          <w:rFonts w:ascii="Open Sans" w:cs="Open Sans" w:eastAsia="Open Sans" w:hAnsi="Open Sans"/>
          <w:color w:val="0064A5"/>
          <w:sz w:val="32"/>
          <w:szCs w:val="32"/>
        </w:rPr>
        <w:t xml:space="preserve">Website Design System &amp; Narrative Architecture</w:t>
      </w:r>
    </w:p>
    <w:p>
      <w:pPr>
        <w:spacing w:after="480" w:before="0"/>
      </w:pPr>
      <w:r>
        <w:rPr>
          <w:rFonts w:ascii="Open Sans" w:cs="Open Sans" w:eastAsia="Open Sans" w:hAnsi="Open Sans"/>
          <w:i/>
          <w:iCs/>
          <w:color w:val="888888"/>
          <w:sz w:val="20"/>
          <w:szCs w:val="20"/>
        </w:rPr>
        <w:t xml:space="preserve">Version 1.0  ·  Confidential  ·  For Design + Engineering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2E3E" w:val="clear"/>
            <w:tcMar>
              <w:top w:type="dxa" w:w="400"/>
              <w:left w:type="dxa" w:w="480"/>
              <w:bottom w:type="dxa" w:w="400"/>
              <w:right w:type="dxa" w:w="480"/>
            </w:tcMar>
          </w:tcPr>
          <w:p>
            <w:pPr>
              <w:spacing w:after="120" w:before="0"/>
            </w:pPr>
            <w:r>
              <w:rPr>
                <w:rFonts w:ascii="Open Sans" w:cs="Open Sans" w:eastAsia="Open Sans" w:hAnsi="Open Sans"/>
                <w:b/>
                <w:bCs/>
                <w:i/>
                <w:iCs/>
                <w:color w:val="FFFFFF"/>
                <w:sz w:val="36"/>
                <w:szCs w:val="36"/>
              </w:rPr>
              <w:t xml:space="preserve">"Smarter Supply. Better Care."</w:t>
            </w:r>
          </w:p>
          <w:p>
            <w:pPr>
              <w:spacing w:after="0" w:before="0"/>
            </w:pPr>
            <w:r>
              <w:rPr>
                <w:rFonts w:ascii="Open Sans" w:cs="Open Sans" w:eastAsia="Open Sans" w:hAnsi="Open Sans"/>
                <w:color w:val="00ACE6"/>
                <w:sz w:val="20"/>
                <w:szCs w:val="20"/>
              </w:rPr>
              <w:t xml:space="preserve">This document is the complete, authoritative engineering and design specification for the iRemedy public website. Every section is a directive, not a suggestion. Design decisions must trace back to a principle in this document. If a choice cannot be justified by a principle here, it should not be made.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Prepared for</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iRemedy Engineering &amp; Design Team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Primary Audience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Frontend Engineers, UX/UI Designers, Copywriters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Platform Target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React (Next.js 14+), Tailwind CSS, Framer Motion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Hosting</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Vercel / DigitalOcean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Brand Authority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iRemedy Brand Guide v1.0</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Tagline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Smarter Supply. Better Care.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Platform Name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w:t>
            </w:r>
          </w:p>
        </w:tc>
      </w:tr>
    </w:tbl>
    <w:p>
      <w:r>
        <w:r>
          <w:br w:type="page"/>
        </w:r>
      </w:r>
    </w:p>
    <w:p>
      <w:pPr>
        <w:pBdr>
          <w:bottom w:val="single" w:color="00ACE6" w:sz="4" w:space="6"/>
        </w:pBdr>
        <w:spacing w:after="160" w:before="400"/>
      </w:pPr>
      <w:r>
        <w:rPr>
          <w:rFonts w:ascii="Open Sans" w:cs="Open Sans" w:eastAsia="Open Sans" w:hAnsi="Open Sans"/>
          <w:b/>
          <w:bCs/>
          <w:color w:val="212E3E"/>
          <w:sz w:val="36"/>
          <w:szCs w:val="36"/>
        </w:rPr>
        <w:t xml:space="preserve">Table of Contents</w:t>
      </w:r>
    </w:p>
    <w:p>
      <w:pPr>
        <w:spacing w:after="80" w:before="80"/>
      </w:pPr>
      <w:r>
        <w:rPr>
          <w:rFonts w:ascii="Open Sans" w:cs="Open Sans" w:eastAsia="Open Sans" w:hAnsi="Open Sans"/>
          <w:color w:val="3A4A5A"/>
          <w:sz w:val="22"/>
          <w:szCs w:val="22"/>
        </w:rPr>
        <w:t xml:space="preserve">01  STRATEGIC FOUNDATION &amp; NARRATIVE ARCHITECTURE</w:t>
      </w:r>
    </w:p>
    <w:p>
      <w:pPr>
        <w:spacing w:after="80" w:before="80"/>
      </w:pPr>
      <w:r>
        <w:rPr>
          <w:rFonts w:ascii="Open Sans" w:cs="Open Sans" w:eastAsia="Open Sans" w:hAnsi="Open Sans"/>
          <w:color w:val="3A4A5A"/>
          <w:sz w:val="22"/>
          <w:szCs w:val="22"/>
        </w:rPr>
        <w:t xml:space="preserve">02  DESIGN SYSTEM — Colors, Typography, Spacing, Motion</w:t>
      </w:r>
    </w:p>
    <w:p>
      <w:pPr>
        <w:spacing w:after="80" w:before="80"/>
      </w:pPr>
      <w:r>
        <w:rPr>
          <w:rFonts w:ascii="Open Sans" w:cs="Open Sans" w:eastAsia="Open Sans" w:hAnsi="Open Sans"/>
          <w:color w:val="3A4A5A"/>
          <w:sz w:val="22"/>
          <w:szCs w:val="22"/>
        </w:rPr>
        <w:t xml:space="preserve">03  SITE ARCHITECTURE — Pages, Routes, Navigation</w:t>
      </w:r>
    </w:p>
    <w:p>
      <w:pPr>
        <w:spacing w:after="80" w:before="80"/>
      </w:pPr>
      <w:r>
        <w:rPr>
          <w:rFonts w:ascii="Open Sans" w:cs="Open Sans" w:eastAsia="Open Sans" w:hAnsi="Open Sans"/>
          <w:color w:val="3A4A5A"/>
          <w:sz w:val="22"/>
          <w:szCs w:val="22"/>
        </w:rPr>
        <w:t xml:space="preserve">04  SECTION-BY-SECTION PAGE SPECIFICATIONS</w:t>
      </w:r>
    </w:p>
    <w:p>
      <w:pPr>
        <w:spacing w:after="80" w:before="80"/>
      </w:pPr>
      <w:r>
        <w:rPr>
          <w:rFonts w:ascii="Open Sans" w:cs="Open Sans" w:eastAsia="Open Sans" w:hAnsi="Open Sans"/>
          <w:color w:val="3A4A5A"/>
          <w:sz w:val="22"/>
          <w:szCs w:val="22"/>
        </w:rPr>
        <w:t xml:space="preserve">       4.1  Hero — The Burden Statement</w:t>
      </w:r>
    </w:p>
    <w:p>
      <w:pPr>
        <w:spacing w:after="80" w:before="80"/>
      </w:pPr>
      <w:r>
        <w:rPr>
          <w:rFonts w:ascii="Open Sans" w:cs="Open Sans" w:eastAsia="Open Sans" w:hAnsi="Open Sans"/>
          <w:color w:val="3A4A5A"/>
          <w:sz w:val="22"/>
          <w:szCs w:val="22"/>
        </w:rPr>
        <w:t xml:space="preserve">       4.2  Challenge / Solution Frame</w:t>
      </w:r>
    </w:p>
    <w:p>
      <w:pPr>
        <w:spacing w:after="80" w:before="80"/>
      </w:pPr>
      <w:r>
        <w:rPr>
          <w:rFonts w:ascii="Open Sans" w:cs="Open Sans" w:eastAsia="Open Sans" w:hAnsi="Open Sans"/>
          <w:color w:val="3A4A5A"/>
          <w:sz w:val="22"/>
          <w:szCs w:val="22"/>
        </w:rPr>
        <w:t xml:space="preserve">       4.3  The Disruption Visual — Supply Chain Comparison</w:t>
      </w:r>
    </w:p>
    <w:p>
      <w:pPr>
        <w:spacing w:after="80" w:before="80"/>
      </w:pPr>
      <w:r>
        <w:rPr>
          <w:rFonts w:ascii="Open Sans" w:cs="Open Sans" w:eastAsia="Open Sans" w:hAnsi="Open Sans"/>
          <w:color w:val="3A4A5A"/>
          <w:sz w:val="22"/>
          <w:szCs w:val="22"/>
        </w:rPr>
        <w:t xml:space="preserve">       4.4  How It Works — Three-Step Mechanism</w:t>
      </w:r>
    </w:p>
    <w:p>
      <w:pPr>
        <w:spacing w:after="80" w:before="80"/>
      </w:pPr>
      <w:r>
        <w:rPr>
          <w:rFonts w:ascii="Open Sans" w:cs="Open Sans" w:eastAsia="Open Sans" w:hAnsi="Open Sans"/>
          <w:color w:val="3A4A5A"/>
          <w:sz w:val="22"/>
          <w:szCs w:val="22"/>
        </w:rPr>
        <w:t xml:space="preserve">       4.5  Platform Section — MetaCommerceRx</w:t>
      </w:r>
    </w:p>
    <w:p>
      <w:pPr>
        <w:spacing w:after="80" w:before="80"/>
      </w:pPr>
      <w:r>
        <w:rPr>
          <w:rFonts w:ascii="Open Sans" w:cs="Open Sans" w:eastAsia="Open Sans" w:hAnsi="Open Sans"/>
          <w:color w:val="3A4A5A"/>
          <w:sz w:val="22"/>
          <w:szCs w:val="22"/>
        </w:rPr>
        <w:t xml:space="preserve">       4.6  Service Lines — Platform Expressions</w:t>
      </w:r>
    </w:p>
    <w:p>
      <w:pPr>
        <w:spacing w:after="80" w:before="80"/>
      </w:pPr>
      <w:r>
        <w:rPr>
          <w:rFonts w:ascii="Open Sans" w:cs="Open Sans" w:eastAsia="Open Sans" w:hAnsi="Open Sans"/>
          <w:color w:val="3A4A5A"/>
          <w:sz w:val="22"/>
          <w:szCs w:val="22"/>
        </w:rPr>
        <w:t xml:space="preserve">       4.7  Proof &amp; Credibility Layer</w:t>
      </w:r>
    </w:p>
    <w:p>
      <w:pPr>
        <w:spacing w:after="80" w:before="80"/>
      </w:pPr>
      <w:r>
        <w:rPr>
          <w:rFonts w:ascii="Open Sans" w:cs="Open Sans" w:eastAsia="Open Sans" w:hAnsi="Open Sans"/>
          <w:color w:val="3A4A5A"/>
          <w:sz w:val="22"/>
          <w:szCs w:val="22"/>
        </w:rPr>
        <w:t xml:space="preserve">       4.8  Social Proof &amp; Data Points</w:t>
      </w:r>
    </w:p>
    <w:p>
      <w:pPr>
        <w:spacing w:after="80" w:before="80"/>
      </w:pPr>
      <w:r>
        <w:rPr>
          <w:rFonts w:ascii="Open Sans" w:cs="Open Sans" w:eastAsia="Open Sans" w:hAnsi="Open Sans"/>
          <w:color w:val="3A4A5A"/>
          <w:sz w:val="22"/>
          <w:szCs w:val="22"/>
        </w:rPr>
        <w:t xml:space="preserve">       4.9  Buyer Persona CTA Section</w:t>
      </w:r>
    </w:p>
    <w:p>
      <w:pPr>
        <w:spacing w:after="80" w:before="80"/>
      </w:pPr>
      <w:r>
        <w:rPr>
          <w:rFonts w:ascii="Open Sans" w:cs="Open Sans" w:eastAsia="Open Sans" w:hAnsi="Open Sans"/>
          <w:color w:val="3A4A5A"/>
          <w:sz w:val="22"/>
          <w:szCs w:val="22"/>
        </w:rPr>
        <w:t xml:space="preserve">       4.10  Footer</w:t>
      </w:r>
    </w:p>
    <w:p>
      <w:pPr>
        <w:spacing w:after="80" w:before="80"/>
      </w:pPr>
      <w:r>
        <w:rPr>
          <w:rFonts w:ascii="Open Sans" w:cs="Open Sans" w:eastAsia="Open Sans" w:hAnsi="Open Sans"/>
          <w:color w:val="3A4A5A"/>
          <w:sz w:val="22"/>
          <w:szCs w:val="22"/>
        </w:rPr>
        <w:t xml:space="preserve">05  INTERACTION DESIGN &amp; ANIMATION SPECIFICATIONS</w:t>
      </w:r>
    </w:p>
    <w:p>
      <w:pPr>
        <w:spacing w:after="80" w:before="80"/>
      </w:pPr>
      <w:r>
        <w:rPr>
          <w:rFonts w:ascii="Open Sans" w:cs="Open Sans" w:eastAsia="Open Sans" w:hAnsi="Open Sans"/>
          <w:color w:val="3A4A5A"/>
          <w:sz w:val="22"/>
          <w:szCs w:val="22"/>
        </w:rPr>
        <w:t xml:space="preserve">06  COPYWRITING RULES &amp; FORBIDDEN LANGUAGE</w:t>
      </w:r>
    </w:p>
    <w:p>
      <w:pPr>
        <w:spacing w:after="80" w:before="80"/>
      </w:pPr>
      <w:r>
        <w:rPr>
          <w:rFonts w:ascii="Open Sans" w:cs="Open Sans" w:eastAsia="Open Sans" w:hAnsi="Open Sans"/>
          <w:color w:val="3A4A5A"/>
          <w:sz w:val="22"/>
          <w:szCs w:val="22"/>
        </w:rPr>
        <w:t xml:space="preserve">07  CREDIBILITY ARCHITECTURE BY AUDIENCE DEPTH</w:t>
      </w:r>
    </w:p>
    <w:p>
      <w:pPr>
        <w:spacing w:after="80" w:before="80"/>
      </w:pPr>
      <w:r>
        <w:rPr>
          <w:rFonts w:ascii="Open Sans" w:cs="Open Sans" w:eastAsia="Open Sans" w:hAnsi="Open Sans"/>
          <w:color w:val="3A4A5A"/>
          <w:sz w:val="22"/>
          <w:szCs w:val="22"/>
        </w:rPr>
        <w:t xml:space="preserve">08  PERFORMANCE &amp; TECHNICAL REQUIREMENTS</w:t>
      </w:r>
    </w:p>
    <w:p>
      <w:pPr>
        <w:spacing w:after="80" w:before="80"/>
      </w:pPr>
      <w:r>
        <w:rPr>
          <w:rFonts w:ascii="Open Sans" w:cs="Open Sans" w:eastAsia="Open Sans" w:hAnsi="Open Sans"/>
          <w:color w:val="3A4A5A"/>
          <w:sz w:val="22"/>
          <w:szCs w:val="22"/>
        </w:rPr>
        <w:t xml:space="preserve">09  ACCESSIBILITY STANDARDS</w:t>
      </w:r>
    </w:p>
    <w:p>
      <w:pPr>
        <w:spacing w:after="80" w:before="80"/>
      </w:pPr>
      <w:r>
        <w:rPr>
          <w:rFonts w:ascii="Open Sans" w:cs="Open Sans" w:eastAsia="Open Sans" w:hAnsi="Open Sans"/>
          <w:color w:val="3A4A5A"/>
          <w:sz w:val="22"/>
          <w:szCs w:val="22"/>
        </w:rPr>
        <w:t xml:space="preserve">10  COMPONENT LIBRARY SPECIFICATIONS</w:t>
      </w:r>
    </w:p>
    <w:p>
      <w:r>
        <w:r>
          <w:br w:type="page"/>
        </w:r>
      </w:r>
    </w:p>
    <w:p>
      <w:pPr>
        <w:spacing w:after="120" w:before="480"/>
      </w:pPr>
      <w:r>
        <w:rPr>
          <w:rFonts w:ascii="Open Sans" w:cs="Open Sans" w:eastAsia="Open Sans" w:hAnsi="Open Sans"/>
          <w:b/>
          <w:bCs/>
          <w:caps/>
          <w:color w:val="00ACE6"/>
          <w:spacing w:val="120"/>
          <w:sz w:val="18"/>
          <w:szCs w:val="18"/>
        </w:rPr>
        <w:t xml:space="preserve">SECTION 01</w:t>
      </w:r>
    </w:p>
    <w:p>
      <w:pPr>
        <w:spacing w:after="200" w:before="0"/>
      </w:pPr>
      <w:r>
        <w:rPr>
          <w:rFonts w:ascii="Open Sans" w:cs="Open Sans" w:eastAsia="Open Sans" w:hAnsi="Open Sans"/>
          <w:b/>
          <w:bCs/>
          <w:color w:val="212E3E"/>
          <w:sz w:val="52"/>
          <w:szCs w:val="52"/>
        </w:rPr>
        <w:t xml:space="preserve">Strategic Foundation &amp;
Narrative Architecture</w:t>
      </w:r>
    </w:p>
    <w:p>
      <w:pPr>
        <w:spacing w:after="80" w:before="80"/>
      </w:pPr>
      <w:r>
        <w:rPr>
          <w:rFonts w:ascii="Open Sans" w:cs="Open Sans" w:eastAsia="Open Sans" w:hAnsi="Open Sans"/>
          <w:color w:val="3A4A5A"/>
          <w:sz w:val="22"/>
          <w:szCs w:val="22"/>
        </w:rPr>
        <w:t xml:space="preserve">This section defines the storytelling logic that every design, copy, and layout decision must serve. Read this before writing a single line of code or placing a single element on the canvas.</w:t>
      </w:r>
    </w:p>
    <w:p/>
    <w:p>
      <w:pPr>
        <w:pBdr>
          <w:bottom w:val="single" w:color="00ACE6" w:sz="4" w:space="6"/>
        </w:pBdr>
        <w:spacing w:after="160" w:before="400"/>
      </w:pPr>
      <w:r>
        <w:rPr>
          <w:rFonts w:ascii="Open Sans" w:cs="Open Sans" w:eastAsia="Open Sans" w:hAnsi="Open Sans"/>
          <w:b/>
          <w:bCs/>
          <w:color w:val="212E3E"/>
          <w:sz w:val="36"/>
          <w:szCs w:val="36"/>
        </w:rPr>
        <w:t xml:space="preserve">1.1  The 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NORTH STAR</w:t>
            </w:r>
          </w:p>
          <w:p>
            <w:pPr>
              <w:spacing w:after="0" w:before="0"/>
            </w:pPr>
            <w:r>
              <w:rPr>
                <w:rFonts w:ascii="Open Sans" w:cs="Open Sans" w:eastAsia="Open Sans" w:hAnsi="Open Sans"/>
                <w:color w:val="3A4A5A"/>
                <w:sz w:val="20"/>
                <w:szCs w:val="20"/>
              </w:rPr>
              <w:t xml:space="preserve">iRemedy exists to dismantle the hidden tax embedded in American healthcare procurement — the markup layers, opacity, and misaligned incentives built into a legacy distribution system that profits from the chaos it creates. The website must make that mission feel urgent, credible, and already in motion.</w:t>
            </w:r>
          </w:p>
        </w:tc>
      </w:tr>
    </w:tbl>
    <w:p/>
    <w:p>
      <w:pPr>
        <w:pBdr>
          <w:bottom w:val="single" w:color="00ACE6" w:sz="4" w:space="6"/>
        </w:pBdr>
        <w:spacing w:after="160" w:before="400"/>
      </w:pPr>
      <w:r>
        <w:rPr>
          <w:rFonts w:ascii="Open Sans" w:cs="Open Sans" w:eastAsia="Open Sans" w:hAnsi="Open Sans"/>
          <w:b/>
          <w:bCs/>
          <w:color w:val="212E3E"/>
          <w:sz w:val="36"/>
          <w:szCs w:val="36"/>
        </w:rPr>
        <w:t xml:space="preserve">1.2  The Enemy (Name It Without Naming Competitors)</w:t>
      </w:r>
    </w:p>
    <w:p>
      <w:pPr>
        <w:spacing w:after="80" w:before="80"/>
      </w:pPr>
      <w:r>
        <w:rPr>
          <w:rFonts w:ascii="Open Sans" w:cs="Open Sans" w:eastAsia="Open Sans" w:hAnsi="Open Sans"/>
          <w:color w:val="3A4A5A"/>
          <w:sz w:val="22"/>
          <w:szCs w:val="22"/>
        </w:rPr>
        <w:t xml:space="preserve">The antagonist of this website's story is not a company. It is a system: decades of healthcare supply chain infrastructure designed around opacity, margin extraction, and structural conflicts of interest that disadvantage every provider and every patient at the end of the chain. The site must make this system feel as heavy and unjust as it is — so that iRemedy feels not like a vendor alternative, but like an inevitable correction.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FRAMING PRINCIPLE</w:t>
            </w:r>
          </w:p>
          <w:p>
            <w:pPr>
              <w:spacing w:after="0" w:before="0"/>
            </w:pPr>
            <w:r>
              <w:rPr>
                <w:rFonts w:ascii="Open Sans" w:cs="Open Sans" w:eastAsia="Open Sans" w:hAnsi="Open Sans"/>
                <w:color w:val="3A4A5A"/>
                <w:sz w:val="20"/>
                <w:szCs w:val="20"/>
              </w:rPr>
              <w:t xml:space="preserve">Never position iRemedy against a named competitor. Position it against the incumbent system. "You have been paying a tax you did not know existed. MetaCommerceRx ends that."</w:t>
            </w:r>
          </w:p>
        </w:tc>
      </w:tr>
    </w:tbl>
    <w:p/>
    <w:p>
      <w:pPr>
        <w:pBdr>
          <w:bottom w:val="single" w:color="00ACE6" w:sz="4" w:space="6"/>
        </w:pBdr>
        <w:spacing w:after="160" w:before="400"/>
      </w:pPr>
      <w:r>
        <w:rPr>
          <w:rFonts w:ascii="Open Sans" w:cs="Open Sans" w:eastAsia="Open Sans" w:hAnsi="Open Sans"/>
          <w:b/>
          <w:bCs/>
          <w:color w:val="212E3E"/>
          <w:sz w:val="36"/>
          <w:szCs w:val="36"/>
        </w:rPr>
        <w:t xml:space="preserve">1.3  Narrative Sequence — The Five-Act Structure</w:t>
      </w:r>
    </w:p>
    <w:p>
      <w:pPr>
        <w:spacing w:after="80" w:before="80"/>
      </w:pPr>
      <w:r>
        <w:rPr>
          <w:rFonts w:ascii="Open Sans" w:cs="Open Sans" w:eastAsia="Open Sans" w:hAnsi="Open Sans"/>
          <w:color w:val="3A4A5A"/>
          <w:sz w:val="22"/>
          <w:szCs w:val="22"/>
        </w:rPr>
        <w:t xml:space="preserve">Every great product story follows a sequence. This site follows these five acts in this order. No act may be skipped. No act may appear before its predecessor.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400"/>
        <w:gridCol w:w="6240"/>
      </w:tblGrid>
      <w:tr>
        <w:tc>
          <w:tcPr>
            <w:tcW w:type="dxa" w:w="720"/>
            <w:tcBorders>
              <w:top w:val="none" w:color="FFFFFF" w:sz="0"/>
              <w:left w:val="none" w:color="FFFFFF" w:sz="0"/>
              <w:bottom w:val="none" w:color="FFFFFF" w:sz="0"/>
              <w:right w:val="none" w:color="FFFFFF" w:sz="0"/>
            </w:tcBorders>
            <w:shd w:fill="212E3E" w:val="clear"/>
            <w:tcMar>
              <w:top w:type="dxa" w:w="160"/>
              <w:left w:type="dxa" w:w="160"/>
              <w:bottom w:type="dxa" w:w="160"/>
              <w:right w:type="dxa" w:w="160"/>
            </w:tcMar>
          </w:tcPr>
          <w:p>
            <w:r>
              <w:rPr>
                <w:rFonts w:ascii="Open Sans" w:cs="Open Sans" w:eastAsia="Open Sans" w:hAnsi="Open Sans"/>
                <w:b/>
                <w:bCs/>
                <w:color w:val="FFFFFF"/>
                <w:sz w:val="18"/>
                <w:szCs w:val="18"/>
              </w:rPr>
              <w:t xml:space="preserve">ACT</w:t>
            </w:r>
          </w:p>
        </w:tc>
        <w:tc>
          <w:tcPr>
            <w:tcW w:type="dxa" w:w="2400"/>
            <w:tcBorders>
              <w:top w:val="none" w:color="FFFFFF" w:sz="0"/>
              <w:left w:val="none" w:color="FFFFFF" w:sz="0"/>
              <w:bottom w:val="none" w:color="FFFFFF" w:sz="0"/>
              <w:right w:val="none" w:color="FFFFFF" w:sz="0"/>
            </w:tcBorders>
            <w:shd w:fill="212E3E" w:val="clear"/>
            <w:tcMar>
              <w:top w:type="dxa" w:w="160"/>
              <w:left w:type="dxa" w:w="160"/>
              <w:bottom w:type="dxa" w:w="160"/>
              <w:right w:type="dxa" w:w="160"/>
            </w:tcMar>
          </w:tcPr>
          <w:p>
            <w:r>
              <w:rPr>
                <w:rFonts w:ascii="Open Sans" w:cs="Open Sans" w:eastAsia="Open Sans" w:hAnsi="Open Sans"/>
                <w:b/>
                <w:bCs/>
                <w:color w:val="FFFFFF"/>
                <w:sz w:val="18"/>
                <w:szCs w:val="18"/>
              </w:rPr>
              <w:t xml:space="preserve">Name</w:t>
            </w:r>
          </w:p>
        </w:tc>
        <w:tc>
          <w:tcPr>
            <w:tcW w:type="dxa" w:w="6240"/>
            <w:tcBorders>
              <w:top w:val="none" w:color="FFFFFF" w:sz="0"/>
              <w:left w:val="none" w:color="FFFFFF" w:sz="0"/>
              <w:bottom w:val="none" w:color="FFFFFF" w:sz="0"/>
              <w:right w:val="none" w:color="FFFFFF" w:sz="0"/>
            </w:tcBorders>
            <w:shd w:fill="212E3E" w:val="clear"/>
            <w:tcMar>
              <w:top w:type="dxa" w:w="160"/>
              <w:left w:type="dxa" w:w="160"/>
              <w:bottom w:type="dxa" w:w="160"/>
              <w:right w:type="dxa" w:w="160"/>
            </w:tcMar>
          </w:tcPr>
          <w:p>
            <w:r>
              <w:rPr>
                <w:rFonts w:ascii="Open Sans" w:cs="Open Sans" w:eastAsia="Open Sans" w:hAnsi="Open Sans"/>
                <w:b/>
                <w:bCs/>
                <w:color w:val="FFFFFF"/>
                <w:sz w:val="18"/>
                <w:szCs w:val="18"/>
              </w:rPr>
              <w:t xml:space="preserve">Purpose</w:t>
            </w:r>
          </w:p>
        </w:tc>
      </w:tr>
      <w:tr>
        <w:tc>
          <w:tcPr>
            <w:tcW w:type="dxa" w:w="72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b/>
                <w:bCs/>
                <w:color w:val="0064A5"/>
                <w:sz w:val="20"/>
                <w:szCs w:val="20"/>
              </w:rPr>
              <w:t xml:space="preserve">01</w:t>
            </w:r>
          </w:p>
        </w:tc>
        <w:tc>
          <w:tcPr>
            <w:tcW w:type="dxa" w:w="240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b/>
                <w:bCs/>
                <w:color w:val="212E3E"/>
                <w:sz w:val="20"/>
                <w:szCs w:val="20"/>
              </w:rPr>
              <w:t xml:space="preserve">The Burden</w:t>
            </w:r>
          </w:p>
        </w:tc>
        <w:tc>
          <w:tcPr>
            <w:tcW w:type="dxa" w:w="624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color w:val="3A4A5A"/>
                <w:sz w:val="19"/>
                <w:szCs w:val="19"/>
              </w:rPr>
              <w:t xml:space="preserve">Name the specific, felt pain of the target buyer. Make them feel understood before they feel sold to. This is the Hero section.</w:t>
            </w:r>
          </w:p>
        </w:tc>
      </w:tr>
      <w:tr>
        <w:tc>
          <w:tcPr>
            <w:tcW w:type="dxa" w:w="720"/>
            <w:tcBorders>
              <w:top w:val="single" w:color="D0D8E0" w:sz="1"/>
              <w:left w:val="single" w:color="D0D8E0" w:sz="1"/>
              <w:bottom w:val="single" w:color="D0D8E0" w:sz="1"/>
              <w:right w:val="single" w:color="D0D8E0" w:sz="1"/>
            </w:tcBorders>
            <w:shd w:fill="FFFFFF" w:val="clear"/>
            <w:tcMar>
              <w:top w:type="dxa" w:w="120"/>
              <w:left w:type="dxa" w:w="160"/>
              <w:bottom w:type="dxa" w:w="120"/>
              <w:right w:type="dxa" w:w="160"/>
            </w:tcMar>
          </w:tcPr>
          <w:p>
            <w:r>
              <w:rPr>
                <w:rFonts w:ascii="Open Sans" w:cs="Open Sans" w:eastAsia="Open Sans" w:hAnsi="Open Sans"/>
                <w:b/>
                <w:bCs/>
                <w:color w:val="0064A5"/>
                <w:sz w:val="20"/>
                <w:szCs w:val="20"/>
              </w:rPr>
              <w:t xml:space="preserve">02</w:t>
            </w:r>
          </w:p>
        </w:tc>
        <w:tc>
          <w:tcPr>
            <w:tcW w:type="dxa" w:w="2400"/>
            <w:tcBorders>
              <w:top w:val="single" w:color="D0D8E0" w:sz="1"/>
              <w:left w:val="single" w:color="D0D8E0" w:sz="1"/>
              <w:bottom w:val="single" w:color="D0D8E0" w:sz="1"/>
              <w:right w:val="single" w:color="D0D8E0" w:sz="1"/>
            </w:tcBorders>
            <w:shd w:fill="FFFFFF" w:val="clear"/>
            <w:tcMar>
              <w:top w:type="dxa" w:w="120"/>
              <w:left w:type="dxa" w:w="160"/>
              <w:bottom w:type="dxa" w:w="120"/>
              <w:right w:type="dxa" w:w="160"/>
            </w:tcMar>
          </w:tcPr>
          <w:p>
            <w:r>
              <w:rPr>
                <w:rFonts w:ascii="Open Sans" w:cs="Open Sans" w:eastAsia="Open Sans" w:hAnsi="Open Sans"/>
                <w:b/>
                <w:bCs/>
                <w:color w:val="212E3E"/>
                <w:sz w:val="20"/>
                <w:szCs w:val="20"/>
              </w:rPr>
              <w:t xml:space="preserve">The System</w:t>
            </w:r>
          </w:p>
        </w:tc>
        <w:tc>
          <w:tcPr>
            <w:tcW w:type="dxa" w:w="6240"/>
            <w:tcBorders>
              <w:top w:val="single" w:color="D0D8E0" w:sz="1"/>
              <w:left w:val="single" w:color="D0D8E0" w:sz="1"/>
              <w:bottom w:val="single" w:color="D0D8E0" w:sz="1"/>
              <w:right w:val="single" w:color="D0D8E0" w:sz="1"/>
            </w:tcBorders>
            <w:shd w:fill="FFFFFF" w:val="clear"/>
            <w:tcMar>
              <w:top w:type="dxa" w:w="120"/>
              <w:left w:type="dxa" w:w="160"/>
              <w:bottom w:type="dxa" w:w="120"/>
              <w:right w:type="dxa" w:w="160"/>
            </w:tcMar>
          </w:tcPr>
          <w:p>
            <w:r>
              <w:rPr>
                <w:rFonts w:ascii="Open Sans" w:cs="Open Sans" w:eastAsia="Open Sans" w:hAnsi="Open Sans"/>
                <w:color w:val="3A4A5A"/>
                <w:sz w:val="19"/>
                <w:szCs w:val="19"/>
              </w:rPr>
              <w:t xml:space="preserve">Reveal the structural cause of the pain — not a villain, a system. The supply chain visual lives here. The "aha moment" lives here.</w:t>
            </w:r>
          </w:p>
        </w:tc>
      </w:tr>
      <w:tr>
        <w:tc>
          <w:tcPr>
            <w:tcW w:type="dxa" w:w="72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b/>
                <w:bCs/>
                <w:color w:val="0064A5"/>
                <w:sz w:val="20"/>
                <w:szCs w:val="20"/>
              </w:rPr>
              <w:t xml:space="preserve">03</w:t>
            </w:r>
          </w:p>
        </w:tc>
        <w:tc>
          <w:tcPr>
            <w:tcW w:type="dxa" w:w="240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b/>
                <w:bCs/>
                <w:color w:val="212E3E"/>
                <w:sz w:val="20"/>
                <w:szCs w:val="20"/>
              </w:rPr>
              <w:t xml:space="preserve">The Correction</w:t>
            </w:r>
          </w:p>
        </w:tc>
        <w:tc>
          <w:tcPr>
            <w:tcW w:type="dxa" w:w="624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color w:val="3A4A5A"/>
                <w:sz w:val="19"/>
                <w:szCs w:val="19"/>
              </w:rPr>
              <w:t xml:space="preserve">Introduce iRemedy and MetaCommerceRx as the mechanism that ends the system. How It Works lives here.</w:t>
            </w:r>
          </w:p>
        </w:tc>
      </w:tr>
      <w:tr>
        <w:tc>
          <w:tcPr>
            <w:tcW w:type="dxa" w:w="720"/>
            <w:tcBorders>
              <w:top w:val="single" w:color="D0D8E0" w:sz="1"/>
              <w:left w:val="single" w:color="D0D8E0" w:sz="1"/>
              <w:bottom w:val="single" w:color="D0D8E0" w:sz="1"/>
              <w:right w:val="single" w:color="D0D8E0" w:sz="1"/>
            </w:tcBorders>
            <w:shd w:fill="FFFFFF" w:val="clear"/>
            <w:tcMar>
              <w:top w:type="dxa" w:w="120"/>
              <w:left w:type="dxa" w:w="160"/>
              <w:bottom w:type="dxa" w:w="120"/>
              <w:right w:type="dxa" w:w="160"/>
            </w:tcMar>
          </w:tcPr>
          <w:p>
            <w:r>
              <w:rPr>
                <w:rFonts w:ascii="Open Sans" w:cs="Open Sans" w:eastAsia="Open Sans" w:hAnsi="Open Sans"/>
                <w:b/>
                <w:bCs/>
                <w:color w:val="0064A5"/>
                <w:sz w:val="20"/>
                <w:szCs w:val="20"/>
              </w:rPr>
              <w:t xml:space="preserve">04</w:t>
            </w:r>
          </w:p>
        </w:tc>
        <w:tc>
          <w:tcPr>
            <w:tcW w:type="dxa" w:w="2400"/>
            <w:tcBorders>
              <w:top w:val="single" w:color="D0D8E0" w:sz="1"/>
              <w:left w:val="single" w:color="D0D8E0" w:sz="1"/>
              <w:bottom w:val="single" w:color="D0D8E0" w:sz="1"/>
              <w:right w:val="single" w:color="D0D8E0" w:sz="1"/>
            </w:tcBorders>
            <w:shd w:fill="FFFFFF" w:val="clear"/>
            <w:tcMar>
              <w:top w:type="dxa" w:w="120"/>
              <w:left w:type="dxa" w:w="160"/>
              <w:bottom w:type="dxa" w:w="120"/>
              <w:right w:type="dxa" w:w="160"/>
            </w:tcMar>
          </w:tcPr>
          <w:p>
            <w:r>
              <w:rPr>
                <w:rFonts w:ascii="Open Sans" w:cs="Open Sans" w:eastAsia="Open Sans" w:hAnsi="Open Sans"/>
                <w:b/>
                <w:bCs/>
                <w:color w:val="212E3E"/>
                <w:sz w:val="20"/>
                <w:szCs w:val="20"/>
              </w:rPr>
              <w:t xml:space="preserve">The Proof</w:t>
            </w:r>
          </w:p>
        </w:tc>
        <w:tc>
          <w:tcPr>
            <w:tcW w:type="dxa" w:w="6240"/>
            <w:tcBorders>
              <w:top w:val="single" w:color="D0D8E0" w:sz="1"/>
              <w:left w:val="single" w:color="D0D8E0" w:sz="1"/>
              <w:bottom w:val="single" w:color="D0D8E0" w:sz="1"/>
              <w:right w:val="single" w:color="D0D8E0" w:sz="1"/>
            </w:tcBorders>
            <w:shd w:fill="FFFFFF" w:val="clear"/>
            <w:tcMar>
              <w:top w:type="dxa" w:w="120"/>
              <w:left w:type="dxa" w:w="160"/>
              <w:bottom w:type="dxa" w:w="120"/>
              <w:right w:type="dxa" w:w="160"/>
            </w:tcMar>
          </w:tcPr>
          <w:p>
            <w:r>
              <w:rPr>
                <w:rFonts w:ascii="Open Sans" w:cs="Open Sans" w:eastAsia="Open Sans" w:hAnsi="Open Sans"/>
                <w:color w:val="3A4A5A"/>
                <w:sz w:val="19"/>
                <w:szCs w:val="19"/>
              </w:rPr>
              <w:t xml:space="preserve">Demonstrate credibility through data, partnerships, certifications, and language that signals insider knowledge.</w:t>
            </w:r>
          </w:p>
        </w:tc>
      </w:tr>
      <w:tr>
        <w:tc>
          <w:tcPr>
            <w:tcW w:type="dxa" w:w="72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b/>
                <w:bCs/>
                <w:color w:val="0064A5"/>
                <w:sz w:val="20"/>
                <w:szCs w:val="20"/>
              </w:rPr>
              <w:t xml:space="preserve">05</w:t>
            </w:r>
          </w:p>
        </w:tc>
        <w:tc>
          <w:tcPr>
            <w:tcW w:type="dxa" w:w="240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b/>
                <w:bCs/>
                <w:color w:val="212E3E"/>
                <w:sz w:val="20"/>
                <w:szCs w:val="20"/>
              </w:rPr>
              <w:t xml:space="preserve">The Call</w:t>
            </w:r>
          </w:p>
        </w:tc>
        <w:tc>
          <w:tcPr>
            <w:tcW w:type="dxa" w:w="6240"/>
            <w:tcBorders>
              <w:top w:val="single" w:color="D0D8E0" w:sz="1"/>
              <w:left w:val="single" w:color="D0D8E0" w:sz="1"/>
              <w:bottom w:val="single" w:color="D0D8E0" w:sz="1"/>
              <w:right w:val="single" w:color="D0D8E0" w:sz="1"/>
            </w:tcBorders>
            <w:shd w:fill="F4F6F8" w:val="clear"/>
            <w:tcMar>
              <w:top w:type="dxa" w:w="120"/>
              <w:left w:type="dxa" w:w="160"/>
              <w:bottom w:type="dxa" w:w="120"/>
              <w:right w:type="dxa" w:w="160"/>
            </w:tcMar>
          </w:tcPr>
          <w:p>
            <w:r>
              <w:rPr>
                <w:rFonts w:ascii="Open Sans" w:cs="Open Sans" w:eastAsia="Open Sans" w:hAnsi="Open Sans"/>
                <w:color w:val="3A4A5A"/>
                <w:sz w:val="19"/>
                <w:szCs w:val="19"/>
              </w:rPr>
              <w:t xml:space="preserve">Route different buyers to the experience most relevant to them. The CTA section must not be generic.</w:t>
            </w:r>
          </w:p>
        </w:tc>
      </w:tr>
    </w:tbl>
    <w:p/>
    <w:p>
      <w:pPr>
        <w:pBdr>
          <w:bottom w:val="single" w:color="00ACE6" w:sz="4" w:space="6"/>
        </w:pBdr>
        <w:spacing w:after="160" w:before="400"/>
      </w:pPr>
      <w:r>
        <w:rPr>
          <w:rFonts w:ascii="Open Sans" w:cs="Open Sans" w:eastAsia="Open Sans" w:hAnsi="Open Sans"/>
          <w:b/>
          <w:bCs/>
          <w:color w:val="212E3E"/>
          <w:sz w:val="36"/>
          <w:szCs w:val="36"/>
        </w:rPr>
        <w:t xml:space="preserve">1.4  Platform Frame — One Platform, Many Expressions</w:t>
      </w:r>
    </w:p>
    <w:p>
      <w:pPr>
        <w:spacing w:after="80" w:before="80"/>
      </w:pPr>
      <w:r>
        <w:rPr>
          <w:rFonts w:ascii="Open Sans" w:cs="Open Sans" w:eastAsia="Open Sans" w:hAnsi="Open Sans"/>
          <w:color w:val="3A4A5A"/>
          <w:sz w:val="22"/>
          <w:szCs w:val="22"/>
        </w:rPr>
        <w:t xml:space="preserve">The single most important architectural decision in the site's navigation and copy is this: MetaCommerceRx is the platform. Every service iRemedy offers — direct distribution, SaaS subscriptions, the manufacturer incubator, government advisory, market intelligence — is a configuration or expression of that platform applied to a specific context.</w:t>
      </w:r>
    </w:p>
    <w:p/>
    <w:p>
      <w:pPr>
        <w:spacing w:after="80" w:before="80"/>
      </w:pPr>
      <w:r>
        <w:rPr>
          <w:rFonts w:ascii="Open Sans" w:cs="Open Sans" w:eastAsia="Open Sans" w:hAnsi="Open Sans"/>
          <w:color w:val="3A4A5A"/>
          <w:sz w:val="22"/>
          <w:szCs w:val="22"/>
        </w:rPr>
        <w:t xml:space="preserve">This prevents fragmentation. A first-time visitor should never need to hold five separate value propositions in their head. They hold one: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ACE6"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ACE6"/>
                <w:sz w:val="20"/>
                <w:szCs w:val="20"/>
              </w:rPr>
              <w:t xml:space="preserve">THE ONE SENTENCE</w:t>
            </w:r>
          </w:p>
          <w:p>
            <w:pPr>
              <w:spacing w:after="0" w:before="0"/>
            </w:pPr>
            <w:r>
              <w:rPr>
                <w:rFonts w:ascii="Open Sans" w:cs="Open Sans" w:eastAsia="Open Sans" w:hAnsi="Open Sans"/>
                <w:color w:val="3A4A5A"/>
                <w:sz w:val="20"/>
                <w:szCs w:val="20"/>
              </w:rPr>
              <w:t xml:space="preserve">iRemedy built the infrastructure that healthcare procurement has never had — direct sourcing, real-time intelligence, and transparent pricing — and delivers it through MetaCommerceRx, configured for every stakeholder in the supply chain.</w:t>
            </w:r>
          </w:p>
        </w:tc>
      </w:tr>
    </w:tbl>
    <w:p/>
    <w:p>
      <w:pPr>
        <w:pBdr>
          <w:bottom w:val="single" w:color="00ACE6" w:sz="4" w:space="6"/>
        </w:pBdr>
        <w:spacing w:after="160" w:before="400"/>
      </w:pPr>
      <w:r>
        <w:rPr>
          <w:rFonts w:ascii="Open Sans" w:cs="Open Sans" w:eastAsia="Open Sans" w:hAnsi="Open Sans"/>
          <w:b/>
          <w:bCs/>
          <w:color w:val="212E3E"/>
          <w:sz w:val="36"/>
          <w:szCs w:val="36"/>
        </w:rPr>
        <w:t xml:space="preserve">1.5  Target Buyer Personas</w:t>
      </w:r>
    </w:p>
    <w:p>
      <w:pPr>
        <w:spacing w:after="80" w:before="80"/>
      </w:pPr>
      <w:r>
        <w:rPr>
          <w:rFonts w:ascii="Open Sans" w:cs="Open Sans" w:eastAsia="Open Sans" w:hAnsi="Open Sans"/>
          <w:color w:val="3A4A5A"/>
          <w:sz w:val="22"/>
          <w:szCs w:val="22"/>
        </w:rPr>
        <w:t xml:space="preserve">The site must simultaneously speak to four distinct buyers without fragmenting into four different sites. The solution is a unified mission story with persona-specific routing at the CTA layer.</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Ambulatory &amp; Surgery Center Operators</w:t>
            </w:r>
          </w:p>
          <w:p>
            <w:pPr>
              <w:spacing w:after="0" w:before="0"/>
            </w:pPr>
            <w:r>
              <w:rPr>
                <w:rFonts w:ascii="Open Sans" w:cs="Open Sans" w:eastAsia="Open Sans" w:hAnsi="Open Sans"/>
                <w:color w:val="3A4A5A"/>
                <w:sz w:val="19"/>
                <w:szCs w:val="19"/>
              </w:rPr>
              <w:t xml:space="preserve">Primary buyer. Skeptical, time-constrained, burned by vendor promises. Needs: cost certainty, operational simplicity, compliance confidence.</w:t>
            </w:r>
          </w:p>
        </w:tc>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Health System Procurement Officers</w:t>
            </w:r>
          </w:p>
          <w:p>
            <w:pPr>
              <w:spacing w:after="0" w:before="0"/>
            </w:pPr>
            <w:r>
              <w:rPr>
                <w:rFonts w:ascii="Open Sans" w:cs="Open Sans" w:eastAsia="Open Sans" w:hAnsi="Open Sans"/>
                <w:color w:val="3A4A5A"/>
                <w:sz w:val="19"/>
                <w:szCs w:val="19"/>
              </w:rPr>
              <w:t xml:space="preserve">Secondary buyer. Institutional, risk-managed, budget-accountable. Needs: enterprise scale, GPO integration, data-backed ROI, audit trails.</w:t>
            </w:r>
          </w:p>
        </w:tc>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Manufacturers &amp; Pharma Companies</w:t>
            </w:r>
          </w:p>
          <w:p>
            <w:pPr>
              <w:spacing w:after="0" w:before="0"/>
            </w:pPr>
            <w:r>
              <w:rPr>
                <w:rFonts w:ascii="Open Sans" w:cs="Open Sans" w:eastAsia="Open Sans" w:hAnsi="Open Sans"/>
                <w:color w:val="3A4A5A"/>
                <w:sz w:val="19"/>
                <w:szCs w:val="19"/>
              </w:rPr>
              <w:t xml:space="preserve">Incubator + D2P audience. Growth-oriented, regulatory-aware. Needs: market access, compliance infrastructure, distribution reach.</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ACE6"/>
                <w:sz w:val="28"/>
                <w:szCs w:val="28"/>
              </w:rPr>
              <w:t xml:space="preserve">■</w:t>
            </w:r>
          </w:p>
          <w:p>
            <w:pPr>
              <w:spacing w:after="100" w:before="0"/>
            </w:pPr>
            <w:r>
              <w:rPr>
                <w:rFonts w:ascii="Open Sans" w:cs="Open Sans" w:eastAsia="Open Sans" w:hAnsi="Open Sans"/>
                <w:b/>
                <w:bCs/>
                <w:color w:val="212E3E"/>
                <w:sz w:val="22"/>
                <w:szCs w:val="22"/>
              </w:rPr>
              <w:t xml:space="preserve">Government &amp; Policy Buyers</w:t>
            </w:r>
          </w:p>
          <w:p>
            <w:pPr>
              <w:spacing w:after="0" w:before="0"/>
            </w:pPr>
            <w:r>
              <w:rPr>
                <w:rFonts w:ascii="Open Sans" w:cs="Open Sans" w:eastAsia="Open Sans" w:hAnsi="Open Sans"/>
                <w:color w:val="3A4A5A"/>
                <w:sz w:val="19"/>
                <w:szCs w:val="19"/>
              </w:rPr>
              <w:t xml:space="preserve">Advisory practice audience. Mission-driven, procurement-sophisticated. Needs: contract vehicles, compliance signals, proven performance, CAGE/GSA/UEI credentials.</w:t>
            </w:r>
          </w:p>
        </w:tc>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GPO &amp; Group Purchasing Organizations</w:t>
            </w:r>
          </w:p>
          <w:p>
            <w:pPr>
              <w:spacing w:after="0" w:before="0"/>
            </w:pPr>
            <w:r>
              <w:rPr>
                <w:rFonts w:ascii="Open Sans" w:cs="Open Sans" w:eastAsia="Open Sans" w:hAnsi="Open Sans"/>
                <w:color w:val="3A4A5A"/>
                <w:sz w:val="19"/>
                <w:szCs w:val="19"/>
              </w:rPr>
              <w:t xml:space="preserve">Partnership buyer. Relationship-oriented, value-chain aware. Needs: integration capability, formulary intelligence, transparent pricing data.</w:t>
            </w:r>
          </w:p>
        </w:tc>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Health System CFOs &amp; VPs</w:t>
            </w:r>
          </w:p>
          <w:p>
            <w:pPr>
              <w:spacing w:after="0" w:before="0"/>
            </w:pPr>
            <w:r>
              <w:rPr>
                <w:rFonts w:ascii="Open Sans" w:cs="Open Sans" w:eastAsia="Open Sans" w:hAnsi="Open Sans"/>
                <w:color w:val="3A4A5A"/>
                <w:sz w:val="19"/>
                <w:szCs w:val="19"/>
              </w:rPr>
              <w:t xml:space="preserve">Economic decision-maker. Numbers-first, ROI-focused. Needs: total cost of ownership reduction, switching cost clarity, risk mitigation framing.</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02</w:t>
      </w:r>
    </w:p>
    <w:p>
      <w:pPr>
        <w:spacing w:after="200" w:before="0"/>
      </w:pPr>
      <w:r>
        <w:rPr>
          <w:rFonts w:ascii="Open Sans" w:cs="Open Sans" w:eastAsia="Open Sans" w:hAnsi="Open Sans"/>
          <w:b/>
          <w:bCs/>
          <w:color w:val="212E3E"/>
          <w:sz w:val="52"/>
          <w:szCs w:val="52"/>
        </w:rPr>
        <w:t xml:space="preserve">Design System</w:t>
      </w:r>
    </w:p>
    <w:p/>
    <w:p>
      <w:pPr>
        <w:pBdr>
          <w:bottom w:val="single" w:color="00ACE6" w:sz="4" w:space="6"/>
        </w:pBdr>
        <w:spacing w:after="160" w:before="400"/>
      </w:pPr>
      <w:r>
        <w:rPr>
          <w:rFonts w:ascii="Open Sans" w:cs="Open Sans" w:eastAsia="Open Sans" w:hAnsi="Open Sans"/>
          <w:b/>
          <w:bCs/>
          <w:color w:val="212E3E"/>
          <w:sz w:val="36"/>
          <w:szCs w:val="36"/>
        </w:rPr>
        <w:t xml:space="preserve">2.1  Color Palette — Exact Specifications</w:t>
      </w:r>
    </w:p>
    <w:p>
      <w:pPr>
        <w:spacing w:after="80" w:before="80"/>
      </w:pPr>
      <w:r>
        <w:rPr>
          <w:rFonts w:ascii="Open Sans" w:cs="Open Sans" w:eastAsia="Open Sans" w:hAnsi="Open Sans"/>
          <w:color w:val="3A4A5A"/>
          <w:sz w:val="22"/>
          <w:szCs w:val="22"/>
        </w:rPr>
        <w:t xml:space="preserve">The iRemedy palette communicates authority, intelligence, and forward momentum. It is a healthcare-grade palette — not clinical sterility (no pure white + green), not consumer warmth. Think: intelligence infrastructure for professionals.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Imperial Primer</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#212E3E  |  RGB(33, 48, 62)  |  Primary dark — backgrounds, headings, authority surfaces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Medium Persian Blue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#0064A5  |  RGB(0, 100, 165)  |  Primary brand blue — CTAs, interactive elements, key headings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Vivid Cerulean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#00ACE6  |  RGB(0, 172, 230)  |  Accent — labels, highlights, hover states, icon accents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White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#FFFFFF  |  All light section backgrounds, card backgrounds, text on dark</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Surface Gray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#F4F6F8  |  Alternating section backgrounds, table rows, input fields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Border Gray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#D0D8E0  |  All borders, dividers, hairlines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Body Gray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#3A4A5A  |  All body copy — not pure black, warmer and more readable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Light Blue Tint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#E8F4FC  |  Card backgrounds in "How It Works" and feature sections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Danger Red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#8B0000  |  Used ONLY in the supply chain comparison table — the old system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Success / Proof</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#1A6B3A  |  Checkmarks, compliance badges, certification indicators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B0000"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8B0000"/>
                <w:sz w:val="20"/>
                <w:szCs w:val="20"/>
              </w:rPr>
              <w:t xml:space="preserve">CRITICAL RULE</w:t>
            </w:r>
          </w:p>
          <w:p>
            <w:pPr>
              <w:spacing w:after="0" w:before="0"/>
            </w:pPr>
            <w:r>
              <w:rPr>
                <w:rFonts w:ascii="Open Sans" w:cs="Open Sans" w:eastAsia="Open Sans" w:hAnsi="Open Sans"/>
                <w:color w:val="3A4A5A"/>
                <w:sz w:val="20"/>
                <w:szCs w:val="20"/>
              </w:rPr>
              <w:t xml:space="preserve">Vivid Cerulean (#00ACE6) has a contrast ratio of 2.13 — it FAILS WCAG AA. Never use Cerulean as text color on white. Use it ONLY as accent on dark backgrounds (Imperial Primer) or as a decorative element with zero legibility dependency.</w:t>
            </w:r>
          </w:p>
        </w:tc>
      </w:tr>
    </w:tbl>
    <w:p/>
    <w:p>
      <w:pPr>
        <w:pBdr>
          <w:bottom w:val="single" w:color="00ACE6" w:sz="4" w:space="6"/>
        </w:pBdr>
        <w:spacing w:after="160" w:before="400"/>
      </w:pPr>
      <w:r>
        <w:rPr>
          <w:rFonts w:ascii="Open Sans" w:cs="Open Sans" w:eastAsia="Open Sans" w:hAnsi="Open Sans"/>
          <w:b/>
          <w:bCs/>
          <w:color w:val="212E3E"/>
          <w:sz w:val="36"/>
          <w:szCs w:val="36"/>
        </w:rPr>
        <w:t xml:space="preserve">2.2  Typography</w:t>
      </w:r>
    </w:p>
    <w:p>
      <w:pPr>
        <w:spacing w:after="80" w:before="80"/>
      </w:pPr>
      <w:r>
        <w:rPr>
          <w:rFonts w:ascii="Open Sans" w:cs="Open Sans" w:eastAsia="Open Sans" w:hAnsi="Open Sans"/>
          <w:color w:val="3A4A5A"/>
          <w:sz w:val="22"/>
          <w:szCs w:val="22"/>
        </w:rPr>
        <w:t xml:space="preserve">Primary typeface: Open Sans (Google Fonts). This is the brand-mandated typeface. All weights must be loaded: Light (300), Regular (400), SemiBold (600), Bold (700).</w:t>
      </w:r>
    </w:p>
    <w:p/>
    <w:p>
      <w:pPr>
        <w:spacing w:after="80" w:before="80"/>
      </w:pPr>
      <w:r>
        <w:rPr>
          <w:rFonts w:ascii="Open Sans" w:cs="Open Sans" w:eastAsia="Open Sans" w:hAnsi="Open Sans"/>
          <w:color w:val="3A4A5A"/>
          <w:sz w:val="22"/>
          <w:szCs w:val="22"/>
        </w:rPr>
        <w:t xml:space="preserve">Secondary typeface (data/code contexts only): Inter or JetBrains Mono for numerical readouts, pricing displays, and compliance codes.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Display / Hero</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Open Sans Bold 700  |  72–96px  |  Imperial Primer or White  |  Line height 1.05  |  Tracking -0.02em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H1</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Open Sans Bold 700  |  52–64px  |  Imperial Primer  |  Line height 1.1  |  Tracking -0.015em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H2</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Open Sans SemiBold 600  |  36–44px  |  Imperial Primer  |  Line height 1.15</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H3</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Open Sans SemiBold 600  |  26–30px  |  Persian Blue  |  Line height 1.2</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H4</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Open Sans Bold 700  |  20–22px  |  Imperial Primer  |  ALL CAPS with tracking 0.08em for section labels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Body Large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Open Sans Regular 400  |  18–20px  |  Body Gray  |  Line height 1.7  |  Max width 680px</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Body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Open Sans Regular 400  |  16px  |  Body Gray  |  Line height 1.65</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Caption / Label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Open Sans SemiBold 600  |  12–13px  |  Cerulean or Persian Blue  |  ALL CAPS  |  Tracking 0.1em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Stat / Data Display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Open Sans Bold 700  |  48–72px  |  Imperial Primer  |  Tabular nums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CTA Button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Open Sans Bold 700  |  15–16px  |  All caps optional  |  Tracking 0.04em</w:t>
            </w:r>
          </w:p>
        </w:tc>
      </w:tr>
    </w:tbl>
    <w:p/>
    <w:p>
      <w:pPr>
        <w:pBdr>
          <w:bottom w:val="single" w:color="00ACE6" w:sz="4" w:space="6"/>
        </w:pBdr>
        <w:spacing w:after="160" w:before="400"/>
      </w:pPr>
      <w:r>
        <w:rPr>
          <w:rFonts w:ascii="Open Sans" w:cs="Open Sans" w:eastAsia="Open Sans" w:hAnsi="Open Sans"/>
          <w:b/>
          <w:bCs/>
          <w:color w:val="212E3E"/>
          <w:sz w:val="36"/>
          <w:szCs w:val="36"/>
        </w:rPr>
        <w:t xml:space="preserve">2.3  Spacing System — 8px Grid</w:t>
      </w:r>
    </w:p>
    <w:p>
      <w:pPr>
        <w:spacing w:after="80" w:before="80"/>
      </w:pPr>
      <w:r>
        <w:rPr>
          <w:rFonts w:ascii="Open Sans" w:cs="Open Sans" w:eastAsia="Open Sans" w:hAnsi="Open Sans"/>
          <w:color w:val="3A4A5A"/>
          <w:sz w:val="22"/>
          <w:szCs w:val="22"/>
        </w:rPr>
        <w:t xml:space="preserve">All spacing, padding, margin, and sizing values must be multiples of 8px. No exceptions. This creates visual rhythm that institutional buyers — even unconsciously — register as quality and precision.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Base unit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8px</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Component padding (small)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16px (2×)</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Component padding (standard)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24px (3×)</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Component padding (large)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48px (6×)</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Section vertical padding</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96px–160px (12×–20×)</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Max content width</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1200px</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Max copy width</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680px (ensures no line exceeds ~75 characters)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Card border radius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8px standard  |  16px for hero cards  |  4px for table cells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Button border radius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6px — confident, not pill-shaped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Grid columns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12-column  |  gutters 24px  |  breakpoints: 375 / 768 / 1024 / 1280 / 1440</w:t>
            </w:r>
          </w:p>
        </w:tc>
      </w:tr>
    </w:tbl>
    <w:p/>
    <w:p>
      <w:pPr>
        <w:pBdr>
          <w:bottom w:val="single" w:color="00ACE6" w:sz="4" w:space="6"/>
        </w:pBdr>
        <w:spacing w:after="160" w:before="400"/>
      </w:pPr>
      <w:r>
        <w:rPr>
          <w:rFonts w:ascii="Open Sans" w:cs="Open Sans" w:eastAsia="Open Sans" w:hAnsi="Open Sans"/>
          <w:b/>
          <w:bCs/>
          <w:color w:val="212E3E"/>
          <w:sz w:val="36"/>
          <w:szCs w:val="36"/>
        </w:rPr>
        <w:t xml:space="preserve">2.4  Motion &amp; Animation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PHILOSOPHY</w:t>
            </w:r>
          </w:p>
          <w:p>
            <w:pPr>
              <w:spacing w:after="0" w:before="0"/>
            </w:pPr>
            <w:r>
              <w:rPr>
                <w:rFonts w:ascii="Open Sans" w:cs="Open Sans" w:eastAsia="Open Sans" w:hAnsi="Open Sans"/>
                <w:color w:val="3A4A5A"/>
                <w:sz w:val="20"/>
                <w:szCs w:val="20"/>
              </w:rPr>
              <w:t xml:space="preserve">Motion is used to direct attention and reveal narrative sequence — not to demonstrate technical capability. Every animation must serve a story beat. Animation that does not advance comprehension should be removed.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Scroll reveal</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Fade up + 24px Y-translate  |  Duration: 600ms  |  Easing: cubic-bezier(0.22, 1, 0.36, 1)  |  Stagger: 120ms per child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Section transitions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Opacity 0→1  |  Duration: 400ms  |  No translate (sections are full-width)</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Supply chain diagram</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Sequential reveal: old chain appears first, then animates into iRemedy chain. Delay 800ms between states. This is the hero animation of the site.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Stats / numbers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Count-up animation on scroll enter  |  Duration: 1200ms  |  Easing: ease-out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CTA buttons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Hover: background lightens 10%, Y-translate -2px, box-shadow deepens  |  Duration: 200ms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Nav</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Background: transparent → Imperial Primer at 80px scroll  |  Duration: 300ms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Tab / persona switcher</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Underline slides between tabs  |  Content cross-fades  |  Duration: 250ms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Hover on cards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Y -4px, shadow increases  |  Duration: 200ms  |  Border-left: 4px solid Cerulean appears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FORBIDDEN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Parallax scroll effects, infinite scroll animations, auto-playing video with sound, rotation effects, any animation exceeding 800ms on primary content</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03</w:t>
      </w:r>
    </w:p>
    <w:p>
      <w:pPr>
        <w:spacing w:after="200" w:before="0"/>
      </w:pPr>
      <w:r>
        <w:rPr>
          <w:rFonts w:ascii="Open Sans" w:cs="Open Sans" w:eastAsia="Open Sans" w:hAnsi="Open Sans"/>
          <w:b/>
          <w:bCs/>
          <w:color w:val="212E3E"/>
          <w:sz w:val="52"/>
          <w:szCs w:val="52"/>
        </w:rPr>
        <w:t xml:space="preserve">Site Architecture</w:t>
      </w:r>
    </w:p>
    <w:p/>
    <w:p>
      <w:pPr>
        <w:pBdr>
          <w:bottom w:val="single" w:color="00ACE6" w:sz="4" w:space="6"/>
        </w:pBdr>
        <w:spacing w:after="160" w:before="400"/>
      </w:pPr>
      <w:r>
        <w:rPr>
          <w:rFonts w:ascii="Open Sans" w:cs="Open Sans" w:eastAsia="Open Sans" w:hAnsi="Open Sans"/>
          <w:b/>
          <w:bCs/>
          <w:color w:val="212E3E"/>
          <w:sz w:val="36"/>
          <w:szCs w:val="36"/>
        </w:rPr>
        <w:t xml:space="preserve">3.1  Page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Homepage — The complete narrative. All five acts. Primary entry point for all buyers.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/platform</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 deep dive. Technical architecture, AI capabilities, integration specs.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/distribution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Direct distribution service line. Buyer: ambulatory providers, surgery centers.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/incubator</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Manufacturer incubator program. Buyer: manufacturers entering US distribution.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/saas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SaaS platform subscriptions. Buyer: health system operators, procurement teams.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/advisory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Government advisory practice. Buyer: federal agencies, policy organizations.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/intelligence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Market intelligence offering. Buyer: GPOs, health system strategy teams.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/about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Company story, team, mission, patent portfolio.</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/compliance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DSCSA, DEA/FDA licensing, UPS Healthcare partnership, certifications.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/contact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Persona-routed contact form. Three tracks: Provider, Manufacturer, Government.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/blog</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Thought leadership. All posts must establish insider expertise.</w:t>
            </w:r>
          </w:p>
        </w:tc>
      </w:tr>
    </w:tbl>
    <w:p/>
    <w:p>
      <w:pPr>
        <w:pBdr>
          <w:bottom w:val="single" w:color="00ACE6" w:sz="4" w:space="6"/>
        </w:pBdr>
        <w:spacing w:after="160" w:before="400"/>
      </w:pPr>
      <w:r>
        <w:rPr>
          <w:rFonts w:ascii="Open Sans" w:cs="Open Sans" w:eastAsia="Open Sans" w:hAnsi="Open Sans"/>
          <w:b/>
          <w:bCs/>
          <w:color w:val="212E3E"/>
          <w:sz w:val="36"/>
          <w:szCs w:val="36"/>
        </w:rPr>
        <w:t xml:space="preserve">3.2  Navigation Architecture</w:t>
      </w:r>
    </w:p>
    <w:p>
      <w:pPr>
        <w:spacing w:after="80" w:before="80"/>
      </w:pPr>
      <w:r>
        <w:rPr>
          <w:rFonts w:ascii="Open Sans" w:cs="Open Sans" w:eastAsia="Open Sans" w:hAnsi="Open Sans"/>
          <w:color w:val="3A4A5A"/>
          <w:sz w:val="22"/>
          <w:szCs w:val="22"/>
        </w:rPr>
        <w:t xml:space="preserve">Primary nav: Persistent. Transparent on load, Imperial Primer background on scroll. Logo left, links center, CTA right.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Logo</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iRemedy logo + cross icon. Links to /. Never truncated, never rasterized.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Platform</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Dropdown → MetaCommerceRx Overview | AI &amp; Intelligence | Integrations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Solutions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Dropdown → By Role (Provider / Manufacturer / Government) | By Service (Distribution / SaaS / Incubator / Advisory)</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Resources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Dropdown → Blog | Compliance Center | Case Studies | Whitepaper Downloads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About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Single page link. No dropdown.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Primary CTA</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"Request Access" — Persian Blue button, always visible, right-aligned</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Secondary CTA (mobile)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Hamburger menu → same structure collapsed</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NAV RULE</w:t>
            </w:r>
          </w:p>
          <w:p>
            <w:pPr>
              <w:spacing w:after="0" w:before="0"/>
            </w:pPr>
            <w:r>
              <w:rPr>
                <w:rFonts w:ascii="Open Sans" w:cs="Open Sans" w:eastAsia="Open Sans" w:hAnsi="Open Sans"/>
                <w:color w:val="3A4A5A"/>
                <w:sz w:val="20"/>
                <w:szCs w:val="20"/>
              </w:rPr>
              <w:t xml:space="preserve">The nav must never contain the word "Services." The word "Services" signals a commodity vendor. Use "Solutions" or platform-specific names. The difference is not cosmetic — it is positioning.</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04</w:t>
      </w:r>
    </w:p>
    <w:p>
      <w:pPr>
        <w:spacing w:after="200" w:before="0"/>
      </w:pPr>
      <w:r>
        <w:rPr>
          <w:rFonts w:ascii="Open Sans" w:cs="Open Sans" w:eastAsia="Open Sans" w:hAnsi="Open Sans"/>
          <w:b/>
          <w:bCs/>
          <w:color w:val="212E3E"/>
          <w:sz w:val="52"/>
          <w:szCs w:val="52"/>
        </w:rPr>
        <w:t xml:space="preserve">Section-by-Section
Page Specifications</w:t>
      </w:r>
    </w:p>
    <w:p>
      <w:pPr>
        <w:spacing w:after="80" w:before="80"/>
      </w:pPr>
      <w:r>
        <w:rPr>
          <w:rFonts w:ascii="Open Sans" w:cs="Open Sans" w:eastAsia="Open Sans" w:hAnsi="Open Sans"/>
          <w:color w:val="3A4A5A"/>
          <w:sz w:val="22"/>
          <w:szCs w:val="22"/>
        </w:rPr>
        <w:t xml:space="preserve">The following specifications define every section of the homepage in the order it appears on screen. Each spec includes: copy direction, layout, components, design rules, and animation behaviors. These are directives.</w:t>
      </w:r>
    </w:p>
    <w:p/>
    <w:p>
      <w:pPr>
        <w:pBdr>
          <w:bottom w:val="single" w:color="00ACE6" w:sz="4" w:space="6"/>
        </w:pBdr>
        <w:spacing w:after="160" w:before="400"/>
      </w:pPr>
      <w:r>
        <w:rPr>
          <w:rFonts w:ascii="Open Sans" w:cs="Open Sans" w:eastAsia="Open Sans" w:hAnsi="Open Sans"/>
          <w:b/>
          <w:bCs/>
          <w:color w:val="212E3E"/>
          <w:sz w:val="36"/>
          <w:szCs w:val="36"/>
        </w:rPr>
        <w:t xml:space="preserve">4.1  Hero Section — The Burden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NARRATIVE ROLE</w:t>
            </w:r>
          </w:p>
          <w:p>
            <w:pPr>
              <w:spacing w:after="0" w:before="0"/>
            </w:pPr>
            <w:r>
              <w:rPr>
                <w:rFonts w:ascii="Open Sans" w:cs="Open Sans" w:eastAsia="Open Sans" w:hAnsi="Open Sans"/>
                <w:color w:val="3A4A5A"/>
                <w:sz w:val="20"/>
                <w:szCs w:val="20"/>
              </w:rPr>
              <w:t xml:space="preserve">Act 01. Make the buyer feel understood before they feel sold to. This section names the burden so specifically that the right buyer thinks: "How did they know?" The product does not appear yet.</w:t>
            </w:r>
          </w:p>
        </w:tc>
      </w:tr>
    </w:tbl>
    <w:p/>
    <w:p>
      <w:pPr>
        <w:spacing w:after="100" w:before="280"/>
      </w:pPr>
      <w:r>
        <w:rPr>
          <w:rFonts w:ascii="Open Sans" w:cs="Open Sans" w:eastAsia="Open Sans" w:hAnsi="Open Sans"/>
          <w:b/>
          <w:bCs/>
          <w:color w:val="0064A5"/>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Full-viewport-height section. Background: Imperial Primer (#212E3E). Subtle diagonal line texture (SVG, opacity 4%) — suggests precision, infrastructure.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Content area</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Max-width 1200px, centered. Vertical centering: flex column, justify-center. Left-aligned text (not centered — centered text signals consumer, not enterprise).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Visual element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Right column (40% width, desktop only): Abstract supply chain flow diagram — nodes connected by lines, animated slow pulse. NOT a dashboard screenshot. NOT stock photography of hospitals.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Badge / Eyebrow</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Above headline: small pill badge in Cerulean background, white text: "Built on MetaCommerceRx™ — Patented Infrastructure"</w:t>
            </w:r>
          </w:p>
        </w:tc>
      </w:tr>
    </w:tbl>
    <w:p/>
    <w:p>
      <w:pPr>
        <w:spacing w:after="100" w:before="280"/>
      </w:pPr>
      <w:r>
        <w:rPr>
          <w:rFonts w:ascii="Open Sans" w:cs="Open Sans" w:eastAsia="Open Sans" w:hAnsi="Open Sans"/>
          <w:b/>
          <w:bCs/>
          <w:color w:val="0064A5"/>
          <w:sz w:val="26"/>
          <w:szCs w:val="26"/>
        </w:rPr>
        <w:t xml:space="preserve">Copy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Display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"You're paying more than you should. You know it. Now there's a way to prove it."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Subheadline (H2 size)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"Healthcare procurement has been controlled by intermediaries who profit from opacity. iRemedy replaces that system."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Body (max 2 sentences)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 gives ambulatory providers, surgery centers, and health systems direct-source pricing, real-time market intelligence, and supply chain visibility they have never had before."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Primary CTA button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"See What You're Actually Paying" — Persian Blue, Bold, 16px. Links to /platform or anchor #disruption-visual.</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Secondary link</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"Request a procurement audit →" — White text, no border, subtle underline on hover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B0000"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8B0000"/>
                <w:sz w:val="20"/>
                <w:szCs w:val="20"/>
              </w:rPr>
              <w:t xml:space="preserve">COPY RULES — HERO</w:t>
            </w:r>
          </w:p>
          <w:p>
            <w:pPr>
              <w:spacing w:after="0" w:before="0"/>
            </w:pPr>
            <w:r>
              <w:rPr>
                <w:rFonts w:ascii="Open Sans" w:cs="Open Sans" w:eastAsia="Open Sans" w:hAnsi="Open Sans"/>
                <w:color w:val="3A4A5A"/>
                <w:sz w:val="20"/>
                <w:szCs w:val="20"/>
              </w:rPr>
              <w:t xml:space="preserve">The word "innovative" must not appear. The word "solution" must not appear. The word "seamless" must not appear. The word "leverage" must not appear as a verb. If any of these words appear in a hero draft, the draft is rejected and rewritten.</w:t>
            </w:r>
          </w:p>
        </w:tc>
      </w:tr>
    </w:tbl>
    <w:p/>
    <w:p>
      <w:pPr>
        <w:spacing w:after="100" w:before="280"/>
      </w:pPr>
      <w:r>
        <w:rPr>
          <w:rFonts w:ascii="Open Sans" w:cs="Open Sans" w:eastAsia="Open Sans" w:hAnsi="Open Sans"/>
          <w:b/>
          <w:bCs/>
          <w:color w:val="0064A5"/>
          <w:sz w:val="26"/>
          <w:szCs w:val="26"/>
        </w:rPr>
        <w:t xml:space="preserve">Animation</w:t>
      </w:r>
    </w:p>
    <w:p>
      <w:pPr>
        <w:pStyle w:val="ListParagraph"/>
        <w:numPr>
          <w:ilvl w:val="0"/>
          <w:numId w:val="2"/>
        </w:numPr>
        <w:spacing w:after="60" w:before="60"/>
      </w:pPr>
      <w:r>
        <w:rPr>
          <w:rFonts w:ascii="Open Sans" w:cs="Open Sans" w:eastAsia="Open Sans" w:hAnsi="Open Sans"/>
          <w:color w:val="3A4A5A"/>
          <w:sz w:val="21"/>
          <w:szCs w:val="21"/>
        </w:rPr>
        <w:t xml:space="preserve">On load: Headline fades up from Y+24px, opacity 0→1, 700ms, ease-out. Delay: 0ms.</w:t>
      </w:r>
    </w:p>
    <w:p>
      <w:pPr>
        <w:pStyle w:val="ListParagraph"/>
        <w:numPr>
          <w:ilvl w:val="0"/>
          <w:numId w:val="2"/>
        </w:numPr>
        <w:spacing w:after="60" w:before="60"/>
      </w:pPr>
      <w:r>
        <w:rPr>
          <w:rFonts w:ascii="Open Sans" w:cs="Open Sans" w:eastAsia="Open Sans" w:hAnsi="Open Sans"/>
          <w:color w:val="3A4A5A"/>
          <w:sz w:val="21"/>
          <w:szCs w:val="21"/>
        </w:rPr>
        <w:t xml:space="preserve">Subheadline: same, delay 200ms.</w:t>
      </w:r>
    </w:p>
    <w:p>
      <w:pPr>
        <w:pStyle w:val="ListParagraph"/>
        <w:numPr>
          <w:ilvl w:val="0"/>
          <w:numId w:val="2"/>
        </w:numPr>
        <w:spacing w:after="60" w:before="60"/>
      </w:pPr>
      <w:r>
        <w:rPr>
          <w:rFonts w:ascii="Open Sans" w:cs="Open Sans" w:eastAsia="Open Sans" w:hAnsi="Open Sans"/>
          <w:color w:val="3A4A5A"/>
          <w:sz w:val="21"/>
          <w:szCs w:val="21"/>
        </w:rPr>
        <w:t xml:space="preserve">Body: same, delay 350ms.</w:t>
      </w:r>
    </w:p>
    <w:p>
      <w:pPr>
        <w:pStyle w:val="ListParagraph"/>
        <w:numPr>
          <w:ilvl w:val="0"/>
          <w:numId w:val="2"/>
        </w:numPr>
        <w:spacing w:after="60" w:before="60"/>
      </w:pPr>
      <w:r>
        <w:rPr>
          <w:rFonts w:ascii="Open Sans" w:cs="Open Sans" w:eastAsia="Open Sans" w:hAnsi="Open Sans"/>
          <w:color w:val="3A4A5A"/>
          <w:sz w:val="21"/>
          <w:szCs w:val="21"/>
        </w:rPr>
        <w:t xml:space="preserve">CTA buttons: same, delay 480ms.</w:t>
      </w:r>
    </w:p>
    <w:p>
      <w:pPr>
        <w:pStyle w:val="ListParagraph"/>
        <w:numPr>
          <w:ilvl w:val="0"/>
          <w:numId w:val="2"/>
        </w:numPr>
        <w:spacing w:after="60" w:before="60"/>
      </w:pPr>
      <w:r>
        <w:rPr>
          <w:rFonts w:ascii="Open Sans" w:cs="Open Sans" w:eastAsia="Open Sans" w:hAnsi="Open Sans"/>
          <w:color w:val="3A4A5A"/>
          <w:sz w:val="21"/>
          <w:szCs w:val="21"/>
        </w:rPr>
        <w:t xml:space="preserve">Right-side diagram: fades in at 600ms, then begins slow pulse animation (nodes light up sequentially, 3s loop).</w:t>
      </w:r>
    </w:p>
    <w:p/>
    <w:p>
      <w:pPr>
        <w:pBdr>
          <w:bottom w:val="single" w:color="00ACE6" w:sz="4" w:space="6"/>
        </w:pBdr>
        <w:spacing w:after="160" w:before="400"/>
      </w:pPr>
      <w:r>
        <w:rPr>
          <w:rFonts w:ascii="Open Sans" w:cs="Open Sans" w:eastAsia="Open Sans" w:hAnsi="Open Sans"/>
          <w:b/>
          <w:bCs/>
          <w:color w:val="212E3E"/>
          <w:sz w:val="36"/>
          <w:szCs w:val="36"/>
        </w:rPr>
        <w:t xml:space="preserve">4.2  Challenge / Solution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NARRATIVE ROLE</w:t>
            </w:r>
          </w:p>
          <w:p>
            <w:pPr>
              <w:spacing w:after="0" w:before="0"/>
            </w:pPr>
            <w:r>
              <w:rPr>
                <w:rFonts w:ascii="Open Sans" w:cs="Open Sans" w:eastAsia="Open Sans" w:hAnsi="Open Sans"/>
                <w:color w:val="3A4A5A"/>
                <w:sz w:val="20"/>
                <w:szCs w:val="20"/>
              </w:rPr>
              <w:t xml:space="preserve">Act 01 → 02. The single most important clarity device on the site. Two questions. Two answers. Everything else on the site is elaboration on this frame. A reader who reads nothing else must leave knowing what iRemedy is and who it is for.</w:t>
            </w:r>
          </w:p>
        </w:tc>
      </w:tr>
    </w:tbl>
    <w:p/>
    <w:p>
      <w:pPr>
        <w:spacing w:after="100" w:before="280"/>
      </w:pPr>
      <w:r>
        <w:rPr>
          <w:rFonts w:ascii="Open Sans" w:cs="Open Sans" w:eastAsia="Open Sans" w:hAnsi="Open Sans"/>
          <w:b/>
          <w:bCs/>
          <w:color w:val="0064A5"/>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White. No color. This is a breath after the dark hero.</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Grid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Two columns, equal width, separated by a 1px Imperial Primer vertical rule, centered. On mobile: stacked, horizontal rule between.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Label style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All-caps, Cerulean, tracking 0.12em, 12px — "THE CHALLENGE" / "THE SOLUTION"</w:t>
            </w:r>
          </w:p>
        </w:tc>
      </w:tr>
    </w:tbl>
    <w:p/>
    <w:p>
      <w:pPr>
        <w:spacing w:after="100" w:before="280"/>
      </w:pPr>
      <w:r>
        <w:rPr>
          <w:rFonts w:ascii="Open Sans" w:cs="Open Sans" w:eastAsia="Open Sans" w:hAnsi="Open Sans"/>
          <w:b/>
          <w:bCs/>
          <w:color w:val="0064A5"/>
          <w:sz w:val="26"/>
          <w:szCs w:val="26"/>
        </w:rPr>
        <w:t xml:space="preserve">Copy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Left label</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THE CHALLENGE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Left headline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"Today's healthcare supply chain is built to profit from opacity — at the expense of every provider and patient downstream."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Left body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"Intermediaries stack margins across layers that providers cannot see, cannot audit, and cannot escape. The system is not broken. It is working exactly as designed — for the wrong people."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Right label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THE SOLUTION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Right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 platform built for transparency, intelligence, and direct access — from manufacturer to point of care."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Right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"iRemedy removes the intermediary layers and replaces them with MetaCommerceRx: AI-powered market intelligence, direct-source pricing, and supply chain infrastructure that works for providers."</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4.3  The Disruption Visual — Supply Chain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NARRATIVE ROLE</w:t>
            </w:r>
          </w:p>
          <w:p>
            <w:pPr>
              <w:spacing w:after="0" w:before="0"/>
            </w:pPr>
            <w:r>
              <w:rPr>
                <w:rFonts w:ascii="Open Sans" w:cs="Open Sans" w:eastAsia="Open Sans" w:hAnsi="Open Sans"/>
                <w:color w:val="3A4A5A"/>
                <w:sz w:val="20"/>
                <w:szCs w:val="20"/>
              </w:rPr>
              <w:t xml:space="preserve">Act 02. The single most important visual on the site. This is the "aha moment" that makes the entire business model legible in 8 seconds. It must be animated. It must be interactive on desktop. This is not a decorative element — it is the core argument made visible.</w:t>
            </w:r>
          </w:p>
        </w:tc>
      </w:tr>
    </w:tbl>
    <w:p/>
    <w:p>
      <w:pPr>
        <w:spacing w:after="100" w:before="280"/>
      </w:pPr>
      <w:r>
        <w:rPr>
          <w:rFonts w:ascii="Open Sans" w:cs="Open Sans" w:eastAsia="Open Sans" w:hAnsi="Open Sans"/>
          <w:b/>
          <w:bCs/>
          <w:color w:val="0064A5"/>
          <w:sz w:val="26"/>
          <w:szCs w:val="26"/>
        </w:rPr>
        <w:t xml:space="preserve">Layout &amp;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Surface Gray (#F4F6F8). Full-width section. Substantial vertical padding: 120px top/bottom.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Section label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"WHY IT MATTERS" — Cerulean, all-caps, tracking</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Section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"Healthcare providers have been paying a tax they didn't know existed."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Visual type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SVG diagram, fully custom. Two rows: OLD SYSTEM (top), iREMEDY (bottom). See node spec below.</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Interaction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Hover on any node in either diagram reveals a tooltip with the markup percentage or transparency attribute at that node. This is a key engagement mechanic.</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Animation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OLD SYSTEM row appears first (1s delay). Money-flow animation shows cost accumulating left-to-right with a growing dollar indicator. After 2s, OLD SYSTEM fades to 60% opacity and iREMEDY row animates in below with a direct, clean flow. The contrast is the argument.</w:t>
            </w:r>
          </w:p>
        </w:tc>
      </w:tr>
    </w:tbl>
    <w:p/>
    <w:p>
      <w:pPr>
        <w:spacing w:after="100" w:before="280"/>
      </w:pPr>
      <w:r>
        <w:rPr>
          <w:rFonts w:ascii="Open Sans" w:cs="Open Sans" w:eastAsia="Open Sans" w:hAnsi="Open Sans"/>
          <w:b/>
          <w:bCs/>
          <w:color w:val="0064A5"/>
          <w:sz w:val="26"/>
          <w:szCs w:val="26"/>
        </w:rPr>
        <w:t xml:space="preserve">Old System Node Sequence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1</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Manufacturer  |  Color: Gray  |  Tooltip: "List price set at manufacturer"</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Arrow 1→2</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Thick, red-tinted. Label: "+12–18% distributor margin"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2</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National Distributor  |  Color: Red-tinted  |  Tooltip: "Rebates paid to GPO — not passed to you"</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Arrow 2→3</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Thick, red-tinted. Label: "+8–14% sub-distribution fee"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3</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Sub-Distributor / GPO  |  Color: Red-tinted  |  Tooltip: "Formulary control limits your options"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Arrow 3→4</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Thick, red-tinted. Label: "+5–9% administrative markup"</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4</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Provider  |  Color: Dark red  |  Tooltip: "You pay 30–40% above direct-source cost"</w:t>
            </w:r>
          </w:p>
        </w:tc>
      </w:tr>
    </w:tbl>
    <w:p/>
    <w:p>
      <w:pPr>
        <w:spacing w:after="100" w:before="280"/>
      </w:pPr>
      <w:r>
        <w:rPr>
          <w:rFonts w:ascii="Open Sans" w:cs="Open Sans" w:eastAsia="Open Sans" w:hAnsi="Open Sans"/>
          <w:b/>
          <w:bCs/>
          <w:color w:val="0064A5"/>
          <w:sz w:val="26"/>
          <w:szCs w:val="26"/>
        </w:rPr>
        <w:t xml:space="preserve">iRemedy Node Sequence (left to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1</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Manufacturer  |  Color: Persian Blue  |  Tooltip: "Direct contract pricing — no hidden fees"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Arrow 1→2</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Clean, blue line. Label: "Direct-source pricing via MetaCommerceRx"</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2</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 Platform  |  Color: Imperial Primer with Cerulean glow  |  Tooltip: "AI-powered market intelligence + compliance layer"</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Arrow 2→3</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Clean, blue line. Label: "Transparent fulfillment via UPS Healthcare"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Node 3</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Provider  |  Color: Success Green (#1A6B3A)  |  Tooltip: "Direct-source cost. Full visibility. No surprises."</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4.4  How It Works — Three-Step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NARRATIVE ROLE</w:t>
            </w:r>
          </w:p>
          <w:p>
            <w:pPr>
              <w:spacing w:after="0" w:before="0"/>
            </w:pPr>
            <w:r>
              <w:rPr>
                <w:rFonts w:ascii="Open Sans" w:cs="Open Sans" w:eastAsia="Open Sans" w:hAnsi="Open Sans"/>
                <w:color w:val="3A4A5A"/>
                <w:sz w:val="20"/>
                <w:szCs w:val="20"/>
              </w:rPr>
              <w:t xml:space="preserve">Act 03. Deceleration point. The site has been moving fast. This section deliberately slows the reader down. Three steps. Three outcome verbs. No features. No technical jargon. The buyer should finish this section knowing exactly what they gain.</w:t>
            </w:r>
          </w:p>
        </w:tc>
      </w:tr>
    </w:tbl>
    <w:p/>
    <w:p>
      <w:pPr>
        <w:spacing w:after="100" w:before="280"/>
      </w:pPr>
      <w:r>
        <w:rPr>
          <w:rFonts w:ascii="Open Sans" w:cs="Open Sans" w:eastAsia="Open Sans" w:hAnsi="Open Sans"/>
          <w:b/>
          <w:bCs/>
          <w:color w:val="0064A5"/>
          <w:sz w:val="26"/>
          <w:szCs w:val="26"/>
        </w:rP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White.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Grid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Three equal columns. Each column: top icon (SVG, Cerulean), step number (small, Persian Blue), headline (H3), body (2–3 sentences max), optional stat.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Icon style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Line icons, 2px stroke, Cerulean. NOT filled icons. NOT clipart. Custom SVG preferred: Step 1 = crossed-out chain link. Step 2 = magnifying glass over data. Step 3 = upward graph with checkmark.</w:t>
            </w:r>
          </w:p>
        </w:tc>
      </w:tr>
    </w:tbl>
    <w:p/>
    <w:p>
      <w:pPr>
        <w:spacing w:after="100" w:before="280"/>
      </w:pPr>
      <w:r>
        <w:rPr>
          <w:rFonts w:ascii="Open Sans" w:cs="Open Sans" w:eastAsia="Open Sans" w:hAnsi="Open Sans"/>
          <w:b/>
          <w:bCs/>
          <w:color w:val="0064A5"/>
          <w:sz w:val="26"/>
          <w:szCs w:val="26"/>
        </w:rPr>
        <w:t xml:space="preserve">Three-Step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01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"Eliminate the Markup."</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01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"Direct manufacturer-to-provider distribution removes the hidden layers that inflate cost and obscure value. What you pay is what the product costs — nothing more."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01 — Stat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"Up to 38% reduction in procurement cost for ambulatory providers."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02 — Headline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"Illuminate the Market."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02 — Body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 gives your procurement team real-time intelligence on pricing, availability, and alternatives across thousands of SKUs. Not a catalog — a lens."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02 — Stat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"Pricing transparency across 50,000+ medical supply SKUs."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03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"Optimize Every Decision."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03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"AI-powered analytics turn procurement history into strategic advantage. Benchmark against market rates, identify substitution opportunities, and ensure compliance — automatically."</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Step 03 — Stat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"Compliance-native architecture meets DSCSA, DEA, and FDA requirements by design."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STEP COPY RULE</w:t>
            </w:r>
          </w:p>
          <w:p>
            <w:pPr>
              <w:spacing w:after="0" w:before="0"/>
            </w:pPr>
            <w:r>
              <w:rPr>
                <w:rFonts w:ascii="Open Sans" w:cs="Open Sans" w:eastAsia="Open Sans" w:hAnsi="Open Sans"/>
                <w:color w:val="3A4A5A"/>
                <w:sz w:val="20"/>
                <w:szCs w:val="20"/>
              </w:rPr>
              <w:t xml:space="preserve">Each step headline must be a verb phrase that names what the BUYER GAINS — not what the platform does. "Eliminate the Markup" is buyer-centric. "Real-Time Price Aggregation Engine" is platform-centric. Platform-centric language is rejected.</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4.5  Platform Section — MetaCommerceRx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NARRATIVE ROLE</w:t>
            </w:r>
          </w:p>
          <w:p>
            <w:pPr>
              <w:spacing w:after="0" w:before="0"/>
            </w:pPr>
            <w:r>
              <w:rPr>
                <w:rFonts w:ascii="Open Sans" w:cs="Open Sans" w:eastAsia="Open Sans" w:hAnsi="Open Sans"/>
                <w:color w:val="3A4A5A"/>
                <w:sz w:val="20"/>
                <w:szCs w:val="20"/>
              </w:rPr>
              <w:t xml:space="preserve">Act 03 continued. Introduces the platform as the unifying mechanism. This is where AI and technology appear for the first time — as proof of capability, not as the headline. Technology is the engine. Outcomes are the story.</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Imperial Primer. Dark section. High contrast. This is a statement of confidence.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Section label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"THE PLATFORM" — Cerulean, all-caps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 The intelligence infrastructure healthcare procurement has been missing."</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Subhead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"Patented. AI-powered. Built for providers who are done guessing."</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Layout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Left: copy stack. Right: Platform capability list (4–5 items) with Cerulean check icons.</w:t>
            </w:r>
          </w:p>
        </w:tc>
      </w:tr>
    </w:tbl>
    <w:p/>
    <w:p>
      <w:pPr>
        <w:spacing w:after="100" w:before="280"/>
      </w:pPr>
      <w:r>
        <w:rPr>
          <w:rFonts w:ascii="Open Sans" w:cs="Open Sans" w:eastAsia="Open Sans" w:hAnsi="Open Sans"/>
          <w:b/>
          <w:bCs/>
          <w:color w:val="0064A5"/>
          <w:sz w:val="26"/>
          <w:szCs w:val="26"/>
        </w:rPr>
        <w:t xml:space="preserve">Platform Capability List</w:t>
      </w:r>
    </w:p>
    <w:p>
      <w:pPr>
        <w:pStyle w:val="ListParagraph"/>
        <w:numPr>
          <w:ilvl w:val="0"/>
          <w:numId w:val="2"/>
        </w:numPr>
        <w:spacing w:after="60" w:before="60"/>
      </w:pPr>
      <w:r>
        <w:rPr>
          <w:rFonts w:ascii="Open Sans" w:cs="Open Sans" w:eastAsia="Open Sans" w:hAnsi="Open Sans"/>
          <w:color w:val="3A4A5A"/>
          <w:sz w:val="21"/>
          <w:szCs w:val="21"/>
        </w:rPr>
        <w:t xml:space="preserve">Real-time market pricing across direct-source manufacturers</w:t>
      </w:r>
    </w:p>
    <w:p>
      <w:pPr>
        <w:pStyle w:val="ListParagraph"/>
        <w:numPr>
          <w:ilvl w:val="0"/>
          <w:numId w:val="2"/>
        </w:numPr>
        <w:spacing w:after="60" w:before="60"/>
      </w:pPr>
      <w:r>
        <w:rPr>
          <w:rFonts w:ascii="Open Sans" w:cs="Open Sans" w:eastAsia="Open Sans" w:hAnsi="Open Sans"/>
          <w:color w:val="3A4A5A"/>
          <w:sz w:val="21"/>
          <w:szCs w:val="21"/>
        </w:rPr>
        <w:t xml:space="preserve">AI-powered substitution intelligence and formulary optimization</w:t>
      </w:r>
    </w:p>
    <w:p>
      <w:pPr>
        <w:pStyle w:val="ListParagraph"/>
        <w:numPr>
          <w:ilvl w:val="0"/>
          <w:numId w:val="2"/>
        </w:numPr>
        <w:spacing w:after="60" w:before="60"/>
      </w:pPr>
      <w:r>
        <w:rPr>
          <w:rFonts w:ascii="Open Sans" w:cs="Open Sans" w:eastAsia="Open Sans" w:hAnsi="Open Sans"/>
          <w:color w:val="3A4A5A"/>
          <w:sz w:val="21"/>
          <w:szCs w:val="21"/>
        </w:rPr>
        <w:t xml:space="preserve">DSCSA-compliant serialization and chain-of-custody tracking</w:t>
      </w:r>
    </w:p>
    <w:p>
      <w:pPr>
        <w:pStyle w:val="ListParagraph"/>
        <w:numPr>
          <w:ilvl w:val="0"/>
          <w:numId w:val="2"/>
        </w:numPr>
        <w:spacing w:after="60" w:before="60"/>
      </w:pPr>
      <w:r>
        <w:rPr>
          <w:rFonts w:ascii="Open Sans" w:cs="Open Sans" w:eastAsia="Open Sans" w:hAnsi="Open Sans"/>
          <w:color w:val="3A4A5A"/>
          <w:sz w:val="21"/>
          <w:szCs w:val="21"/>
        </w:rPr>
        <w:t xml:space="preserve">GPO and health system ERP integration (HL7, EDI 850/855/856/810)</w:t>
      </w:r>
    </w:p>
    <w:p>
      <w:pPr>
        <w:pStyle w:val="ListParagraph"/>
        <w:numPr>
          <w:ilvl w:val="0"/>
          <w:numId w:val="2"/>
        </w:numPr>
        <w:spacing w:after="60" w:before="60"/>
      </w:pPr>
      <w:r>
        <w:rPr>
          <w:rFonts w:ascii="Open Sans" w:cs="Open Sans" w:eastAsia="Open Sans" w:hAnsi="Open Sans"/>
          <w:color w:val="3A4A5A"/>
          <w:sz w:val="21"/>
          <w:szCs w:val="21"/>
        </w:rPr>
        <w:t xml:space="preserve">Compliance-native audit trails meeting DEA, FDA, and DSCSA requirements</w:t>
      </w:r>
    </w:p>
    <w:p>
      <w:pPr>
        <w:pStyle w:val="ListParagraph"/>
        <w:numPr>
          <w:ilvl w:val="0"/>
          <w:numId w:val="2"/>
        </w:numPr>
        <w:spacing w:after="60" w:before="60"/>
      </w:pPr>
      <w:r>
        <w:rPr>
          <w:rFonts w:ascii="Open Sans" w:cs="Open Sans" w:eastAsia="Open Sans" w:hAnsi="Open Sans"/>
          <w:color w:val="3A4A5A"/>
          <w:sz w:val="21"/>
          <w:szCs w:val="21"/>
        </w:rPr>
        <w:t xml:space="preserve">UPS Healthcare fulfillment integration with cold-chain and temperature-controlled logistics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Patent note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Include: "15 patents — 4 owned, 11 exclusively licensed from Grokit Data Inc. Co-invented with the creator of Amazon Marketplace." This is a credibility bomb. It must appear here.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CTA</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"Explore the Platform →" — Cerulean button on dark background</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4.6  Service Lines — Platform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NARRATIVE ROLE</w:t>
            </w:r>
          </w:p>
          <w:p>
            <w:pPr>
              <w:spacing w:after="0" w:before="0"/>
            </w:pPr>
            <w:r>
              <w:rPr>
                <w:rFonts w:ascii="Open Sans" w:cs="Open Sans" w:eastAsia="Open Sans" w:hAnsi="Open Sans"/>
                <w:color w:val="3A4A5A"/>
                <w:sz w:val="20"/>
                <w:szCs w:val="20"/>
              </w:rPr>
              <w:t xml:space="preserve">Act 03. Introduce complementary capabilities without fragmenting the story. Frame: "One platform. Configured for your context." Each card leads with the buyer's outcome, not the service name.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Layout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Tabbed section or horizontal scroll of 5 cards. Default tab: Direct Distribution. Each card: Icon + Service Name (small) + Buyer headline + 2-sentence body + Link to service page.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Surface Gray. Clean. Professional.</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Tab labels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Direct Distribution | Manufacturer Incubator | SaaS Platform | Government Advisory | Market Intelligence</w:t>
            </w:r>
          </w:p>
        </w:tc>
      </w:tr>
    </w:tbl>
    <w:p/>
    <w:p>
      <w:pPr>
        <w:spacing w:after="100" w:before="280"/>
      </w:pPr>
      <w:r>
        <w:rPr>
          <w:rFonts w:ascii="Open Sans" w:cs="Open Sans" w:eastAsia="Open Sans" w:hAnsi="Open Sans"/>
          <w:b/>
          <w:bCs/>
          <w:color w:val="0064A5"/>
          <w:sz w:val="26"/>
          <w:szCs w:val="26"/>
        </w:rPr>
        <w:t xml:space="preserve">Card Copy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Direct Distribution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"Stop paying the middleman. Start buying direct."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Direct Distribution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"iRemedy connects ambulatory providers and surgery centers directly to manufacturers — with transparent pricing, compliance-ready documentation, and UPS Healthcare fulfillment. No GPO required."</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Manufacturer Incubator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"Your product, in the US market. Without the 18-month runway."</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Manufacturer Incubator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"The iRemedy Incubator gives manufacturers the licensing infrastructure, distribution reach, and compliance architecture to enter US healthcare distribution in weeks, not years."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SaaS Platform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"Procurement intelligence. Finally available to providers."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SaaS Platform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"MetaCommerceRx as a subscription. Real-time pricing, formulary optimization, and spend analytics — delivered through a platform built for the way procurement teams actually work."</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Government Advisory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"Policy intelligence for agencies navigating healthcare supply chain reform."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Government Advisory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"iRemedy advises federal agencies on healthcare procurement modernization, domestic sourcing strategy, and supply chain resilience — with the operational track record to back every recommendation."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Market Intelligence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"Know what the market knows. Before your competitors do."</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Market Intelligence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"Real-time pricing benchmarks, manufacturer capacity signals, and formulary intelligence — delivered as a market intelligence subscription for GPOs, health systems, and institutional buyers."</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4.7  Proof &amp; Credibility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NARRATIVE ROLE</w:t>
            </w:r>
          </w:p>
          <w:p>
            <w:pPr>
              <w:spacing w:after="0" w:before="0"/>
            </w:pPr>
            <w:r>
              <w:rPr>
                <w:rFonts w:ascii="Open Sans" w:cs="Open Sans" w:eastAsia="Open Sans" w:hAnsi="Open Sans"/>
                <w:color w:val="3A4A5A"/>
                <w:sz w:val="20"/>
                <w:szCs w:val="20"/>
              </w:rPr>
              <w:t xml:space="preserve">Act 04. This section is about risk reduction, not excitement. Institutional buyers make risk-managed purchases. Every element here exists to lower the perceived risk of working with iRemedy. Do not try to make this section exciting. Make it reassuring.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Layout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Two-part section. Top: Logo bar (partner/certification logos). Bottom: Three-column proof point grid.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White. No decoration needed here. Let the logos and proof points speak.</w:t>
            </w:r>
          </w:p>
        </w:tc>
      </w:tr>
    </w:tbl>
    <w:p/>
    <w:p>
      <w:pPr>
        <w:spacing w:after="100" w:before="280"/>
      </w:pPr>
      <w:r>
        <w:rPr>
          <w:rFonts w:ascii="Open Sans" w:cs="Open Sans" w:eastAsia="Open Sans" w:hAnsi="Open Sans"/>
          <w:b/>
          <w:bCs/>
          <w:color w:val="0064A5"/>
          <w:sz w:val="26"/>
          <w:szCs w:val="26"/>
        </w:rPr>
        <w:t xml:space="preserve">Logo Bar — Required Logos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UPS Healthcare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Primary fulfillment partner. Prominently featured. Label: "Fulfillment Partner"</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DSCSA Compliance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Regulatory badge. Drug Supply Chain Security Act compliance seal.</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DEA / FDA</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Licensing badges.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GSA Schedule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Government contract vehicle — signals federal eligibility.</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Oxford University Press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If contractual relationship exists, include as institutional credibility signal.</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Patent Badge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"15 Active Patents" — custom badge, Imperial Primer background, white text</w:t>
            </w:r>
          </w:p>
        </w:tc>
      </w:tr>
    </w:tbl>
    <w:p/>
    <w:p>
      <w:pPr>
        <w:spacing w:after="100" w:before="280"/>
      </w:pPr>
      <w:r>
        <w:rPr>
          <w:rFonts w:ascii="Open Sans" w:cs="Open Sans" w:eastAsia="Open Sans" w:hAnsi="Open Sans"/>
          <w:b/>
          <w:bCs/>
          <w:color w:val="0064A5"/>
          <w:sz w:val="26"/>
          <w:szCs w:val="26"/>
        </w:rPr>
        <w:t xml:space="preserve">Proof Point Grid (3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Operation Warp Speed Veteran</w:t>
            </w:r>
          </w:p>
          <w:p>
            <w:pPr>
              <w:spacing w:after="0" w:before="0"/>
            </w:pPr>
            <w:r>
              <w:rPr>
                <w:rFonts w:ascii="Open Sans" w:cs="Open Sans" w:eastAsia="Open Sans" w:hAnsi="Open Sans"/>
                <w:color w:val="3A4A5A"/>
                <w:sz w:val="19"/>
                <w:szCs w:val="19"/>
              </w:rPr>
              <w:t xml:space="preserve">iRemedy proved nationwide distribution capability during COVID-19 vaccine and PPE distribution. Enterprise scale. Government-trusted.</w:t>
            </w:r>
          </w:p>
        </w:tc>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Compliance-Native Architecture</w:t>
            </w:r>
          </w:p>
          <w:p>
            <w:pPr>
              <w:spacing w:after="0" w:before="0"/>
            </w:pPr>
            <w:r>
              <w:rPr>
                <w:rFonts w:ascii="Open Sans" w:cs="Open Sans" w:eastAsia="Open Sans" w:hAnsi="Open Sans"/>
                <w:color w:val="3A4A5A"/>
                <w:sz w:val="19"/>
                <w:szCs w:val="19"/>
              </w:rPr>
              <w:t xml:space="preserve">DSCSA serialization, DEA Schedule II–V licensing, FDA-registered facility network, and cold-chain logistics through UPS Healthcare — built in, not bolted on.</w:t>
            </w:r>
          </w:p>
        </w:tc>
        <w:tc>
          <w:tcPr>
            <w:tcW w:type="dxa" w:w="3120"/>
            <w:tcBorders>
              <w:top w:val="none" w:color="FFFFFF" w:sz="0"/>
              <w:left w:val="none" w:color="FFFFFF" w:sz="0"/>
              <w:bottom w:val="none" w:color="FFFFFF" w:sz="0"/>
              <w:right w:val="none" w:color="FFFFFF" w:sz="0"/>
            </w:tcBorders>
            <w:shd w:fill="E8F4FC" w:val="clear"/>
            <w:tcMar>
              <w:top w:type="dxa" w:w="240"/>
              <w:left w:type="dxa" w:w="200"/>
              <w:bottom w:type="dxa" w:w="240"/>
              <w:right w:type="dxa" w:w="200"/>
            </w:tcMar>
          </w:tcPr>
          <w:p>
            <w:pPr>
              <w:spacing w:after="80" w:before="0"/>
            </w:pPr>
            <w:r>
              <w:rPr>
                <w:rFonts w:ascii="Open Sans" w:cs="Open Sans" w:eastAsia="Open Sans" w:hAnsi="Open Sans"/>
                <w:color w:val="0064A5"/>
                <w:sz w:val="28"/>
                <w:szCs w:val="28"/>
              </w:rPr>
              <w:t xml:space="preserve">■</w:t>
            </w:r>
          </w:p>
          <w:p>
            <w:pPr>
              <w:spacing w:after="100" w:before="0"/>
            </w:pPr>
            <w:r>
              <w:rPr>
                <w:rFonts w:ascii="Open Sans" w:cs="Open Sans" w:eastAsia="Open Sans" w:hAnsi="Open Sans"/>
                <w:b/>
                <w:bCs/>
                <w:color w:val="212E3E"/>
                <w:sz w:val="22"/>
                <w:szCs w:val="22"/>
              </w:rPr>
              <w:t xml:space="preserve">Patented Intelligence Infrastructure</w:t>
            </w:r>
          </w:p>
          <w:p>
            <w:pPr>
              <w:spacing w:after="0" w:before="0"/>
            </w:pPr>
            <w:r>
              <w:rPr>
                <w:rFonts w:ascii="Open Sans" w:cs="Open Sans" w:eastAsia="Open Sans" w:hAnsi="Open Sans"/>
                <w:color w:val="3A4A5A"/>
                <w:sz w:val="19"/>
                <w:szCs w:val="19"/>
              </w:rPr>
              <w:t xml:space="preserve">15 patents covering MetaCommerceRx. The same category of IP infrastructure that powers major US ecommerce marketplaces — applied to healthcare procurement.</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4.8  Social Proof &amp; Data Points — Stat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Layout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Full-width dark band (Imperial Primer). 4 stats, evenly spaced, centered.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Animation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Count-up on scroll enter. Each number counts from 0 to final value. Duration 1200ms.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Stat 01</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"$50B+  |  Serviceable market within US healthcare procurement"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Stat 02</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"50,000+  |  Medical supply SKUs on the MetaCommerceRx platform"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Stat 03</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"38%  |  Average procurement cost reduction for direct-source clients"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Stat 04</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"15  |  Active patents protecting MetaCommerceRx infrastructure"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B0000"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8B0000"/>
                <w:sz w:val="20"/>
                <w:szCs w:val="20"/>
              </w:rPr>
              <w:t xml:space="preserve">STAT RULE</w:t>
            </w:r>
          </w:p>
          <w:p>
            <w:pPr>
              <w:spacing w:after="0" w:before="0"/>
            </w:pPr>
            <w:r>
              <w:rPr>
                <w:rFonts w:ascii="Open Sans" w:cs="Open Sans" w:eastAsia="Open Sans" w:hAnsi="Open Sans"/>
                <w:color w:val="3A4A5A"/>
                <w:sz w:val="20"/>
                <w:szCs w:val="20"/>
              </w:rPr>
              <w:t xml:space="preserve">No stat may appear on the site without a source citation available on demand (tooltip, footnote, or linked methodology page). "Up to X%" must be clearly labeled as range-based. Fabricated or unverifiable statistics destroy institutional trust permanently.</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4.9  Buyer Persona CTA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NARRATIVE ROLE</w:t>
            </w:r>
          </w:p>
          <w:p>
            <w:pPr>
              <w:spacing w:after="0" w:before="0"/>
            </w:pPr>
            <w:r>
              <w:rPr>
                <w:rFonts w:ascii="Open Sans" w:cs="Open Sans" w:eastAsia="Open Sans" w:hAnsi="Open Sans"/>
                <w:color w:val="3A4A5A"/>
                <w:sz w:val="20"/>
                <w:szCs w:val="20"/>
              </w:rPr>
              <w:t xml:space="preserve">Act 05. Route different buyers to the experience most relevant to them. This is not a single CTA. It is three parallel calls-to-action, each written for a different buyer. Generic CTAs ("Contact Us") signal that you do not understand your audience.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Layout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Three side-by-side cards on Surface Gray. Each card: headline (buyer-specific) + 2-sentence body + CTA button.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01 — Headline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"Healthcare Provider or Surgery Center?"</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01 — Body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"Find out exactly what you're paying above direct-source cost. Request a procurement audit — no commitment required."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01 — CTA</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"Request Your Audit" — Persian Blue button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02 — Headline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"Manufacturer Entering the US Market?"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02 — Body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"iRemedy's incubator gives you the licensing, compliance, and distribution infrastructure to launch in weeks. Talk to our team."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02 — CTA</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"Explore the Incubator" — Persian Blue button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03 — Headline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"Health System, GPO, or Government Agency?"</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03 — Body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"Enterprise-scale procurement intelligence, ERP integration, and advisory services for institutional buyers who require more than a vendor — they need a partner."</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Card 03 — CTA</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"Schedule an Enterprise Brief" — Imperial Primer button</w:t>
            </w:r>
          </w:p>
        </w:tc>
      </w:tr>
    </w:tbl>
    <w:p/>
    <w:p>
      <w:pPr>
        <w:pBdr>
          <w:bottom w:val="single" w:color="00ACE6" w:sz="4" w:space="6"/>
        </w:pBdr>
        <w:spacing w:after="160" w:before="400"/>
      </w:pPr>
      <w:r>
        <w:rPr>
          <w:rFonts w:ascii="Open Sans" w:cs="Open Sans" w:eastAsia="Open Sans" w:hAnsi="Open Sans"/>
          <w:b/>
          <w:bCs/>
          <w:color w:val="212E3E"/>
          <w:sz w:val="36"/>
          <w:szCs w:val="36"/>
        </w:rPr>
        <w:t xml:space="preserve">4.10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Background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Imperial Primer. Full-width.</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Top section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Logo (white version) + Tagline "Smarter Supply. Better Care." + Social links (LinkedIn primary).</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Column 1</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Platform: MetaCommerceRx Overview | AI &amp; Intelligence | Integrations | Security</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Column 2</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Solutions: Direct Distribution | Incubator | SaaS | Advisory | Market Intelligence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Column 3</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Compliance: DSCSA | DEA/FDA | GSA Schedule | CAGE Code | UEI Number</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Column 4</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Company: About | Careers | Blog | Press | Contact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Compliance block</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At the very bottom, in small white/gray text: CAGE Code: [CODE] | GSA MAS: [NUMBER] | UEI: [NUMBER] | NAICS: 511210, 541511, 424490 | DEA License | FDA Registration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Legal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Copyright + Privacy + Terms — far right, bottom row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FOOTER RULE</w:t>
            </w:r>
          </w:p>
          <w:p>
            <w:pPr>
              <w:spacing w:after="0" w:before="0"/>
            </w:pPr>
            <w:r>
              <w:rPr>
                <w:rFonts w:ascii="Open Sans" w:cs="Open Sans" w:eastAsia="Open Sans" w:hAnsi="Open Sans"/>
                <w:color w:val="3A4A5A"/>
                <w:sz w:val="20"/>
                <w:szCs w:val="20"/>
              </w:rPr>
              <w:t xml:space="preserve">The compliance block at the footer bottom is not decorative. It is the most important content for government buyers who reach the footer. It must be there. It must be accurate. It must be findable by a contracting officer who scrolls to the bottom looking for credentials.</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05</w:t>
      </w:r>
    </w:p>
    <w:p>
      <w:pPr>
        <w:spacing w:after="200" w:before="0"/>
      </w:pPr>
      <w:r>
        <w:rPr>
          <w:rFonts w:ascii="Open Sans" w:cs="Open Sans" w:eastAsia="Open Sans" w:hAnsi="Open Sans"/>
          <w:b/>
          <w:bCs/>
          <w:color w:val="212E3E"/>
          <w:sz w:val="52"/>
          <w:szCs w:val="52"/>
        </w:rPr>
        <w:t xml:space="preserve">Interaction Design &amp;
Component Specifications</w:t>
      </w:r>
    </w:p>
    <w:p/>
    <w:p>
      <w:pPr>
        <w:pBdr>
          <w:bottom w:val="single" w:color="00ACE6" w:sz="4" w:space="6"/>
        </w:pBdr>
        <w:spacing w:after="160" w:before="400"/>
      </w:pPr>
      <w:r>
        <w:rPr>
          <w:rFonts w:ascii="Open Sans" w:cs="Open Sans" w:eastAsia="Open Sans" w:hAnsi="Open Sans"/>
          <w:b/>
          <w:bCs/>
          <w:color w:val="212E3E"/>
          <w:sz w:val="36"/>
          <w:szCs w:val="36"/>
        </w:rPr>
        <w:t xml:space="preserve">5.1  Button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Primary button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Background: #0064A5 | Text: White | Padding: 14px 28px | Border-radius: 6px | Font: Open Sans Bold 700 15px | Hover: #004F84, Y -2px, shadow 0 4px 12px rgba(0,100,165,0.3)</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Primary button (dark bg)</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Background: #00ACE6 | Text: #212E3E | Same sizing | Hover: #008FB8</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Secondary button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Background: transparent | Border: 2px solid #0064A5 | Text: #0064A5 | Hover: Background #E8F4FC</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Ghost button (dark bg)</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Background: transparent | Border: 2px solid white | Text: white | Hover: Background rgba(255,255,255,0.1)</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Danger / Alert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Background: #8B0000 | Text: white | Use only for irreversible actions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Disabled state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Opacity: 40% | Cursor: not-allowed | Never gray out text to illegibility</w:t>
            </w:r>
          </w:p>
        </w:tc>
      </w:tr>
    </w:tbl>
    <w:p/>
    <w:p>
      <w:pPr>
        <w:pBdr>
          <w:bottom w:val="single" w:color="00ACE6" w:sz="4" w:space="6"/>
        </w:pBdr>
        <w:spacing w:after="160" w:before="400"/>
      </w:pPr>
      <w:r>
        <w:rPr>
          <w:rFonts w:ascii="Open Sans" w:cs="Open Sans" w:eastAsia="Open Sans" w:hAnsi="Open Sans"/>
          <w:b/>
          <w:bCs/>
          <w:color w:val="212E3E"/>
          <w:sz w:val="36"/>
          <w:szCs w:val="36"/>
        </w:rPr>
        <w:t xml:space="preserve">5.2  Card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Service card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Background: white | Border: 1px solid #D0D8E0 | Border-radius: 8px | Padding: 32px | Hover: Y -4px, border-left: 4px solid #00ACE6, shadow increases | Transition: 200ms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Stat card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Background: #F4F6F8 | No border | Border-radius: 8px | Padding: 24px | Top accent: 4px bar in Persian Blue</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Proof point card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Background: white | Border-left: 4px solid #0064A5 | Padding: 24px | Icon: top-left, Cerulean line icon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Persona CTA card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Background: white | Border: 1px solid #D0D8E0 | Border-top: 4px solid [persona color] | Padding: 40px | Full height (flex-grow)</w:t>
            </w:r>
          </w:p>
        </w:tc>
      </w:tr>
    </w:tbl>
    <w:p/>
    <w:p>
      <w:pPr>
        <w:pBdr>
          <w:bottom w:val="single" w:color="00ACE6" w:sz="4" w:space="6"/>
        </w:pBdr>
        <w:spacing w:after="160" w:before="400"/>
      </w:pPr>
      <w:r>
        <w:rPr>
          <w:rFonts w:ascii="Open Sans" w:cs="Open Sans" w:eastAsia="Open Sans" w:hAnsi="Open Sans"/>
          <w:b/>
          <w:bCs/>
          <w:color w:val="212E3E"/>
          <w:sz w:val="36"/>
          <w:szCs w:val="36"/>
        </w:rPr>
        <w:t xml:space="preserve">5.3  Form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Input field</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Height: 48px | Border: 1px solid #D0D8E0 | Border-radius: 6px | Font: 16px | Focus: border-color #0064A5, outline none, box-shadow 0 0 0 3px rgba(0,100,165,0.15)</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Label</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Open Sans SemiBold 13px | Imperial Primer | Display block above input | 8px gap</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Error state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Border: 1px solid #CC0000 | Error text below input: 12px red | Icon: ⚠ inline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Contact form routing</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First question: "Which best describes you?" — radio cards for Provider / Manufacturer / Government. Form fields then adapt to selected persona. This is not optional.</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06</w:t>
      </w:r>
    </w:p>
    <w:p>
      <w:pPr>
        <w:spacing w:after="200" w:before="0"/>
      </w:pPr>
      <w:r>
        <w:rPr>
          <w:rFonts w:ascii="Open Sans" w:cs="Open Sans" w:eastAsia="Open Sans" w:hAnsi="Open Sans"/>
          <w:b/>
          <w:bCs/>
          <w:color w:val="212E3E"/>
          <w:sz w:val="52"/>
          <w:szCs w:val="52"/>
        </w:rPr>
        <w:t xml:space="preserve">Copywriting Rules &amp;
Forbidden Language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B0000"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8B0000"/>
                <w:sz w:val="20"/>
                <w:szCs w:val="20"/>
              </w:rPr>
              <w:t xml:space="preserve">RULE AUTHORITY</w:t>
            </w:r>
          </w:p>
          <w:p>
            <w:pPr>
              <w:spacing w:after="0" w:before="0"/>
            </w:pPr>
            <w:r>
              <w:rPr>
                <w:rFonts w:ascii="Open Sans" w:cs="Open Sans" w:eastAsia="Open Sans" w:hAnsi="Open Sans"/>
                <w:color w:val="3A4A5A"/>
                <w:sz w:val="20"/>
                <w:szCs w:val="20"/>
              </w:rPr>
              <w:t xml:space="preserve">These rules are not guidelines. If a word or phrase from the Forbidden List appears in any public-facing copy, the copy must be rewritten before publication. No exceptions. No "just this once."</w:t>
            </w:r>
          </w:p>
        </w:tc>
      </w:tr>
    </w:tbl>
    <w:p/>
    <w:p>
      <w:pPr>
        <w:pBdr>
          <w:bottom w:val="single" w:color="00ACE6" w:sz="4" w:space="6"/>
        </w:pBdr>
        <w:spacing w:after="160" w:before="400"/>
      </w:pPr>
      <w:r>
        <w:rPr>
          <w:rFonts w:ascii="Open Sans" w:cs="Open Sans" w:eastAsia="Open Sans" w:hAnsi="Open Sans"/>
          <w:b/>
          <w:bCs/>
          <w:color w:val="212E3E"/>
          <w:sz w:val="36"/>
          <w:szCs w:val="36"/>
        </w:rPr>
        <w:t xml:space="preserve">6.1  Forbidden Word List</w:t>
      </w:r>
    </w:p>
    <w:p>
      <w:pPr>
        <w:spacing w:after="80" w:before="80"/>
      </w:pPr>
      <w:r>
        <w:rPr>
          <w:rFonts w:ascii="Open Sans" w:cs="Open Sans" w:eastAsia="Open Sans" w:hAnsi="Open Sans"/>
          <w:color w:val="3A4A5A"/>
          <w:sz w:val="22"/>
          <w:szCs w:val="22"/>
        </w:rPr>
        <w:t xml:space="preserve">The following words and phrases must never appear in any public-facing iRemedy copy. They signal generic vendor positioning, vaporware, or consultantese — all of which destroy institutional trust.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"Innovative"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Every company claims to be innovative. The word has zero informational content. Show innovation through proof, not claim.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"Solution(s)"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You are not a solution vendor. You are infrastructure. You are a platform. You are a partner. Never "solution."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"Seamless"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Used exclusively by companies whose products are not seamless. Real infrastructure does not need to tell you it works.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"Leverage" (as verb)</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"Leverage our platform." No. "Use," "deploy," "operate" — plain verbs with real meaning.</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"Best-in-class"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Unverifiable. Meaningless to institutional buyers. Prove it with data instead.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"End-to-end"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Overused to the point of invisibility. Be specific about what the chain actually includes.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"Cutting-edge"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Same problem as "innovative." If you have to say it, you haven't proven it.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"Disruptive" (as self-description)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Disruptors describe the disruption. They do not call themselves disruptors.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"Synergy"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No. Never. Not even in internal documents.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"Empower"</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"We empower providers" is what every vendor says. Show what providers can actually do with your platform.</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"Ecosystem"</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Unless you are describing something with specific technical interoperability. Otherwise, say "network" or "infrastructure."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BANNED: "AI-powered" (as headline)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AI is the mechanism. Outcomes are the headline. "AI-powered" belongs in supporting copy, never as a top-level claim.</w:t>
            </w:r>
          </w:p>
        </w:tc>
      </w:tr>
    </w:tbl>
    <w:p/>
    <w:p>
      <w:pPr>
        <w:pBdr>
          <w:bottom w:val="single" w:color="00ACE6" w:sz="4" w:space="6"/>
        </w:pBdr>
        <w:spacing w:after="160" w:before="400"/>
      </w:pPr>
      <w:r>
        <w:rPr>
          <w:rFonts w:ascii="Open Sans" w:cs="Open Sans" w:eastAsia="Open Sans" w:hAnsi="Open Sans"/>
          <w:b/>
          <w:bCs/>
          <w:color w:val="212E3E"/>
          <w:sz w:val="36"/>
          <w:szCs w:val="36"/>
        </w:rPr>
        <w:t xml:space="preserve">6.2  Required Language — Use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Direct-source pricing</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Always hyphenated. Always specific. Replaces "competitive pricing" which means nothing.</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Procurement intelligence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The preferred term for the platform's analytical capabilities.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Chain-of-custody</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When referring to DSCSA-compliant serialization and tracking.</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Point of care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Preferred over "patient" or "end-user" when describing the delivery destination.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Intermediary layers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How we describe the incumbent system. Never "competition." Never "distributors" (too benign). "Intermediary layers" sounds structural and systemic.</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Compliance-native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Describes our architecture approach. Compliance is built in — not added 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Manufacturer-to-provider</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The directness of our model. Use as an adjective: "manufacturer-to-provider distribution."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Market intelligence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The data/analytics capability. Specific enough to be meaningful to procurement professionals.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Procurement audit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The primary CTA offer. Specific, low-risk, high-value — makes the first step feel like a gift, not a sales call.</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Infrastructure</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What iRemedy is. Not a "solution." Not a "platform" in isolation. Infrastructure implies permanence, necessity, and scale.</w:t>
            </w:r>
          </w:p>
        </w:tc>
      </w:tr>
    </w:tbl>
    <w:p/>
    <w:p>
      <w:pPr>
        <w:pBdr>
          <w:bottom w:val="single" w:color="00ACE6" w:sz="4" w:space="6"/>
        </w:pBdr>
        <w:spacing w:after="160" w:before="400"/>
      </w:pPr>
      <w:r>
        <w:rPr>
          <w:rFonts w:ascii="Open Sans" w:cs="Open Sans" w:eastAsia="Open Sans" w:hAnsi="Open Sans"/>
          <w:b/>
          <w:bCs/>
          <w:color w:val="212E3E"/>
          <w:sz w:val="36"/>
          <w:szCs w:val="36"/>
        </w:rPr>
        <w:t xml:space="preserve">6.3  Tone Calibration by 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Hero section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Confident. Direct. Slightly provocative. The language of someone who has seen the problem from the inside.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Challenge/Solution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Clear. Declarative. No hedging. These are statements of fact, not opinions.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Supply chain visual</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The visual does the work. Copy should be minimal and stark.</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How It Works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Outcome-centric. Active voice. Short sentences. Verb-led.</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Platform section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Technical confidence without jargon. The tone of a CTO explaining to a smart board.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Credibility section</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Quiet authority. Let the proof points speak. No exclamation points. No superlatives.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CTA section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Warm. Direct. Specific. Acknowledge the buyer's skepticism before asking for the click.</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07</w:t>
      </w:r>
    </w:p>
    <w:p>
      <w:pPr>
        <w:spacing w:after="200" w:before="0"/>
      </w:pPr>
      <w:r>
        <w:rPr>
          <w:rFonts w:ascii="Open Sans" w:cs="Open Sans" w:eastAsia="Open Sans" w:hAnsi="Open Sans"/>
          <w:b/>
          <w:bCs/>
          <w:color w:val="212E3E"/>
          <w:sz w:val="52"/>
          <w:szCs w:val="52"/>
        </w:rPr>
        <w:t xml:space="preserve">Credibility Architecture
by Audience Depth</w:t>
      </w:r>
    </w:p>
    <w:p>
      <w:pPr>
        <w:spacing w:after="80" w:before="80"/>
      </w:pPr>
      <w:r>
        <w:rPr>
          <w:rFonts w:ascii="Open Sans" w:cs="Open Sans" w:eastAsia="Open Sans" w:hAnsi="Open Sans"/>
          <w:color w:val="3A4A5A"/>
          <w:sz w:val="22"/>
          <w:szCs w:val="22"/>
        </w:rPr>
        <w:t xml:space="preserve">Not every buyer reads the same depth. Credibility signals must be present at the right depth for the right reader to find. This is layered architecture — not front-loaded credential dumping.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Depth 1 — 8 seconds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First viewport. Institutional buyers who will not scroll. Signal: tagline + eyebrow badge ("Patented Infrastructure") + partner logo (UPS Healthcare) in nav or hero.</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Depth 2 — 30 seconds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Hero through Challenge/Solution. Signal: "Operation Warp Speed" reference in hero subtext, patent mention in platform section.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Depth 3 — 2 minutes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Full scroll. Signal: logo bar, proof point grid, stat bar, compliance badges.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Depth 4 — 5+ minutes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Platform page or Compliance page. Signal: full technical spec, DSCSA architecture, DEA/FDA license documentation, contract vehicles.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Depth 5 — Active procurement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Contact form and enterprise brief. Signal: CAGE code, GSA MAS number, UEI, NAICS codes — visible in footer and compliance center.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4A5"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0064A5"/>
                <w:sz w:val="20"/>
                <w:szCs w:val="20"/>
              </w:rPr>
              <w:t xml:space="preserve">DEPTH RULE</w:t>
            </w:r>
          </w:p>
          <w:p>
            <w:pPr>
              <w:spacing w:after="0" w:before="0"/>
            </w:pPr>
            <w:r>
              <w:rPr>
                <w:rFonts w:ascii="Open Sans" w:cs="Open Sans" w:eastAsia="Open Sans" w:hAnsi="Open Sans"/>
                <w:color w:val="3A4A5A"/>
                <w:sz w:val="20"/>
                <w:szCs w:val="20"/>
              </w:rPr>
              <w:t xml:space="preserve">Credential overload at Depth 1 destroys the narrative. A GSA schedule number in the hero section confuses the ambulatory provider buyer who does not know what it means. Every credential belongs at the depth where its audience will encounter it — and not before.</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08</w:t>
      </w:r>
    </w:p>
    <w:p>
      <w:pPr>
        <w:spacing w:after="200" w:before="0"/>
      </w:pPr>
      <w:r>
        <w:rPr>
          <w:rFonts w:ascii="Open Sans" w:cs="Open Sans" w:eastAsia="Open Sans" w:hAnsi="Open Sans"/>
          <w:b/>
          <w:bCs/>
          <w:color w:val="212E3E"/>
          <w:sz w:val="52"/>
          <w:szCs w:val="52"/>
        </w:rPr>
        <w:t xml:space="preserve">Performance &amp; Technical
Requirements</w:t>
      </w:r>
    </w:p>
    <w:p/>
    <w:p>
      <w:pPr>
        <w:pBdr>
          <w:bottom w:val="single" w:color="00ACE6" w:sz="4" w:space="6"/>
        </w:pBdr>
        <w:spacing w:after="160" w:before="400"/>
      </w:pPr>
      <w:r>
        <w:rPr>
          <w:rFonts w:ascii="Open Sans" w:cs="Open Sans" w:eastAsia="Open Sans" w:hAnsi="Open Sans"/>
          <w:b/>
          <w:bCs/>
          <w:color w:val="212E3E"/>
          <w:sz w:val="36"/>
          <w:szCs w:val="36"/>
        </w:rPr>
        <w:t xml:space="preserve">8.1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8B0000"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8B0000"/>
                <w:sz w:val="20"/>
                <w:szCs w:val="20"/>
              </w:rPr>
              <w:t xml:space="preserve">PERFORMANCE PHILOSOPHY</w:t>
            </w:r>
          </w:p>
          <w:p>
            <w:pPr>
              <w:spacing w:after="0" w:before="0"/>
            </w:pPr>
            <w:r>
              <w:rPr>
                <w:rFonts w:ascii="Open Sans" w:cs="Open Sans" w:eastAsia="Open Sans" w:hAnsi="Open Sans"/>
                <w:color w:val="3A4A5A"/>
                <w:sz w:val="20"/>
                <w:szCs w:val="20"/>
              </w:rPr>
              <w:t xml:space="preserve">Institutional buyers on hospital or government networks frequently have slower connections and stricter firewall policies. The site must perform exceptionally at 3G speeds and on 2019-era devices. Performance is not a nice-to-have. For an enterprise healthcare company, slow loading signals operational incompetence.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Largest Contentful Paint (LCP)</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&lt; 2.5 seconds on 4G  |  &lt; 4.0 seconds on 3G</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First Input Delay (FID)</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&lt; 100ms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Cumulative Layout Shift (CLS)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&lt; 0.10</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Time to Interactive (TTI)</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&lt; 3.5 seconds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Page weight (homepage)</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&lt; 1.5MB total on initial load (excluding lazy-loaded sections)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Lighthouse score target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 90 Performance  |  ≥ 95 Accessibility  |  ≥ 95 Best Practices  |  ≥ 95 SEO</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Image format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WebP with AVIF fallback. No unoptimized JPEGs. No PNG for photos.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Font loading</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Preload Open Sans 400 and 700. Display swap. Subset to Latin characters.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Supply chain animation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SVG-based (not canvas). Must degrade gracefully when prefers-reduced-motion is true.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Video</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No autoplay video on homepage. If video content is added: poster frame loads immediately, video lazy-loads on play intent.</w:t>
            </w:r>
          </w:p>
        </w:tc>
      </w:tr>
    </w:tbl>
    <w:p/>
    <w:p>
      <w:pPr>
        <w:pBdr>
          <w:bottom w:val="single" w:color="00ACE6" w:sz="4" w:space="6"/>
        </w:pBdr>
        <w:spacing w:after="160" w:before="400"/>
      </w:pPr>
      <w:r>
        <w:rPr>
          <w:rFonts w:ascii="Open Sans" w:cs="Open Sans" w:eastAsia="Open Sans" w:hAnsi="Open Sans"/>
          <w:b/>
          <w:bCs/>
          <w:color w:val="212E3E"/>
          <w:sz w:val="36"/>
          <w:szCs w:val="36"/>
        </w:rPr>
        <w:t xml:space="preserve">8.2  Tech Stack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Framework</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Next.js 14+ (App Router). Static generation for marketing pages. ISR for blog and dynamic content.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Styling</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Tailwind CSS 3.x. Custom design tokens defined in tailwind.config.js matching this document's color and spacing system exactly.</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Animation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Framer Motion for scroll-reveal and page transitions. CSS transitions for hover states. GSAP optional for supply chain diagram if SVG animation complexity requires it.</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CMS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Contentful or Sanity.io for blog and case study content. Enables non-technical team to update copy without deployment.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Analytics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Plausible Analytics (privacy-first) + Google Analytics 4. No invasive tracking that would trigger hospital firewall blocklists.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Forms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React Hook Form + Zod validation. Form submissions to HubSpot CRM via API — not native HubSpot embed (performance cost too high).</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Hosting</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Vercel (primary) with DigitalOcean as fallback/CDN. Edge caching enabled.</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SEO</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Next.js metadata API. Structured data (JSON-LD): Organization, MedicalBusiness, Service schema types.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Search</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Algolia for site search if blog grows beyond 20 posts.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Security</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HTTPS enforced. CSP headers. No third-party scripts except analytics and CRM. Cookie consent banner — functional cookies only by default.</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09</w:t>
      </w:r>
    </w:p>
    <w:p>
      <w:pPr>
        <w:spacing w:after="200" w:before="0"/>
      </w:pPr>
      <w:r>
        <w:rPr>
          <w:rFonts w:ascii="Open Sans" w:cs="Open Sans" w:eastAsia="Open Sans" w:hAnsi="Open Sans"/>
          <w:b/>
          <w:bCs/>
          <w:color w:val="212E3E"/>
          <w:sz w:val="52"/>
          <w:szCs w:val="52"/>
        </w:rPr>
        <w:t xml:space="preserve">Accessibility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212E3E" w:val="clear"/>
          </w:tcPr>
          <w:p/>
        </w:tc>
        <w:tc>
          <w:tcPr>
            <w:tcW w:type="dxa" w:w="9240"/>
            <w:tcBorders>
              <w:top w:val="none" w:color="FFFFFF" w:sz="0"/>
              <w:left w:val="none" w:color="FFFFFF" w:sz="0"/>
              <w:bottom w:val="none" w:color="FFFFFF" w:sz="0"/>
              <w:right w:val="none" w:color="FFFFFF" w:sz="0"/>
            </w:tcBorders>
            <w:shd w:fill="F4F6F8" w:val="clear"/>
            <w:tcMar>
              <w:top w:type="dxa" w:w="160"/>
              <w:left w:type="dxa" w:w="240"/>
              <w:bottom w:type="dxa" w:w="160"/>
              <w:right w:type="dxa" w:w="240"/>
            </w:tcMar>
          </w:tcPr>
          <w:p>
            <w:pPr>
              <w:spacing w:after="60" w:before="0"/>
            </w:pPr>
            <w:r>
              <w:rPr>
                <w:rFonts w:ascii="Open Sans" w:cs="Open Sans" w:eastAsia="Open Sans" w:hAnsi="Open Sans"/>
                <w:b/>
                <w:bCs/>
                <w:color w:val="212E3E"/>
                <w:sz w:val="20"/>
                <w:szCs w:val="20"/>
              </w:rPr>
              <w:t xml:space="preserve">COMPLIANCE BASELINE</w:t>
            </w:r>
          </w:p>
          <w:p>
            <w:pPr>
              <w:spacing w:after="0" w:before="0"/>
            </w:pPr>
            <w:r>
              <w:rPr>
                <w:rFonts w:ascii="Open Sans" w:cs="Open Sans" w:eastAsia="Open Sans" w:hAnsi="Open Sans"/>
                <w:color w:val="3A4A5A"/>
                <w:sz w:val="20"/>
                <w:szCs w:val="20"/>
              </w:rPr>
              <w:t xml:space="preserve">WCAG 2.1 AA minimum. Target WCAG 2.1 AAA where achievable without design compromise. This is not optional for a healthcare company serving hospitals and government agencies. Inaccessible healthcare infrastructure is a contradiction in terms.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Color contrast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All text on background must meet 4.5:1 (AA). Vivid Cerulean (#00ACE6) must NEVER be used as text on white. Imperial Primer on white = 13.77:1 (AAA). Persian Blue on white = 10.56:1 (AAA).</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Focus indicators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Visible 2px outline in Persian Blue on all interactive elements. Never remove outline without replacement.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Keyboard navigation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Full site navigable by keyboard. Tab order must follow visual reading order. Skip-to-content link at top of every page.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Screen readers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All SVG diagrams (especially supply chain visual) must have aria-label and descriptive text alternative. All icon buttons must have aria-label.</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Animation</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All animations must respect prefers-reduced-motion. When enabled: animations disabled or replaced with instant transitions.</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Forms</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All inputs have associated labels (not placeholder-only). Error messages are announced via aria-live regions.</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Images</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All decorative images: alt="". All informational images: descriptive alt text. No alt text truncated to under 5 words if the image conveys information.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Video</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If added: captions required. Transcript available. Audio description for visual-only content.</w:t>
            </w:r>
          </w:p>
        </w:tc>
      </w:tr>
    </w:tbl>
    <w:p>
      <w:r>
        <w:r>
          <w:br w:type="page"/>
        </w:r>
      </w:r>
    </w:p>
    <w:p>
      <w:pPr>
        <w:spacing w:after="120" w:before="480"/>
      </w:pPr>
      <w:r>
        <w:rPr>
          <w:rFonts w:ascii="Open Sans" w:cs="Open Sans" w:eastAsia="Open Sans" w:hAnsi="Open Sans"/>
          <w:b/>
          <w:bCs/>
          <w:caps/>
          <w:color w:val="00ACE6"/>
          <w:spacing w:val="120"/>
          <w:sz w:val="18"/>
          <w:szCs w:val="18"/>
        </w:rPr>
        <w:t xml:space="preserve">SECTION 10</w:t>
      </w:r>
    </w:p>
    <w:p>
      <w:pPr>
        <w:spacing w:after="200" w:before="0"/>
      </w:pPr>
      <w:r>
        <w:rPr>
          <w:rFonts w:ascii="Open Sans" w:cs="Open Sans" w:eastAsia="Open Sans" w:hAnsi="Open Sans"/>
          <w:b/>
          <w:bCs/>
          <w:color w:val="212E3E"/>
          <w:sz w:val="52"/>
          <w:szCs w:val="52"/>
        </w:rPr>
        <w:t xml:space="preserve">Component Library
Specifications</w:t>
      </w:r>
    </w:p>
    <w:p>
      <w:pPr>
        <w:spacing w:after="80" w:before="80"/>
      </w:pPr>
      <w:r>
        <w:rPr>
          <w:rFonts w:ascii="Open Sans" w:cs="Open Sans" w:eastAsia="Open Sans" w:hAnsi="Open Sans"/>
          <w:color w:val="3A4A5A"/>
          <w:sz w:val="22"/>
          <w:szCs w:val="22"/>
        </w:rPr>
        <w:t xml:space="preserve">The following components must be built as reusable, documented components before any page is assembled. No page-specific one-off components. Every visual element on the site must trace to one of these components.</w:t>
      </w:r>
    </w:p>
    <w:p/>
    <w:p>
      <w:pPr>
        <w:pBdr>
          <w:bottom w:val="single" w:color="00ACE6" w:sz="4" w:space="6"/>
        </w:pBdr>
        <w:spacing w:after="160" w:before="400"/>
      </w:pPr>
      <w:r>
        <w:rPr>
          <w:rFonts w:ascii="Open Sans" w:cs="Open Sans" w:eastAsia="Open Sans" w:hAnsi="Open Sans"/>
          <w:b/>
          <w:bCs/>
          <w:color w:val="212E3E"/>
          <w:sz w:val="36"/>
          <w:szCs w:val="36"/>
        </w:rPr>
        <w:t xml:space="preserve">Core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&lt;HeroSection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headline, subheadline, body, primaryCTA, secondaryCTA, badgeText, variant (dark|light). Includes right-column slot for diagram.</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&lt;ChallengeSolution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challengeHeadline, challengeBody, solutionHeadline, solutionBody. Always two-column.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&lt;SupplyChainDiagram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No props — content is hardcoded. SVG component with Framer Motion animation. Tooltip system built in. Must be fully accessible with aria-label and text description.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&lt;HowItWorks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steps[] — array of {number, icon, headline, body, stat}. Renders three-column grid.</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&lt;PlatformSection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capabilities[] — array of {text}. Dark background variant. Includes patent badge.</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&lt;ServiceTab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tabs[] — array of {id, label, headline, body, cta, ctaLink}. Animated tab switcher.</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&lt;PartnerLogoBar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logos[] — array of {src, alt, label}. Grayscale default, color on hover.</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&lt;ProofPointGrid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points[] — array of {headline, body}. Three-column. Left-border accent.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&lt;StatBar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stats[] — array of {value, label, prefix?, suffix?}. Count-up animation.</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&lt;PersonaCTASection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personas[] — array of {headline, body, ctaText, ctaLink, accentColor}. Three-card layout.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&lt;SectionLabel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text. Renders Cerulean all-caps label with tracking.</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&lt;CalloutBox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label, body, variant (blue|dark|warning). Colored left-bar accent.</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&lt;ComplianceBadge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code, label. Small badge for CAGE, GSA, UEI display.</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&lt;ContactForm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none. Includes persona routing radio at top. Adapts fields to selection.</w:t>
            </w:r>
          </w:p>
        </w:tc>
      </w:tr>
      <w:tr>
        <w:tc>
          <w:tcPr>
            <w:tcW w:type="dxa" w:w="280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b/>
                <w:bCs/>
                <w:color w:val="212E3E"/>
                <w:sz w:val="20"/>
                <w:szCs w:val="20"/>
              </w:rPr>
              <w:t xml:space="preserve">&lt;NavBar /&gt;</w:t>
            </w:r>
          </w:p>
        </w:tc>
        <w:tc>
          <w:tcPr>
            <w:tcW w:type="dxa" w:w="6560"/>
            <w:tcBorders>
              <w:top w:val="single" w:color="D0D8E0" w:sz="1"/>
              <w:left w:val="single" w:color="D0D8E0" w:sz="1"/>
              <w:bottom w:val="single" w:color="D0D8E0" w:sz="1"/>
              <w:right w:val="single" w:color="D0D8E0" w:sz="1"/>
            </w:tcBorders>
            <w:shd w:fill="F4F6F8" w:val="clear"/>
            <w:tcMar>
              <w:top w:type="dxa" w:w="100"/>
              <w:left w:type="dxa" w:w="160"/>
              <w:bottom w:type="dxa" w:w="100"/>
              <w:right w:type="dxa" w:w="160"/>
            </w:tcMar>
          </w:tcPr>
          <w:p>
            <w:r>
              <w:rPr>
                <w:rFonts w:ascii="Open Sans" w:cs="Open Sans" w:eastAsia="Open Sans" w:hAnsi="Open Sans"/>
                <w:color w:val="3A4A5A"/>
                <w:sz w:val="20"/>
                <w:szCs w:val="20"/>
              </w:rPr>
              <w:t xml:space="preserve">Props: none. Reads from site config. Transparent → dark on scroll. Sticky.</w:t>
            </w:r>
          </w:p>
        </w:tc>
      </w:tr>
      <w:tr>
        <w:tc>
          <w:tcPr>
            <w:tcW w:type="dxa" w:w="280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b/>
                <w:bCs/>
                <w:color w:val="212E3E"/>
                <w:sz w:val="20"/>
                <w:szCs w:val="20"/>
              </w:rPr>
              <w:t xml:space="preserve">&lt;Footer /&gt;</w:t>
            </w:r>
          </w:p>
        </w:tc>
        <w:tc>
          <w:tcPr>
            <w:tcW w:type="dxa" w:w="6560"/>
            <w:tcBorders>
              <w:top w:val="single" w:color="D0D8E0" w:sz="1"/>
              <w:left w:val="single" w:color="D0D8E0" w:sz="1"/>
              <w:bottom w:val="single" w:color="D0D8E0" w:sz="1"/>
              <w:right w:val="single" w:color="D0D8E0" w:sz="1"/>
            </w:tcBorders>
            <w:shd w:fill="FFFFFF" w:val="clear"/>
            <w:tcMar>
              <w:top w:type="dxa" w:w="100"/>
              <w:left w:type="dxa" w:w="160"/>
              <w:bottom w:type="dxa" w:w="100"/>
              <w:right w:type="dxa" w:w="160"/>
            </w:tcMar>
          </w:tcPr>
          <w:p>
            <w:r>
              <w:rPr>
                <w:rFonts w:ascii="Open Sans" w:cs="Open Sans" w:eastAsia="Open Sans" w:hAnsi="Open Sans"/>
                <w:color w:val="3A4A5A"/>
                <w:sz w:val="20"/>
                <w:szCs w:val="20"/>
              </w:rPr>
              <w:t xml:space="preserve">Props: none. Reads from site config. Includes compliance block.</w:t>
            </w:r>
          </w:p>
        </w:tc>
      </w:tr>
    </w:tbl>
    <w:p/>
    <w:p>
      <w:pPr>
        <w:pBdr>
          <w:bottom w:val="single" w:color="00ACE6" w:sz="4" w:space="6"/>
        </w:pBdr>
        <w:spacing w:after="160" w:before="400"/>
      </w:pPr>
      <w:r>
        <w:rPr>
          <w:rFonts w:ascii="Open Sans" w:cs="Open Sans" w:eastAsia="Open Sans" w:hAnsi="Open Sans"/>
          <w:b/>
          <w:bCs/>
          <w:color w:val="212E3E"/>
          <w:sz w:val="36"/>
          <w:szCs w:val="36"/>
        </w:rPr>
        <w:t xml:space="preserve">Design Token File (tailwind.config.js extract)</w:t>
      </w:r>
    </w:p>
    <w:p>
      <w:pPr>
        <w:spacing w:after="80" w:before="80"/>
      </w:pPr>
      <w:r>
        <w:rPr>
          <w:rFonts w:ascii="Open Sans" w:cs="Open Sans" w:eastAsia="Open Sans" w:hAnsi="Open Sans"/>
          <w:color w:val="3A4A5A"/>
          <w:sz w:val="22"/>
          <w:szCs w:val="22"/>
        </w:rPr>
        <w:t xml:space="preserve">The following token values must be defined in Tailwind config and used universally. No hardcoded hex values in component files.</w:t>
      </w:r>
    </w:p>
    <w:p/>
    <w:p>
      <w:pPr>
        <w:spacing w:after="40" w:before="40"/>
        <w:ind w:left="720"/>
      </w:pPr>
      <w:r>
        <w:rPr>
          <w:rFonts w:ascii="Courier New" w:cs="Courier New" w:eastAsia="Courier New" w:hAnsi="Courier New"/>
          <w:color w:val="0064A5"/>
          <w:sz w:val="20"/>
          <w:szCs w:val="20"/>
        </w:rPr>
        <w:t xml:space="preserve">colors: {</w:t>
      </w:r>
    </w:p>
    <w:p>
      <w:pPr>
        <w:spacing w:after="40" w:before="40"/>
        <w:ind w:left="720"/>
      </w:pPr>
      <w:r>
        <w:rPr>
          <w:rFonts w:ascii="Courier New" w:cs="Courier New" w:eastAsia="Courier New" w:hAnsi="Courier New"/>
          <w:color w:val="0064A5"/>
          <w:sz w:val="20"/>
          <w:szCs w:val="20"/>
        </w:rPr>
        <w:t xml:space="preserve">  'imperial':    '#212E3E',   // Primary dark</w:t>
      </w:r>
    </w:p>
    <w:p>
      <w:pPr>
        <w:spacing w:after="40" w:before="40"/>
        <w:ind w:left="720"/>
      </w:pPr>
      <w:r>
        <w:rPr>
          <w:rFonts w:ascii="Courier New" w:cs="Courier New" w:eastAsia="Courier New" w:hAnsi="Courier New"/>
          <w:color w:val="0064A5"/>
          <w:sz w:val="20"/>
          <w:szCs w:val="20"/>
        </w:rPr>
        <w:t xml:space="preserve">  'persian':     '#0064A5',   // Primary blue</w:t>
      </w:r>
    </w:p>
    <w:p>
      <w:pPr>
        <w:spacing w:after="40" w:before="40"/>
        <w:ind w:left="720"/>
      </w:pPr>
      <w:r>
        <w:rPr>
          <w:rFonts w:ascii="Courier New" w:cs="Courier New" w:eastAsia="Courier New" w:hAnsi="Courier New"/>
          <w:color w:val="0064A5"/>
          <w:sz w:val="20"/>
          <w:szCs w:val="20"/>
        </w:rPr>
        <w:t xml:space="preserve">  'cerulean':    '#00ACE6',   // Accent blue</w:t>
      </w:r>
    </w:p>
    <w:p>
      <w:pPr>
        <w:spacing w:after="40" w:before="40"/>
        <w:ind w:left="720"/>
      </w:pPr>
      <w:r>
        <w:rPr>
          <w:rFonts w:ascii="Courier New" w:cs="Courier New" w:eastAsia="Courier New" w:hAnsi="Courier New"/>
          <w:color w:val="0064A5"/>
          <w:sz w:val="20"/>
          <w:szCs w:val="20"/>
        </w:rPr>
        <w:t xml:space="preserve">  'body':        '#3A4A5A',   // Body text</w:t>
      </w:r>
    </w:p>
    <w:p>
      <w:pPr>
        <w:spacing w:after="40" w:before="40"/>
        <w:ind w:left="720"/>
      </w:pPr>
      <w:r>
        <w:rPr>
          <w:rFonts w:ascii="Courier New" w:cs="Courier New" w:eastAsia="Courier New" w:hAnsi="Courier New"/>
          <w:color w:val="0064A5"/>
          <w:sz w:val="20"/>
          <w:szCs w:val="20"/>
        </w:rPr>
        <w:t xml:space="preserve">  'surface':     '#F4F6F8',   // Light bg</w:t>
      </w:r>
    </w:p>
    <w:p>
      <w:pPr>
        <w:spacing w:after="40" w:before="40"/>
        <w:ind w:left="720"/>
      </w:pPr>
      <w:r>
        <w:rPr>
          <w:rFonts w:ascii="Courier New" w:cs="Courier New" w:eastAsia="Courier New" w:hAnsi="Courier New"/>
          <w:color w:val="0064A5"/>
          <w:sz w:val="20"/>
          <w:szCs w:val="20"/>
        </w:rPr>
        <w:t xml:space="preserve">  'border':      '#D0D8E0',   // Borders</w:t>
      </w:r>
    </w:p>
    <w:p>
      <w:pPr>
        <w:spacing w:after="40" w:before="40"/>
        <w:ind w:left="720"/>
      </w:pPr>
      <w:r>
        <w:rPr>
          <w:rFonts w:ascii="Courier New" w:cs="Courier New" w:eastAsia="Courier New" w:hAnsi="Courier New"/>
          <w:color w:val="0064A5"/>
          <w:sz w:val="20"/>
          <w:szCs w:val="20"/>
        </w:rPr>
        <w:t xml:space="preserve">  'lightblue':   '#E8F4FC',   // Card tint</w:t>
      </w:r>
    </w:p>
    <w:p>
      <w:pPr>
        <w:spacing w:after="40" w:before="40"/>
        <w:ind w:left="720"/>
      </w:pPr>
      <w:r>
        <w:rPr>
          <w:rFonts w:ascii="Courier New" w:cs="Courier New" w:eastAsia="Courier New" w:hAnsi="Courier New"/>
          <w:color w:val="0064A5"/>
          <w:sz w:val="20"/>
          <w:szCs w:val="20"/>
        </w:rPr>
        <w:t xml:space="preserve">  'danger':      '#8B0000',   // Old system only</w:t>
      </w:r>
    </w:p>
    <w:p>
      <w:pPr>
        <w:spacing w:after="40" w:before="40"/>
        <w:ind w:left="720"/>
      </w:pPr>
      <w:r>
        <w:rPr>
          <w:rFonts w:ascii="Courier New" w:cs="Courier New" w:eastAsia="Courier New" w:hAnsi="Courier New"/>
          <w:color w:val="0064A5"/>
          <w:sz w:val="20"/>
          <w:szCs w:val="20"/>
        </w:rPr>
        <w:t xml:space="preserve">  'success':     '#1A6B3A',   // Compliance / proof</w:t>
      </w:r>
    </w:p>
    <w:p>
      <w:pPr>
        <w:spacing w:after="40" w:before="40"/>
        <w:ind w:left="720"/>
      </w:pPr>
      <w:r>
        <w:rPr>
          <w:rFonts w:ascii="Courier New" w:cs="Courier New" w:eastAsia="Courier New" w:hAnsi="Courier New"/>
          <w:color w:val="0064A5"/>
          <w:sz w:val="20"/>
          <w:szCs w:val="20"/>
        </w:rPr>
        <w:t xml:space="preserve">},</w:t>
      </w:r>
    </w:p>
    <w:p>
      <w:pPr>
        <w:spacing w:after="40" w:before="40"/>
        <w:ind w:left="720"/>
      </w:pPr>
      <w:r>
        <w:rPr>
          <w:rFonts w:ascii="Courier New" w:cs="Courier New" w:eastAsia="Courier New" w:hAnsi="Courier New"/>
          <w:color w:val="0064A5"/>
          <w:sz w:val="20"/>
          <w:szCs w:val="20"/>
        </w:rPr>
        <w:t xml:space="preserve">fontFamily: { sans: ['Open Sans', 'system-ui', 'sans-serif'] },</w:t>
      </w:r>
    </w:p>
    <w:p>
      <w:pPr>
        <w:spacing w:after="40" w:before="40"/>
        <w:ind w:left="720"/>
      </w:pPr>
      <w:r>
        <w:rPr>
          <w:rFonts w:ascii="Courier New" w:cs="Courier New" w:eastAsia="Courier New" w:hAnsi="Courier New"/>
          <w:color w:val="0064A5"/>
          <w:sz w:val="20"/>
          <w:szCs w:val="20"/>
        </w:rPr>
        <w:t xml:space="preserve">fontSize: {</w:t>
      </w:r>
    </w:p>
    <w:p>
      <w:pPr>
        <w:spacing w:after="40" w:before="40"/>
        <w:ind w:left="720"/>
      </w:pPr>
      <w:r>
        <w:rPr>
          <w:rFonts w:ascii="Courier New" w:cs="Courier New" w:eastAsia="Courier New" w:hAnsi="Courier New"/>
          <w:color w:val="0064A5"/>
          <w:sz w:val="20"/>
          <w:szCs w:val="20"/>
        </w:rPr>
        <w:t xml:space="preserve">  'display': ['72px', { lineHeight: '1.05', letterSpacing: '-0.02em' }],</w:t>
      </w:r>
    </w:p>
    <w:p>
      <w:pPr>
        <w:spacing w:after="40" w:before="40"/>
        <w:ind w:left="720"/>
      </w:pPr>
      <w:r>
        <w:rPr>
          <w:rFonts w:ascii="Courier New" w:cs="Courier New" w:eastAsia="Courier New" w:hAnsi="Courier New"/>
          <w:color w:val="0064A5"/>
          <w:sz w:val="20"/>
          <w:szCs w:val="20"/>
        </w:rPr>
        <w:t xml:space="preserve">  'h1':      ['52px', { lineHeight: '1.1',  letterSpacing: '-0.015em' }],</w:t>
      </w:r>
    </w:p>
    <w:p>
      <w:pPr>
        <w:spacing w:after="40" w:before="40"/>
        <w:ind w:left="720"/>
      </w:pPr>
      <w:r>
        <w:rPr>
          <w:rFonts w:ascii="Courier New" w:cs="Courier New" w:eastAsia="Courier New" w:hAnsi="Courier New"/>
          <w:color w:val="0064A5"/>
          <w:sz w:val="20"/>
          <w:szCs w:val="20"/>
        </w:rPr>
        <w:t xml:space="preserve">  'h2':      ['36px', { lineHeight: '1.15' }],</w:t>
      </w:r>
    </w:p>
    <w:p>
      <w:pPr>
        <w:spacing w:after="40" w:before="40"/>
        <w:ind w:left="720"/>
      </w:pPr>
      <w:r>
        <w:rPr>
          <w:rFonts w:ascii="Courier New" w:cs="Courier New" w:eastAsia="Courier New" w:hAnsi="Courier New"/>
          <w:color w:val="0064A5"/>
          <w:sz w:val="20"/>
          <w:szCs w:val="20"/>
        </w:rPr>
        <w:t xml:space="preserve">  'h3':      ['26px', { lineHeight: '1.2'  }],</w:t>
      </w:r>
    </w:p>
    <w:p>
      <w:pPr>
        <w:spacing w:after="40" w:before="40"/>
        <w:ind w:left="720"/>
      </w:pPr>
      <w:r>
        <w:rPr>
          <w:rFonts w:ascii="Courier New" w:cs="Courier New" w:eastAsia="Courier New" w:hAnsi="Courier New"/>
          <w:color w:val="0064A5"/>
          <w:sz w:val="20"/>
          <w:szCs w:val="20"/>
        </w:rPr>
        <w:t xml:space="preserve">  'body-lg': ['18px', { lineHeight: '1.7'  }],</w:t>
      </w:r>
    </w:p>
    <w:p>
      <w:pPr>
        <w:spacing w:after="40" w:before="40"/>
        <w:ind w:left="720"/>
      </w:pPr>
      <w:r>
        <w:rPr>
          <w:rFonts w:ascii="Courier New" w:cs="Courier New" w:eastAsia="Courier New" w:hAnsi="Courier New"/>
          <w:color w:val="0064A5"/>
          <w:sz w:val="20"/>
          <w:szCs w:val="20"/>
        </w:rPr>
        <w:t xml:space="preserve">  'body':    ['16px', { lineHeight: '1.65' }],</w:t>
      </w:r>
    </w:p>
    <w:p>
      <w:pPr>
        <w:spacing w:after="40" w:before="40"/>
        <w:ind w:left="720"/>
      </w:pPr>
      <w:r>
        <w:rPr>
          <w:rFonts w:ascii="Courier New" w:cs="Courier New" w:eastAsia="Courier New" w:hAnsi="Courier New"/>
          <w:color w:val="0064A5"/>
          <w:sz w:val="20"/>
          <w:szCs w:val="20"/>
        </w:rPr>
        <w:t xml:space="preserve">  'caption': ['12px', { lineHeight: '1.4', letterSpacing: '0.1em' }],</w:t>
      </w:r>
    </w:p>
    <w:p>
      <w:pPr>
        <w:spacing w:after="40" w:before="40"/>
        <w:ind w:left="720"/>
      </w:pPr>
      <w:r>
        <w:rPr>
          <w:rFonts w:ascii="Courier New" w:cs="Courier New" w:eastAsia="Courier New" w:hAnsi="Courier New"/>
          <w:color w:val="0064A5"/>
          <w:sz w:val="20"/>
          <w:szCs w:val="20"/>
        </w:rPr>
        <w:t xml:space="preserve">},</w:t>
      </w:r>
    </w:p>
    <w:p>
      <w:pPr>
        <w:spacing w:after="40" w:before="40"/>
        <w:ind w:left="720"/>
      </w:pPr>
      <w:r>
        <w:rPr>
          <w:rFonts w:ascii="Courier New" w:cs="Courier New" w:eastAsia="Courier New" w:hAnsi="Courier New"/>
          <w:color w:val="0064A5"/>
          <w:sz w:val="20"/>
          <w:szCs w:val="20"/>
        </w:rPr>
        <w:t xml:space="preserve">spacing: { /* 8px base grid: 1=8px, 2=16px, 3=24px, 4=32px, 6=48px, 12=96px, 20=160px */ },</w:t>
      </w:r>
    </w:p>
    <w:p>
      <w:pPr>
        <w:spacing w:after="40" w:before="40"/>
        <w:ind w:left="720"/>
      </w:pPr>
      <w:r>
        <w:rPr>
          <w:rFonts w:ascii="Courier New" w:cs="Courier New" w:eastAsia="Courier New" w:hAnsi="Courier New"/>
          <w:color w:val="0064A5"/>
          <w:sz w:val="20"/>
          <w:szCs w:val="20"/>
        </w:rPr>
        <w:t xml:space="preserve">borderRadius: { DEFAULT: '8px', lg: '16px', sm: '4px', btn: '6px' },</w:t>
      </w:r>
    </w:p>
    <w:p>
      <w:pPr>
        <w:spacing w:after="40" w:before="40"/>
        <w:ind w:left="720"/>
      </w:pPr>
      <w:r>
        <w:rPr>
          <w:rFonts w:ascii="Courier New" w:cs="Courier New" w:eastAsia="Courier New" w:hAnsi="Courier New"/>
          <w:color w:val="0064A5"/>
          <w:sz w:val="20"/>
          <w:szCs w:val="20"/>
        </w:rPr>
        <w:t xml:space="preserve">maxWidth: { content: '1200px', copy: '680px' },</w:t>
      </w:r>
    </w:p>
    <w:p/>
    <w:p>
      <w:pPr>
        <w:pBdr>
          <w:bottom w:val="single" w:color="D0D8E0" w:sz="2" w:space="1"/>
        </w:pBdr>
        <w:spacing w:after="320" w:before="320"/>
      </w:pP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2E3E" w:val="clear"/>
            <w:tcMar>
              <w:top w:type="dxa" w:w="480"/>
              <w:left w:type="dxa" w:w="480"/>
              <w:bottom w:type="dxa" w:w="480"/>
              <w:right w:type="dxa" w:w="480"/>
            </w:tcMar>
          </w:tcPr>
          <w:p>
            <w:pPr>
              <w:spacing w:after="160" w:before="0"/>
            </w:pPr>
            <w:r>
              <w:rPr>
                <w:rFonts w:ascii="Open Sans" w:cs="Open Sans" w:eastAsia="Open Sans" w:hAnsi="Open Sans"/>
                <w:b/>
                <w:bCs/>
                <w:caps/>
                <w:color w:val="00ACE6"/>
                <w:spacing w:val="200"/>
                <w:sz w:val="18"/>
                <w:szCs w:val="18"/>
              </w:rPr>
              <w:t xml:space="preserve">CLOSING DIRECTIVE</w:t>
            </w:r>
          </w:p>
          <w:p>
            <w:pPr>
              <w:spacing w:after="80" w:before="0"/>
            </w:pPr>
            <w:r>
              <w:rPr>
                <w:rFonts w:ascii="Open Sans" w:cs="Open Sans" w:eastAsia="Open Sans" w:hAnsi="Open Sans"/>
                <w:color w:val="FFFFFF"/>
                <w:sz w:val="22"/>
                <w:szCs w:val="22"/>
              </w:rPr>
              <w:t xml:space="preserve">Every decision made during development of this site must pass a single test:</w:t>
            </w:r>
          </w:p>
          <w:p>
            <w:pPr>
              <w:spacing w:after="160" w:before="0"/>
            </w:pPr>
            <w:r>
              <w:rPr>
                <w:rFonts w:ascii="Open Sans" w:cs="Open Sans" w:eastAsia="Open Sans" w:hAnsi="Open Sans"/>
                <w:b/>
                <w:bCs/>
                <w:i/>
                <w:iCs/>
                <w:color w:val="FFFFFF"/>
                <w:sz w:val="28"/>
                <w:szCs w:val="28"/>
              </w:rPr>
              <w:t xml:space="preserve">"Does this choice make the story clearer, or does it make the builder feel clever?"</w:t>
            </w:r>
          </w:p>
          <w:p>
            <w:pPr>
              <w:spacing w:after="0" w:before="0"/>
            </w:pPr>
            <w:r>
              <w:rPr>
                <w:rFonts w:ascii="Open Sans" w:cs="Open Sans" w:eastAsia="Open Sans" w:hAnsi="Open Sans"/>
                <w:color w:val="00ACE6"/>
                <w:sz w:val="22"/>
                <w:szCs w:val="22"/>
              </w:rPr>
              <w:t xml:space="preserve">If the answer is the latter — remove it. The buyer's clarity is always more important than the builder's expression. Steve Jobs did not ship features that needed explanation. Neither does iRemedy.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A4A5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2026-02-26T01:26:18.008Z</dcterms:created>
  <dcterms:modified xsi:type="dcterms:W3CDTF">2026-02-26T01:26:18.009Z</dcterms:modified>
</cp:coreProperties>
</file>

<file path=docProps/custom.xml><?xml version="1.0" encoding="utf-8"?>
<Properties xmlns="http://schemas.openxmlformats.org/officeDocument/2006/custom-properties" xmlns:vt="http://schemas.openxmlformats.org/officeDocument/2006/docPropsVTypes"/>
</file>