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r w:rsidRPr="00D433A6">
        <w:rPr>
          <w:lang w:val="es-MX"/>
        </w:rPr>
        <w:t>heinz dieterich</w:t>
      </w:r>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Los apagones afectan a miles de vecinos en algunas ciudades y deja fuera de servicio a cientos de semáforos en diversos barrios del distrito.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Pr="00A331A4" w:rsidRDefault="006A0C39" w:rsidP="006A0C39">
      <w:pPr>
        <w:jc w:val="both"/>
        <w:rPr>
          <w:rFonts w:ascii="Arial" w:hAnsi="Arial" w:cs="Arial"/>
          <w:color w:val="000000"/>
          <w:szCs w:val="20"/>
          <w:lang w:val="es-MX"/>
        </w:rPr>
      </w:pPr>
      <w:r w:rsidRPr="00A331A4">
        <w:rPr>
          <w:rFonts w:ascii="Arial" w:hAnsi="Arial" w:cs="Arial"/>
          <w:szCs w:val="20"/>
          <w:lang w:val="es-MX"/>
        </w:rPr>
        <w:t xml:space="preserve">Uno de los problemas más destacados en el transito vial se refleja en el EDO. MEXICO que se encarga la secretaria de transporte, la cual su dependencia </w:t>
      </w:r>
      <w:r w:rsidRPr="00A331A4">
        <w:rPr>
          <w:rFonts w:ascii="Arial" w:hAnsi="Arial" w:cs="Arial"/>
          <w:color w:val="000000"/>
          <w:szCs w:val="20"/>
          <w:lang w:val="es-MX"/>
        </w:rPr>
        <w:t>Sistema de Transporte Masivo y Teleférico del Estado de México, no cumple con el mantenimiento vial ni de semáforos o estructura vial, ya que en diferentes áreas no hay semáforos en funcionamiento y diferentes quejas. (Portal del gobierno)</w:t>
      </w:r>
    </w:p>
    <w:p w:rsidR="006A0C39" w:rsidRPr="00A331A4" w:rsidRDefault="006A0C39" w:rsidP="006A0C39">
      <w:pPr>
        <w:spacing w:after="75" w:line="240" w:lineRule="auto"/>
        <w:outlineLvl w:val="0"/>
        <w:rPr>
          <w:rFonts w:ascii="Arial" w:eastAsia="Times New Roman" w:hAnsi="Arial" w:cs="Arial"/>
          <w:i/>
          <w:color w:val="000000"/>
          <w:kern w:val="36"/>
          <w:szCs w:val="20"/>
          <w:u w:val="single"/>
          <w:lang w:val="es-MX" w:eastAsia="es-MX"/>
        </w:rPr>
      </w:pPr>
      <w:r w:rsidRPr="00A331A4">
        <w:rPr>
          <w:rFonts w:ascii="Arial" w:eastAsia="Times New Roman" w:hAnsi="Arial" w:cs="Arial"/>
          <w:i/>
          <w:color w:val="000000"/>
          <w:kern w:val="36"/>
          <w:szCs w:val="20"/>
          <w:u w:val="single"/>
          <w:lang w:val="es-MX" w:eastAsia="es-MX"/>
        </w:rPr>
        <w:t>“Neza se queda sin semáforos, denuncian</w:t>
      </w:r>
    </w:p>
    <w:p w:rsidR="006A0C39" w:rsidRPr="00A331A4" w:rsidRDefault="006A0C39" w:rsidP="006A0C39">
      <w:pPr>
        <w:spacing w:after="0" w:line="360" w:lineRule="atLeast"/>
        <w:rPr>
          <w:rFonts w:ascii="Arial" w:eastAsia="Times New Roman" w:hAnsi="Arial" w:cs="Arial"/>
          <w:i/>
          <w:color w:val="000000"/>
          <w:szCs w:val="20"/>
          <w:u w:val="single"/>
          <w:lang w:val="es-MX" w:eastAsia="es-MX"/>
        </w:rPr>
      </w:pPr>
      <w:r w:rsidRPr="00A331A4">
        <w:rPr>
          <w:rFonts w:ascii="Arial" w:eastAsia="Times New Roman" w:hAnsi="Arial" w:cs="Arial"/>
          <w:i/>
          <w:color w:val="000000"/>
          <w:szCs w:val="20"/>
          <w:u w:val="single"/>
          <w:lang w:val="es-MX" w:eastAsia="es-MX"/>
        </w:rPr>
        <w:t>Sobre todo en los cruces de Chimalhuacán y Avenida Pantitlán, de acuerdo con el denunciante, "nunca funcionan y cuando se reporta la oficina de tránsito, sólo dicen que es una empresa la que los opera"” (</w:t>
      </w:r>
      <w:r w:rsidRPr="00A331A4">
        <w:rPr>
          <w:rFonts w:ascii="Arial" w:hAnsi="Arial" w:cs="Arial"/>
          <w:i/>
          <w:color w:val="000000"/>
          <w:szCs w:val="20"/>
          <w:u w:val="single"/>
          <w:lang w:val="es-MX"/>
        </w:rPr>
        <w:t>09 de diciembre 2012, portal universal)</w:t>
      </w:r>
    </w:p>
    <w:p w:rsidR="00A331A4" w:rsidRPr="00A331A4" w:rsidRDefault="00A331A4" w:rsidP="006A0C39">
      <w:pPr>
        <w:jc w:val="both"/>
        <w:rPr>
          <w:rFonts w:ascii="Arial" w:hAnsi="Arial" w:cs="Arial"/>
          <w:szCs w:val="20"/>
          <w:lang w:val="es-MX"/>
        </w:rPr>
      </w:pP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Y para ello se debe llenar un formato municipal donde se origina el problema a reportar y gestionar, pero el órgano no da respuesta alguna a excepto algunos municipios. (Portal de gobierno)</w:t>
      </w:r>
    </w:p>
    <w:p w:rsidR="006A0C39" w:rsidRPr="00A331A4" w:rsidRDefault="006A0C39" w:rsidP="006A0C39">
      <w:pPr>
        <w:rPr>
          <w:rFonts w:ascii="Arial" w:hAnsi="Arial" w:cs="Arial"/>
          <w:szCs w:val="20"/>
          <w:lang w:val="es-MX"/>
        </w:rPr>
      </w:pPr>
      <w:r w:rsidRPr="00A331A4">
        <w:rPr>
          <w:rFonts w:ascii="Arial" w:hAnsi="Arial" w:cs="Arial"/>
          <w:szCs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A331A4">
        <w:rPr>
          <w:rFonts w:ascii="Arial" w:hAnsi="Arial" w:cs="Arial"/>
          <w:color w:val="252525"/>
          <w:szCs w:val="20"/>
          <w:shd w:val="clear" w:color="auto" w:fill="FFFFFF"/>
          <w:lang w:val="es-MX"/>
        </w:rPr>
        <w:t xml:space="preserve">l </w:t>
      </w:r>
      <w:r w:rsidRPr="00A331A4">
        <w:rPr>
          <w:rFonts w:ascii="Arial" w:hAnsi="Arial" w:cs="Arial"/>
          <w:i/>
          <w:color w:val="252525"/>
          <w:szCs w:val="20"/>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A331A4">
        <w:rPr>
          <w:rFonts w:ascii="Arial" w:hAnsi="Arial" w:cs="Arial"/>
          <w:i/>
          <w:szCs w:val="20"/>
          <w:lang w:val="es-MX"/>
        </w:rPr>
        <w:t xml:space="preserve">.” </w:t>
      </w:r>
      <w:r w:rsidRPr="00A331A4">
        <w:rPr>
          <w:rFonts w:ascii="Arial" w:hAnsi="Arial" w:cs="Arial"/>
          <w:szCs w:val="20"/>
          <w:lang w:val="es-MX"/>
        </w:rPr>
        <w:t>(29 de octubre de 2004</w:t>
      </w:r>
      <w:r w:rsidRPr="00A331A4">
        <w:rPr>
          <w:rFonts w:ascii="Arial" w:hAnsi="Arial" w:cs="Arial"/>
          <w:color w:val="252525"/>
          <w:szCs w:val="20"/>
          <w:shd w:val="clear" w:color="auto" w:fill="DDEEFF"/>
          <w:lang w:val="es-MX"/>
        </w:rPr>
        <w:t xml:space="preserve"> </w:t>
      </w:r>
      <w:r w:rsidRPr="00A331A4">
        <w:rPr>
          <w:rFonts w:ascii="Arial" w:hAnsi="Arial" w:cs="Arial"/>
          <w:szCs w:val="20"/>
          <w:lang w:val="es-MX"/>
        </w:rPr>
        <w:t>Plan municipal de desarrollo urbano de Nezahualcóyotl.).</w:t>
      </w:r>
      <w:r w:rsidRPr="00A331A4">
        <w:rPr>
          <w:rFonts w:ascii="Arial" w:hAnsi="Arial" w:cs="Arial"/>
          <w:color w:val="252525"/>
          <w:szCs w:val="20"/>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331A4" w:rsidRDefault="006A0C39" w:rsidP="006A0C39">
      <w:pPr>
        <w:jc w:val="both"/>
        <w:rPr>
          <w:rFonts w:ascii="Arial" w:hAnsi="Arial" w:cs="Arial"/>
          <w:szCs w:val="20"/>
          <w:lang w:val="es-MX"/>
        </w:rPr>
        <w:sectPr w:rsidR="006A0C39" w:rsidRPr="00A331A4" w:rsidSect="00A331A4">
          <w:pgSz w:w="12240" w:h="15840"/>
          <w:pgMar w:top="851" w:right="900" w:bottom="426" w:left="1701" w:header="708" w:footer="708" w:gutter="0"/>
          <w:cols w:space="708"/>
          <w:docGrid w:linePitch="360"/>
        </w:sectPr>
      </w:pPr>
      <w:r w:rsidRPr="00A331A4">
        <w:rPr>
          <w:rFonts w:ascii="Arial" w:hAnsi="Arial" w:cs="Arial"/>
          <w:color w:val="252525"/>
          <w:szCs w:val="20"/>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A331A4">
        <w:rPr>
          <w:rFonts w:ascii="Arial" w:hAnsi="Arial" w:cs="Arial"/>
          <w:color w:val="5C6667"/>
          <w:szCs w:val="20"/>
          <w:shd w:val="clear" w:color="auto" w:fill="FFFFFF"/>
          <w:lang w:val="es-ES"/>
        </w:rPr>
        <w:t>Servicios que</w:t>
      </w:r>
      <w:r w:rsidRPr="00A331A4">
        <w:rPr>
          <w:rStyle w:val="apple-converted-space"/>
          <w:rFonts w:ascii="Arial" w:hAnsi="Arial" w:cs="Arial"/>
          <w:color w:val="5C6667"/>
          <w:szCs w:val="20"/>
          <w:shd w:val="clear" w:color="auto" w:fill="FFFFFF"/>
          <w:lang w:val="es-ES"/>
        </w:rPr>
        <w:t> </w:t>
      </w:r>
      <w:r w:rsidRPr="00A331A4">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A331A4">
        <w:rPr>
          <w:rStyle w:val="apple-converted-space"/>
          <w:rFonts w:ascii="Arial" w:hAnsi="Arial" w:cs="Arial"/>
          <w:color w:val="5C6667"/>
          <w:szCs w:val="20"/>
          <w:shd w:val="clear" w:color="auto" w:fill="FFFFFF"/>
          <w:lang w:val="es-MX"/>
        </w:rPr>
        <w:t> </w:t>
      </w:r>
      <w:r w:rsidRPr="00A331A4">
        <w:rPr>
          <w:rFonts w:ascii="Arial" w:hAnsi="Arial" w:cs="Arial"/>
          <w:color w:val="5C6667"/>
          <w:szCs w:val="20"/>
          <w:shd w:val="clear" w:color="auto" w:fill="FFFFFF"/>
          <w:lang w:val="es-MX"/>
        </w:rPr>
        <w:t>México ante las instancias correspondientes.</w:t>
      </w:r>
      <w:r w:rsidRPr="00A331A4">
        <w:rPr>
          <w:rFonts w:ascii="Arial" w:hAnsi="Arial" w:cs="Arial"/>
          <w:szCs w:val="20"/>
          <w:lang w:val="es-MX"/>
        </w:rPr>
        <w:t>” (Portal del gobierno)</w:t>
      </w:r>
    </w:p>
    <w:p w:rsidR="006A0C39" w:rsidRPr="00A331A4" w:rsidRDefault="006A0C39" w:rsidP="006A0C39">
      <w:pPr>
        <w:rPr>
          <w:rFonts w:ascii="Arial" w:hAnsi="Arial" w:cs="Arial"/>
          <w:b/>
          <w:lang w:val="es-MX"/>
        </w:rPr>
      </w:pPr>
      <w:r w:rsidRPr="00A331A4">
        <w:rPr>
          <w:rFonts w:ascii="Arial" w:hAnsi="Arial" w:cs="Arial"/>
          <w:b/>
          <w:lang w:val="es-MX"/>
        </w:rPr>
        <w:lastRenderedPageBreak/>
        <w:t>Viabilidad del proyecto ante dicha problemática.</w:t>
      </w:r>
    </w:p>
    <w:p w:rsidR="008C6038" w:rsidRPr="00A331A4" w:rsidRDefault="006A0C39" w:rsidP="006A0C39">
      <w:pPr>
        <w:tabs>
          <w:tab w:val="left" w:pos="4590"/>
        </w:tabs>
        <w:jc w:val="both"/>
        <w:rPr>
          <w:rFonts w:ascii="Arial" w:hAnsi="Arial" w:cs="Arial"/>
          <w:lang w:val="es-MX"/>
        </w:rPr>
      </w:pPr>
      <w:r w:rsidRPr="00A331A4">
        <w:rPr>
          <w:rFonts w:ascii="Arial" w:hAnsi="Arial" w:cs="Arial"/>
          <w:lang w:val="es-MX"/>
        </w:rPr>
        <w:t>Muchas empresas competitivas como trafictec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led ayudaría al problema de la carga eléctrica y contaminación que esta genera. (Empresa trafitec)</w:t>
      </w:r>
    </w:p>
    <w:p w:rsidR="008C6038" w:rsidRDefault="008C6038">
      <w:pPr>
        <w:spacing w:after="160" w:line="259" w:lineRule="auto"/>
        <w:rPr>
          <w:lang w:val="es-MX"/>
        </w:rPr>
      </w:pPr>
      <w:r>
        <w:rPr>
          <w:lang w:val="es-MX"/>
        </w:rPr>
        <w:br w:type="page"/>
      </w:r>
    </w:p>
    <w:p w:rsidR="008C6038" w:rsidRPr="00A331A4" w:rsidRDefault="008C6038" w:rsidP="008C6038">
      <w:pPr>
        <w:rPr>
          <w:rFonts w:ascii="Arial" w:hAnsi="Arial" w:cs="Arial"/>
          <w:b/>
          <w:u w:val="single"/>
          <w:lang w:val="es-MX"/>
        </w:rPr>
      </w:pPr>
      <w:r w:rsidRPr="00A331A4">
        <w:rPr>
          <w:rFonts w:ascii="Arial" w:hAnsi="Arial" w:cs="Arial"/>
          <w:b/>
          <w:u w:val="single"/>
          <w:lang w:val="es-MX"/>
        </w:rPr>
        <w:lastRenderedPageBreak/>
        <w:t>Marco teórico</w:t>
      </w: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INTRODUCCIÓN</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A331A4" w:rsidRDefault="008B39CA" w:rsidP="008B39CA">
      <w:pPr>
        <w:autoSpaceDE w:val="0"/>
        <w:autoSpaceDN w:val="0"/>
        <w:adjustRightInd w:val="0"/>
        <w:spacing w:after="0" w:line="240" w:lineRule="auto"/>
        <w:rPr>
          <w:rFonts w:ascii="Arial" w:hAnsi="Arial" w:cs="Arial"/>
          <w:lang w:val="es-MX"/>
        </w:rPr>
      </w:pP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 GENERAL</w:t>
      </w:r>
    </w:p>
    <w:p w:rsidR="009106A8"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Proponer una fuente de alimentación eléctrica, </w:t>
      </w:r>
      <w:r w:rsidR="009106A8" w:rsidRPr="00A331A4">
        <w:rPr>
          <w:rFonts w:ascii="Arial" w:hAnsi="Arial"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A331A4" w:rsidRDefault="008B39CA" w:rsidP="008B39CA">
      <w:pPr>
        <w:autoSpaceDE w:val="0"/>
        <w:autoSpaceDN w:val="0"/>
        <w:adjustRightInd w:val="0"/>
        <w:spacing w:after="0" w:line="240" w:lineRule="auto"/>
        <w:rPr>
          <w:rFonts w:ascii="Arial" w:hAnsi="Arial" w:cs="Arial"/>
          <w:lang w:val="es-MX"/>
        </w:rPr>
      </w:pPr>
      <w:r w:rsidRPr="00A331A4">
        <w:rPr>
          <w:rFonts w:ascii="Arial" w:hAnsi="Arial" w:cs="Arial"/>
          <w:b/>
          <w:bCs/>
          <w:lang w:val="es-MX"/>
        </w:rPr>
        <w:t>OBJETIVOS ESPECÍFICOS</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Realizar un estudio de tiempos en los semáforos de la población</w:t>
      </w:r>
      <w:r w:rsidR="009106A8" w:rsidRPr="00A331A4">
        <w:rPr>
          <w:rFonts w:ascii="Arial" w:hAnsi="Arial" w:cs="Arial"/>
          <w:lang w:val="es-MX"/>
        </w:rPr>
        <w:t xml:space="preserve"> </w:t>
      </w:r>
      <w:r w:rsidR="008B39CA" w:rsidRPr="00A331A4">
        <w:rPr>
          <w:rFonts w:ascii="Arial" w:hAnsi="Arial" w:cs="Arial"/>
          <w:lang w:val="es-MX"/>
        </w:rPr>
        <w:t>objetivo, mediante el uso de la estadística descriptiva, de tal manera que</w:t>
      </w:r>
      <w:r w:rsidR="009106A8" w:rsidRPr="00A331A4">
        <w:rPr>
          <w:rFonts w:ascii="Arial" w:hAnsi="Arial" w:cs="Arial"/>
          <w:lang w:val="es-MX"/>
        </w:rPr>
        <w:t xml:space="preserve"> </w:t>
      </w:r>
      <w:r w:rsidR="008B39CA" w:rsidRPr="00A331A4">
        <w:rPr>
          <w:rFonts w:ascii="Arial" w:hAnsi="Arial" w:cs="Arial"/>
          <w:lang w:val="es-MX"/>
        </w:rPr>
        <w:t>se pueda diagnosticar la situación actual de dicha población respecto al</w:t>
      </w:r>
      <w:r w:rsidR="009106A8" w:rsidRPr="00A331A4">
        <w:rPr>
          <w:rFonts w:ascii="Arial" w:hAnsi="Arial" w:cs="Arial"/>
          <w:lang w:val="es-MX"/>
        </w:rPr>
        <w:t xml:space="preserve"> </w:t>
      </w:r>
      <w:r w:rsidR="008B39CA" w:rsidRPr="00A331A4">
        <w:rPr>
          <w:rFonts w:ascii="Arial" w:hAnsi="Arial" w:cs="Arial"/>
          <w:lang w:val="es-MX"/>
        </w:rPr>
        <w:t>flujo vehicular.</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Utilizar las herramientas estadísticas de la teoría de colas para analizar</w:t>
      </w:r>
      <w:r w:rsidR="009106A8" w:rsidRPr="00A331A4">
        <w:rPr>
          <w:rFonts w:ascii="Arial" w:hAnsi="Arial" w:cs="Arial"/>
          <w:lang w:val="es-MX"/>
        </w:rPr>
        <w:t xml:space="preserve"> </w:t>
      </w:r>
      <w:r w:rsidR="008B39CA" w:rsidRPr="00A331A4">
        <w:rPr>
          <w:rFonts w:ascii="Arial" w:hAnsi="Arial" w:cs="Arial"/>
          <w:lang w:val="es-MX"/>
        </w:rPr>
        <w:t>la situación del flujo vehicular en el sistema previamente definido.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Desarrollar un modelo de simulación que represente la situación de la</w:t>
      </w:r>
      <w:r w:rsidR="009106A8" w:rsidRPr="00A331A4">
        <w:rPr>
          <w:rFonts w:ascii="Arial" w:hAnsi="Arial" w:cs="Arial"/>
          <w:lang w:val="es-MX"/>
        </w:rPr>
        <w:t xml:space="preserve"> </w:t>
      </w:r>
      <w:r w:rsidR="008B39CA" w:rsidRPr="00A331A4">
        <w:rPr>
          <w:rFonts w:ascii="Arial" w:hAnsi="Arial" w:cs="Arial"/>
          <w:lang w:val="es-MX"/>
        </w:rPr>
        <w:t>población objetivo.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Validar el modelo de simulación a través del análisis estadístico</w:t>
      </w:r>
      <w:r w:rsidR="009106A8" w:rsidRPr="00A331A4">
        <w:rPr>
          <w:rFonts w:ascii="Arial" w:hAnsi="Arial" w:cs="Arial"/>
          <w:lang w:val="es-MX"/>
        </w:rPr>
        <w:t xml:space="preserve"> </w:t>
      </w:r>
      <w:r w:rsidR="008B39CA" w:rsidRPr="00A331A4">
        <w:rPr>
          <w:rFonts w:ascii="Arial" w:hAnsi="Arial" w:cs="Arial"/>
          <w:lang w:val="es-MX"/>
        </w:rPr>
        <w:t>descriptivo desarrollado, para así, proponer una combinación de buena</w:t>
      </w:r>
      <w:r w:rsidR="009106A8" w:rsidRPr="00A331A4">
        <w:rPr>
          <w:rFonts w:ascii="Arial" w:hAnsi="Arial" w:cs="Arial"/>
          <w:lang w:val="es-MX"/>
        </w:rPr>
        <w:t xml:space="preserve"> </w:t>
      </w:r>
      <w:r w:rsidR="008B39CA" w:rsidRPr="00A331A4">
        <w:rPr>
          <w:rFonts w:ascii="Arial" w:hAnsi="Arial" w:cs="Arial"/>
          <w:lang w:val="es-MX"/>
        </w:rPr>
        <w:t>calidad en los tiempos de los semáforos en pro de mejorar el flujo vial en</w:t>
      </w:r>
      <w:r w:rsidR="009106A8" w:rsidRPr="00A331A4">
        <w:rPr>
          <w:rFonts w:ascii="Arial" w:hAnsi="Arial" w:cs="Arial"/>
          <w:lang w:val="es-MX"/>
        </w:rPr>
        <w:t xml:space="preserve"> </w:t>
      </w:r>
      <w:r w:rsidR="008B39CA" w:rsidRPr="00A331A4">
        <w:rPr>
          <w:rFonts w:ascii="Arial" w:hAnsi="Arial" w:cs="Arial"/>
          <w:lang w:val="es-MX"/>
        </w:rPr>
        <w:t>la población objetivo.</w:t>
      </w:r>
    </w:p>
    <w:p w:rsidR="009106A8" w:rsidRPr="00A331A4" w:rsidRDefault="009106A8" w:rsidP="008B39CA">
      <w:pPr>
        <w:autoSpaceDE w:val="0"/>
        <w:autoSpaceDN w:val="0"/>
        <w:adjustRightInd w:val="0"/>
        <w:spacing w:after="0" w:line="240" w:lineRule="auto"/>
        <w:rPr>
          <w:rFonts w:ascii="Arial" w:hAnsi="Arial" w:cs="Arial"/>
          <w:lang w:val="es-MX"/>
        </w:rPr>
      </w:pPr>
    </w:p>
    <w:p w:rsidR="009106A8" w:rsidRPr="00A331A4" w:rsidRDefault="008C6038" w:rsidP="008C6038">
      <w:pPr>
        <w:rPr>
          <w:rFonts w:ascii="Arial" w:hAnsi="Arial" w:cs="Arial"/>
          <w:b/>
          <w:lang w:val="es-MX"/>
        </w:rPr>
      </w:pPr>
      <w:r w:rsidRPr="00A331A4">
        <w:rPr>
          <w:rFonts w:ascii="Arial" w:hAnsi="Arial" w:cs="Arial"/>
          <w:b/>
          <w:lang w:val="es-MX"/>
        </w:rPr>
        <w:t>Teorías</w:t>
      </w:r>
      <w:r w:rsidR="009106A8" w:rsidRPr="00A331A4">
        <w:rPr>
          <w:rFonts w:ascii="Arial" w:hAnsi="Arial" w:cs="Arial"/>
          <w:b/>
          <w:lang w:val="es-MX"/>
        </w:rPr>
        <w:t>.</w:t>
      </w:r>
    </w:p>
    <w:p w:rsidR="009106A8" w:rsidRPr="00A331A4" w:rsidRDefault="009106A8"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coordinación del tráfico en las intersecciones ha sido un tema muy estudiado y discutido. Este documento presenta una adaptación de los semáforos que se basan en un sistema inalámbrico de comunicación, entre los vehículos y los 17 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A331A4" w:rsidRDefault="009106A8" w:rsidP="009106A8">
      <w:pPr>
        <w:rPr>
          <w:rFonts w:ascii="Arial" w:hAnsi="Arial" w:cs="Arial"/>
          <w:lang w:val="es-MX"/>
        </w:rPr>
      </w:pPr>
      <w:r w:rsidRPr="00A331A4">
        <w:rPr>
          <w:rFonts w:ascii="Arial" w:hAnsi="Arial" w:cs="Arial"/>
          <w:bCs/>
          <w:u w:val="single"/>
          <w:lang w:val="es-MX"/>
        </w:rPr>
        <w:t>Comunicación entre semáforos y vehículos con red inalámbrica.</w:t>
      </w:r>
      <w:r w:rsidRPr="00A331A4">
        <w:rPr>
          <w:rFonts w:ascii="Arial" w:hAnsi="Arial" w:cs="Arial"/>
          <w:noProof/>
          <w:lang w:val="es-MX" w:eastAsia="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A331A4" w:rsidRDefault="00BC78F1" w:rsidP="009106A8">
      <w:pPr>
        <w:autoSpaceDE w:val="0"/>
        <w:autoSpaceDN w:val="0"/>
        <w:adjustRightInd w:val="0"/>
        <w:spacing w:after="0" w:line="240" w:lineRule="auto"/>
        <w:rPr>
          <w:rFonts w:ascii="Arial" w:hAnsi="Arial" w:cs="Arial"/>
          <w:b/>
          <w:bCs/>
          <w:lang w:val="es-MX"/>
        </w:rPr>
      </w:pPr>
      <w:r w:rsidRPr="00A331A4">
        <w:rPr>
          <w:rFonts w:ascii="Arial" w:hAnsi="Arial"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A331A4" w:rsidRDefault="009106A8" w:rsidP="009106A8">
      <w:pPr>
        <w:autoSpaceDE w:val="0"/>
        <w:autoSpaceDN w:val="0"/>
        <w:adjustRightInd w:val="0"/>
        <w:spacing w:after="0" w:line="240" w:lineRule="auto"/>
        <w:rPr>
          <w:rFonts w:ascii="Arial" w:hAnsi="Arial" w:cs="Arial"/>
          <w:b/>
          <w:bCs/>
          <w:i/>
          <w:iCs/>
          <w:lang w:val="es-MX"/>
        </w:rPr>
      </w:pPr>
      <w:r w:rsidRPr="00A331A4">
        <w:rPr>
          <w:rFonts w:ascii="Arial" w:hAnsi="Arial" w:cs="Arial"/>
          <w:lang w:val="es-MX"/>
        </w:rPr>
        <w:t>De donde</w:t>
      </w:r>
      <w:r w:rsidRPr="00A331A4">
        <w:rPr>
          <w:rFonts w:ascii="Arial" w:hAnsi="Arial" w:cs="Arial"/>
          <w:b/>
          <w:bCs/>
          <w:i/>
          <w:iCs/>
          <w:lang w:val="es-MX"/>
        </w:rPr>
        <w:t>:</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Co: </w:t>
      </w:r>
      <w:r w:rsidRPr="00A331A4">
        <w:rPr>
          <w:rFonts w:ascii="Arial" w:hAnsi="Arial" w:cs="Arial"/>
          <w:lang w:val="es-MX"/>
        </w:rPr>
        <w:t>es la duración del ciclo óptimo.</w:t>
      </w:r>
      <w:r w:rsidR="007F0B1B" w:rsidRPr="00A331A4">
        <w:rPr>
          <w:rFonts w:ascii="Arial" w:hAnsi="Arial" w:cs="Arial"/>
          <w:lang w:val="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L: </w:t>
      </w:r>
      <w:r w:rsidRPr="00A331A4">
        <w:rPr>
          <w:rFonts w:ascii="Arial" w:hAnsi="Arial" w:cs="Arial"/>
          <w:lang w:val="es-MX"/>
        </w:rPr>
        <w:t>es la suma de los tiempos perdidos para todas las fases. (Tiempos de amarillo</w:t>
      </w:r>
      <w:r w:rsidR="007F0B1B" w:rsidRPr="00A331A4">
        <w:rPr>
          <w:rFonts w:ascii="Arial" w:hAnsi="Arial" w:cs="Arial"/>
          <w:lang w:val="es-MX"/>
        </w:rPr>
        <w:t xml:space="preserve"> </w:t>
      </w:r>
      <w:r w:rsidRPr="00A331A4">
        <w:rPr>
          <w:rFonts w:ascii="Arial" w:hAnsi="Arial" w:cs="Arial"/>
          <w:lang w:val="es-MX"/>
        </w:rPr>
        <w:t>y rojo).</w:t>
      </w:r>
    </w:p>
    <w:p w:rsidR="00BC78F1" w:rsidRPr="00A331A4" w:rsidRDefault="009106A8" w:rsidP="007F0B1B">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n: </w:t>
      </w:r>
      <w:r w:rsidRPr="00A331A4">
        <w:rPr>
          <w:rFonts w:ascii="Arial" w:hAnsi="Arial" w:cs="Arial"/>
          <w:lang w:val="es-MX"/>
        </w:rPr>
        <w:t xml:space="preserve">es el número de los grupos de carriles críticos. Un grupo de carril </w:t>
      </w:r>
      <w:r w:rsidR="00BC78F1" w:rsidRPr="00A331A4">
        <w:rPr>
          <w:rFonts w:ascii="Arial" w:hAnsi="Arial" w:cs="Arial"/>
          <w:lang w:val="es-MX"/>
        </w:rPr>
        <w:t>crítico</w:t>
      </w:r>
      <w:r w:rsidRPr="00A331A4">
        <w:rPr>
          <w:rFonts w:ascii="Arial" w:hAnsi="Arial" w:cs="Arial"/>
          <w:lang w:val="es-MX"/>
        </w:rPr>
        <w:t xml:space="preserve"> es un</w:t>
      </w:r>
      <w:r w:rsidR="007F0B1B" w:rsidRPr="00A331A4">
        <w:rPr>
          <w:rFonts w:ascii="Arial" w:hAnsi="Arial" w:cs="Arial"/>
          <w:lang w:val="es-MX"/>
        </w:rPr>
        <w:t xml:space="preserve"> </w:t>
      </w:r>
      <w:r w:rsidRPr="00A331A4">
        <w:rPr>
          <w:rFonts w:ascii="Arial" w:hAnsi="Arial" w:cs="Arial"/>
          <w:lang w:val="es-MX"/>
        </w:rPr>
        <w:t>grupo de movimientos que pueden entrar a la intersección al mismo tiempo.</w:t>
      </w:r>
      <w:r w:rsidR="008C6038" w:rsidRPr="00A331A4">
        <w:rPr>
          <w:rFonts w:ascii="Arial" w:hAnsi="Arial" w:cs="Arial"/>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noProof/>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1A4">
        <w:rPr>
          <w:rFonts w:ascii="Arial" w:hAnsi="Arial" w:cs="Arial"/>
          <w:lang w:val="es-MX"/>
        </w:rPr>
        <w:t xml:space="preserve">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 </w:t>
      </w:r>
    </w:p>
    <w:p w:rsidR="00BC78F1" w:rsidRPr="00A331A4" w:rsidRDefault="00BC78F1" w:rsidP="00BC78F1">
      <w:pPr>
        <w:autoSpaceDE w:val="0"/>
        <w:autoSpaceDN w:val="0"/>
        <w:adjustRightInd w:val="0"/>
        <w:spacing w:after="0" w:line="240" w:lineRule="auto"/>
        <w:rPr>
          <w:rFonts w:ascii="Arial" w:hAnsi="Arial" w:cs="Arial"/>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lang w:val="es-MX"/>
        </w:rPr>
        <w:t>De donde:</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G: </w:t>
      </w:r>
      <w:r w:rsidRPr="00A331A4">
        <w:rPr>
          <w:rFonts w:ascii="Arial" w:hAnsi="Arial" w:cs="Arial"/>
          <w:lang w:val="es-MX"/>
        </w:rPr>
        <w:t>es el tiempo de la fase de verde i.</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C: </w:t>
      </w:r>
      <w:r w:rsidRPr="00A331A4">
        <w:rPr>
          <w:rFonts w:ascii="Arial" w:hAnsi="Arial" w:cs="Arial"/>
          <w:lang w:val="es-MX"/>
        </w:rPr>
        <w:t>es la duración del ciclo.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L: </w:t>
      </w:r>
      <w:r w:rsidRPr="00A331A4">
        <w:rPr>
          <w:rFonts w:ascii="Arial" w:hAnsi="Arial" w:cs="Arial"/>
          <w:lang w:val="es-MX"/>
        </w:rPr>
        <w:t>el tiempo total perdido.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vi/si: </w:t>
      </w:r>
      <w:r w:rsidRPr="00A331A4">
        <w:rPr>
          <w:rFonts w:ascii="Arial" w:hAnsi="Arial" w:cs="Arial"/>
          <w:lang w:val="es-MX"/>
        </w:rPr>
        <w:t>proporción de volumen crítico para el flujo de saturación del movimiento de la fase i.</w:t>
      </w:r>
    </w:p>
    <w:p w:rsidR="00BC78F1" w:rsidRPr="00A331A4" w:rsidRDefault="00BC78F1" w:rsidP="007F0B1B">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En este artículo se hace uso de algunos programas de simulación que son</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Nombrados a continuación:</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The Network Simulator - ns-2 - www.isi.edu/nsnam/ns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JiST / SWANS simulator - jist.ece.cornell.edu/index.html</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“Simulation des Straßenverkehrsflusses,” Schriftenreihe des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Instituts für Verkehrswesen der Universität Karlsruhe, Heft 8 (1974).</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“Modeling of RTI-Elements on multi-lane roads”. In: Advanced</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Telematics in Road Transport edited by the Commission of the European</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Community, DG XIII, Brussels (1991).</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 xml:space="preserve">VISSIM - </w:t>
      </w:r>
      <w:hyperlink r:id="rId7" w:history="1">
        <w:r w:rsidRPr="00A331A4">
          <w:rPr>
            <w:rStyle w:val="Hipervnculo"/>
            <w:rFonts w:ascii="Arial" w:hAnsi="Arial" w:cs="Arial"/>
          </w:rPr>
          <w:t>www.english.ptv.de/cgi-bin/traffic/traf_vissim.pl</w:t>
        </w:r>
      </w:hyperlink>
    </w:p>
    <w:p w:rsidR="00D65144" w:rsidRPr="00A331A4" w:rsidRDefault="00D65144" w:rsidP="009A1025">
      <w:pPr>
        <w:autoSpaceDE w:val="0"/>
        <w:autoSpaceDN w:val="0"/>
        <w:adjustRightInd w:val="0"/>
        <w:spacing w:after="0" w:line="240" w:lineRule="auto"/>
        <w:rPr>
          <w:rFonts w:ascii="Arial" w:hAnsi="Arial" w:cs="Arial"/>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TEORIA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de una técnica basada en la Investigación de operaciones para solucionar problemas que se presentan en las situaciones en las cuales se forman turnos de espera o colas para la prestación de un servicio o ejecución de un trabajo.</w:t>
      </w:r>
    </w:p>
    <w:p w:rsidR="00D65144" w:rsidRPr="00A331A4" w:rsidRDefault="00D65144" w:rsidP="00D6514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Pr="00A331A4" w:rsidRDefault="00D65144" w:rsidP="00D65144">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Breve reseña histórica de la Teoría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En el año de 1909 Agner Krarup Erlang4 analizó la congestión de tráfico telefónico con el objetivo de cumplir la demanda incierta de servicios en el sistema telefónico de Copenhague. Sus investigaciones acabaron en una nueva teoría llamada </w:t>
      </w:r>
      <w:r w:rsidRPr="00A331A4">
        <w:rPr>
          <w:rFonts w:ascii="Arial" w:hAnsi="Arial" w:cs="Arial"/>
          <w:b/>
          <w:bCs/>
          <w:lang w:val="es-MX"/>
        </w:rPr>
        <w:t xml:space="preserve">Teoría de colas </w:t>
      </w:r>
      <w:r w:rsidRPr="00A331A4">
        <w:rPr>
          <w:rFonts w:ascii="Arial" w:hAnsi="Arial" w:cs="Arial"/>
          <w:lang w:val="es-MX"/>
        </w:rPr>
        <w:t>o de líneas de espera.</w:t>
      </w:r>
    </w:p>
    <w:p w:rsidR="009A1025" w:rsidRPr="00A331A4" w:rsidRDefault="009A1025" w:rsidP="009A1025">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szCs w:val="23"/>
          <w:lang w:val="es-MX"/>
        </w:rPr>
      </w:pPr>
      <w:r w:rsidRPr="00A331A4">
        <w:rPr>
          <w:rFonts w:ascii="Arial" w:hAnsi="Arial" w:cs="Arial"/>
          <w:b/>
          <w:bCs/>
          <w:szCs w:val="23"/>
          <w:lang w:val="es-MX"/>
        </w:rPr>
        <w:t>Conceptos básicos Teoría de Colas</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Para empezar a tener claro el concepto de teoría de colas es necesario definir algunos conceptos, que permitirán entender la teoría de colas para evitar cualquier tipo de confusión.</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Clientes: </w:t>
      </w:r>
      <w:r w:rsidRPr="00A331A4">
        <w:rPr>
          <w:rFonts w:ascii="Arial" w:hAnsi="Arial" w:cs="Arial"/>
          <w:szCs w:val="23"/>
          <w:lang w:val="es-MX"/>
        </w:rPr>
        <w:t>Término usado en un sistema de colas para referirse a: Carros esperando en un semáforo, máquinas que esperan ser reparadas, aviones esperando aterrizar.</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Llegadas: </w:t>
      </w:r>
      <w:r w:rsidRPr="00A331A4">
        <w:rPr>
          <w:rFonts w:ascii="Arial" w:hAnsi="Arial" w:cs="Arial"/>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número esperado de llegadas por unidad de tiempo se llama tasa media de llegadas ().</w:t>
      </w:r>
    </w:p>
    <w:p w:rsidR="00D65144" w:rsidRPr="00A331A4" w:rsidRDefault="00D65144" w:rsidP="00D65144">
      <w:pPr>
        <w:autoSpaceDE w:val="0"/>
        <w:autoSpaceDN w:val="0"/>
        <w:adjustRightInd w:val="0"/>
        <w:spacing w:after="0" w:line="240" w:lineRule="auto"/>
        <w:rPr>
          <w:rFonts w:ascii="Arial" w:hAnsi="Arial" w:cs="Arial"/>
          <w:szCs w:val="23"/>
          <w:lang w:val="es-MX"/>
        </w:rPr>
      </w:pP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tiempo esperado entre llegadas es 1/, por ejemplo, si la tasa media de llegadas es = 20 clientes por hora, entonces el tiempo esperado entre llegadas es 1/= 1/20 = 0.05 horas o 3 minutos. Además es necesario estimar la distribución de probabilidad de los tiempos entre llegadas, generalmente se supone una distribución exponencial pero esto depende del comportamiento de las llegadas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Tasa de Servicio: </w:t>
      </w:r>
      <w:r w:rsidRPr="00A331A4">
        <w:rPr>
          <w:rFonts w:ascii="Arial" w:hAnsi="Arial" w:cs="Arial"/>
          <w:lang w:val="es-MX"/>
        </w:rPr>
        <w:t>Este término se usa para designar la capacidad de servicio, el servicio puede ser brindado por un servidor o por servidores múltiples. El tiempo de servicio varía de cliente a cliente, el tiempo esperado de servicio depende de la tasa media de servicio () y equivale a 1/, por ejemplo, si la tasa media de servicio es de 25 clientes por hora, entonces el tiempo esperado de servicio es 1/= 1/25 = 0.04 horas, o 2.4 minutos. Es necesario seleccionar una distribución de probabilidad para los tiempos de servicio. En los cuales hay dos distribuciones que representarían puntos extremos:</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La distribución exponencial (=media)</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Tiempos de servicio constantes (=0)</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Una distribución intermedia es la distribución Erlang, esta distribución posee un parámetro de forma </w:t>
      </w:r>
      <w:r w:rsidRPr="00A331A4">
        <w:rPr>
          <w:rFonts w:ascii="Arial" w:hAnsi="Arial" w:cs="Arial"/>
          <w:i/>
          <w:iCs/>
          <w:lang w:val="es-MX"/>
        </w:rPr>
        <w:t xml:space="preserve">k </w:t>
      </w:r>
      <w:r w:rsidRPr="00A331A4">
        <w:rPr>
          <w:rFonts w:ascii="Arial" w:hAnsi="Arial" w:cs="Arial"/>
          <w:lang w:val="es-MX"/>
        </w:rPr>
        <w:t>que determina su desviación estándar:</w:t>
      </w:r>
    </w:p>
    <w:p w:rsidR="00D65144" w:rsidRPr="00A331A4" w:rsidRDefault="00D65144" w:rsidP="00D65144">
      <w:pPr>
        <w:autoSpaceDE w:val="0"/>
        <w:autoSpaceDN w:val="0"/>
        <w:adjustRightInd w:val="0"/>
        <w:spacing w:after="0" w:line="240" w:lineRule="auto"/>
        <w:rPr>
          <w:rFonts w:ascii="Arial" w:hAnsi="Arial" w:cs="Arial"/>
          <w:b/>
          <w:bCs/>
          <w:lang w:val="es-MX"/>
        </w:rPr>
      </w:pP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1, entonces la distribución Erlang es igual a la exponencial.</w:t>
      </w:r>
    </w:p>
    <w:p w:rsidR="00BC78F1"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 entonces la distribución Erlang es igual a la distribución degenerada con tiempos constantes.</w:t>
      </w: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Número de servidores de servicio:</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Es la cantidad de servidores de que disponemos. El número de servidores no tiene porqué ser siempre en paralelo, es decir, puede que un sistema de colas tenga varias fases.</w:t>
      </w:r>
    </w:p>
    <w:p w:rsidR="008E1B70" w:rsidRPr="00A331A4" w:rsidRDefault="008E1B70" w:rsidP="008E1B70">
      <w:pPr>
        <w:autoSpaceDE w:val="0"/>
        <w:autoSpaceDN w:val="0"/>
        <w:adjustRightInd w:val="0"/>
        <w:spacing w:after="0" w:line="240" w:lineRule="auto"/>
        <w:rPr>
          <w:rFonts w:ascii="Arial" w:hAnsi="Arial" w:cs="Arial"/>
          <w:b/>
          <w:bCs/>
          <w:lang w:val="es-MX"/>
        </w:rPr>
      </w:pP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y fases</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Fases Ejemplos típicos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Una Kiosco de prensa con un empleado</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Varias Lavado / secado de coches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Una Oficina bancaria con varios cajeros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Varias Centro de servicios radiológicos de hospital.</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Objetivos de las Teorías de Colas</w:t>
      </w:r>
    </w:p>
    <w:p w:rsidR="008E1B70" w:rsidRPr="00A331A4" w:rsidRDefault="008E1B70"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Los objetivos de la Teoría de Colas consisten en:</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Identificar el nivel óptimo de capacidad del sistema que minimiza el costo global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Evaluar el impacto que las posibles alternativas de modificación de la capacidad del sistema tendrían en el costo total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lastRenderedPageBreak/>
        <w:t>En teoría de líneas de espera o de colas se utilizan tres distribuciones de probabilidad bastante comunes, estas se mencionan a continuación:</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Markov</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Deterministico</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General</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distribución de Markov, en honor al matemático A. A. Markov quien identifico los eventos "sin memoria", se utiliza para describir ocurrencias aleatorias, es decir, aquellas de las que puede decirse que carecen de memoria acerca de los eventos pasados.</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Pr="00A331A4" w:rsidRDefault="000964FC" w:rsidP="000964FC">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A/B/C</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En donde</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A = se sustituye por la letra que denote la distribución de llegada.</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B = se sustituye por la letra que denote la distribución de servicio.</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C = se sustituye por el entero positivo que denote el número de canales de servicio.</w:t>
      </w:r>
    </w:p>
    <w:p w:rsidR="00B242EA" w:rsidRPr="00A331A4" w:rsidRDefault="00B242EA" w:rsidP="00B242EA">
      <w:pPr>
        <w:autoSpaceDE w:val="0"/>
        <w:autoSpaceDN w:val="0"/>
        <w:adjustRightInd w:val="0"/>
        <w:spacing w:after="0" w:line="240" w:lineRule="auto"/>
        <w:rPr>
          <w:rFonts w:ascii="Arial" w:hAnsi="Arial" w:cs="Arial"/>
          <w:lang w:val="es-MX"/>
        </w:rPr>
      </w:pP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“Llegadas” indican cada cuanto y en qué cantidad llegan nuevas entidades al sistema, esto con el fin de alimentar el sistema y activar su procesamiento.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 “Recurso” es un operario, o una máquina que sirve para transportar, realizar operaciones puntuales, mantenimientos o asistencias complementarias para el procesamiento de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Una “Red de Rutas” se utiliza básicamente para construir caminos fijos por los cuales se mueven los recursos (operarios, maquinas, etc.) para transportar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B242EA" w:rsidRDefault="00B242EA" w:rsidP="000964FC">
      <w:pPr>
        <w:autoSpaceDE w:val="0"/>
        <w:autoSpaceDN w:val="0"/>
        <w:adjustRightInd w:val="0"/>
        <w:spacing w:after="0" w:line="240" w:lineRule="auto"/>
        <w:rPr>
          <w:b/>
          <w:lang w:val="es-MX"/>
        </w:rPr>
      </w:pPr>
    </w:p>
    <w:p w:rsidR="009A1025" w:rsidRPr="00A331A4" w:rsidRDefault="00A331A4" w:rsidP="009A1025">
      <w:pPr>
        <w:autoSpaceDE w:val="0"/>
        <w:autoSpaceDN w:val="0"/>
        <w:adjustRightInd w:val="0"/>
        <w:spacing w:after="0" w:line="240" w:lineRule="auto"/>
        <w:rPr>
          <w:rFonts w:ascii="Arial" w:hAnsi="Arial" w:cs="Arial"/>
          <w:lang w:val="es-MX"/>
        </w:rPr>
      </w:pPr>
      <w:r w:rsidRPr="00A331A4">
        <w:rPr>
          <w:rFonts w:ascii="Arial" w:hAnsi="Arial" w:cs="Arial"/>
          <w:b/>
          <w:lang w:val="es-MX"/>
        </w:rPr>
        <w:t>CONCEPTOS Y CONOCIMIENTOS</w:t>
      </w:r>
      <w:r w:rsidRPr="00A331A4">
        <w:rPr>
          <w:rFonts w:ascii="Arial" w:hAnsi="Arial" w:cs="Arial"/>
          <w:b/>
          <w:lang w:val="es-MX"/>
        </w:rPr>
        <w:br/>
      </w:r>
    </w:p>
    <w:p w:rsidR="009A1025" w:rsidRPr="00A331A4" w:rsidRDefault="009A1025" w:rsidP="009A1025">
      <w:pPr>
        <w:autoSpaceDE w:val="0"/>
        <w:autoSpaceDN w:val="0"/>
        <w:adjustRightInd w:val="0"/>
        <w:spacing w:after="0" w:line="240" w:lineRule="auto"/>
        <w:rPr>
          <w:rFonts w:ascii="Arial" w:hAnsi="Arial" w:cs="Arial"/>
          <w:u w:val="single"/>
          <w:lang w:val="es-MX"/>
        </w:rPr>
      </w:pPr>
      <w:r w:rsidRPr="00A331A4">
        <w:rPr>
          <w:rFonts w:ascii="Arial" w:hAnsi="Arial" w:cs="Arial"/>
          <w:u w:val="single"/>
          <w:lang w:val="es-MX"/>
        </w:rPr>
        <w:t>Coordinación de semáforos.</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 xml:space="preserve">Sistemas de coordinación: </w:t>
      </w:r>
      <w:r w:rsidRPr="00A331A4">
        <w:rPr>
          <w:rFonts w:ascii="Arial" w:hAnsi="Arial" w:cs="Arial"/>
          <w:lang w:val="es-MX"/>
        </w:rPr>
        <w:t>Los sistemas coordinados pueden, o no, estar sujetos a un control maestro. En general, los semáforos de tiempo fijo dentro de un radio de 400 metros y que regulan las mismas condiciones de tránsito, deben funcionar coordinadamente. Existen cuatro sistemas de coordinación de semáforos de tiempo fijo, a saber:</w:t>
      </w:r>
    </w:p>
    <w:p w:rsidR="009A1025" w:rsidRPr="00A331A4" w:rsidRDefault="009A1025" w:rsidP="009A1025">
      <w:pPr>
        <w:autoSpaceDE w:val="0"/>
        <w:autoSpaceDN w:val="0"/>
        <w:adjustRightInd w:val="0"/>
        <w:spacing w:after="0" w:line="240" w:lineRule="auto"/>
        <w:jc w:val="both"/>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Sistema simultáneo: </w:t>
      </w:r>
      <w:r w:rsidRPr="00A331A4">
        <w:rPr>
          <w:rFonts w:ascii="Arial" w:hAnsi="Arial" w:cs="Arial"/>
          <w:lang w:val="es-MX"/>
        </w:rPr>
        <w:t>Todos los semáforos muestran la misma indicación aproximadamente al mismo tiempo, útil para coordinar intersecciones muy cercanas. La relación entre la velocidad, ciclo y distancia, puede expresarse así:</w:t>
      </w:r>
    </w:p>
    <w:p w:rsidR="009A1025" w:rsidRPr="00A331A4" w:rsidRDefault="00A331A4" w:rsidP="009A1025">
      <w:pPr>
        <w:autoSpaceDE w:val="0"/>
        <w:autoSpaceDN w:val="0"/>
        <w:adjustRightInd w:val="0"/>
        <w:spacing w:after="0" w:line="240" w:lineRule="auto"/>
        <w:rPr>
          <w:rFonts w:ascii="Arial" w:hAnsi="Arial" w:cs="Arial"/>
          <w:noProof/>
          <w:lang w:val="es-MX" w:eastAsia="es-MX"/>
        </w:rPr>
      </w:pPr>
      <w:r w:rsidRPr="00A331A4">
        <w:rPr>
          <w:rFonts w:ascii="Arial" w:hAnsi="Arial" w:cs="Arial"/>
          <w:noProof/>
          <w:lang w:val="es-MX"/>
        </w:rPr>
        <mc:AlternateContent>
          <mc:Choice Requires="wps">
            <w:drawing>
              <wp:anchor distT="45720" distB="45720" distL="114300" distR="114300" simplePos="0" relativeHeight="251661312" behindDoc="0" locked="0" layoutInCell="1" allowOverlap="1" wp14:anchorId="0870397E" wp14:editId="545A3C2A">
                <wp:simplePos x="0" y="0"/>
                <wp:positionH relativeFrom="column">
                  <wp:posOffset>2272665</wp:posOffset>
                </wp:positionH>
                <wp:positionV relativeFrom="paragraph">
                  <wp:posOffset>6985</wp:posOffset>
                </wp:positionV>
                <wp:extent cx="3705225" cy="9334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33450"/>
                        </a:xfrm>
                        <a:prstGeom prst="rect">
                          <a:avLst/>
                        </a:prstGeom>
                        <a:solidFill>
                          <a:srgbClr val="FFFFFF"/>
                        </a:solidFill>
                        <a:ln w="9525">
                          <a:solidFill>
                            <a:srgbClr val="000000"/>
                          </a:solidFill>
                          <a:miter lim="800000"/>
                          <a:headEnd/>
                          <a:tailEnd/>
                        </a:ln>
                      </wps:spPr>
                      <wps:txb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397E" id="_x0000_t202" coordsize="21600,21600" o:spt="202" path="m,l,21600r21600,l21600,xe">
                <v:stroke joinstyle="miter"/>
                <v:path gradientshapeok="t" o:connecttype="rect"/>
              </v:shapetype>
              <v:shape id="Cuadro de texto 2" o:spid="_x0000_s1026" type="#_x0000_t202" style="position:absolute;margin-left:178.95pt;margin-top:.55pt;width:291.75pt;height: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">
                <v:textbo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v:textbox>
                <w10:wrap type="square"/>
              </v:shape>
            </w:pict>
          </mc:Fallback>
        </mc:AlternateContent>
      </w:r>
      <w:r w:rsidR="009A1025" w:rsidRPr="00A331A4">
        <w:rPr>
          <w:rFonts w:ascii="Arial" w:hAnsi="Arial" w:cs="Arial"/>
          <w:noProof/>
          <w:lang w:val="es-MX" w:eastAsia="es-MX"/>
        </w:rPr>
        <w:t xml:space="preserve"> </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noProof/>
          <w:lang w:val="es-MX" w:eastAsia="es-MX"/>
        </w:rPr>
        <w:drawing>
          <wp:inline distT="0" distB="0" distL="0" distR="0" wp14:anchorId="4F57369C" wp14:editId="5FD6E120">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Pr="00A331A4" w:rsidRDefault="009A1025" w:rsidP="009A1025">
      <w:pPr>
        <w:autoSpaceDE w:val="0"/>
        <w:autoSpaceDN w:val="0"/>
        <w:adjustRightInd w:val="0"/>
        <w:spacing w:after="0" w:line="240" w:lineRule="auto"/>
        <w:rPr>
          <w:rFonts w:ascii="Arial" w:hAnsi="Arial" w:cs="Arial"/>
          <w:b/>
          <w:bCs/>
          <w:lang w:val="es-MX"/>
        </w:rPr>
      </w:pPr>
    </w:p>
    <w:p w:rsidR="009A1025" w:rsidRPr="00A331A4" w:rsidRDefault="009A1025" w:rsidP="009A1025">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Donde:</w:t>
      </w: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Sistema alternado: </w:t>
      </w:r>
      <w:r w:rsidRPr="00A331A4">
        <w:rPr>
          <w:rFonts w:ascii="Arial" w:hAnsi="Arial" w:cs="Arial"/>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A331A4" w:rsidRDefault="00A331A4" w:rsidP="00D65144">
      <w:pPr>
        <w:autoSpaceDE w:val="0"/>
        <w:autoSpaceDN w:val="0"/>
        <w:adjustRightInd w:val="0"/>
        <w:spacing w:after="0" w:line="240" w:lineRule="auto"/>
        <w:jc w:val="both"/>
        <w:rPr>
          <w:rFonts w:ascii="Arial" w:hAnsi="Arial" w:cs="Arial"/>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simple o limitado</w:t>
      </w:r>
      <w:r w:rsidRPr="00A331A4">
        <w:rPr>
          <w:rFonts w:ascii="Arial" w:hAnsi="Arial" w:cs="Arial"/>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A331A4" w:rsidRDefault="00A331A4" w:rsidP="00D65144">
      <w:pPr>
        <w:autoSpaceDE w:val="0"/>
        <w:autoSpaceDN w:val="0"/>
        <w:adjustRightInd w:val="0"/>
        <w:spacing w:after="0" w:line="240" w:lineRule="auto"/>
        <w:jc w:val="both"/>
        <w:rPr>
          <w:rFonts w:ascii="Arial" w:hAnsi="Arial" w:cs="Arial"/>
          <w:b/>
          <w:bCs/>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flexible</w:t>
      </w:r>
      <w:r w:rsidRPr="00A331A4">
        <w:rPr>
          <w:rFonts w:ascii="Arial" w:hAnsi="Arial" w:cs="Arial"/>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Default="00A331A4" w:rsidP="007F0B1B">
      <w:pPr>
        <w:autoSpaceDE w:val="0"/>
        <w:autoSpaceDN w:val="0"/>
        <w:adjustRightInd w:val="0"/>
        <w:spacing w:after="0" w:line="240" w:lineRule="auto"/>
        <w:rPr>
          <w:b/>
          <w:lang w:val="es-MX"/>
        </w:rPr>
      </w:pPr>
      <w:r w:rsidRPr="00A331A4">
        <w:rPr>
          <w:b/>
          <w:lang w:val="es-MX"/>
        </w:rPr>
        <w:t>MÉTODOS</w:t>
      </w:r>
    </w:p>
    <w:p w:rsidR="00A331A4" w:rsidRPr="00A331A4" w:rsidRDefault="00A331A4" w:rsidP="007F0B1B">
      <w:pPr>
        <w:autoSpaceDE w:val="0"/>
        <w:autoSpaceDN w:val="0"/>
        <w:adjustRightInd w:val="0"/>
        <w:spacing w:after="0" w:line="240" w:lineRule="auto"/>
        <w:rPr>
          <w:b/>
          <w:lang w:val="es-MX"/>
        </w:rPr>
      </w:pPr>
      <w:bookmarkStart w:id="0" w:name="_GoBack"/>
      <w:bookmarkEnd w:id="0"/>
    </w:p>
    <w:p w:rsidR="008C6038" w:rsidRPr="00A331A4" w:rsidRDefault="008C6038" w:rsidP="007F0B1B">
      <w:pPr>
        <w:autoSpaceDE w:val="0"/>
        <w:autoSpaceDN w:val="0"/>
        <w:adjustRightInd w:val="0"/>
        <w:spacing w:after="0" w:line="240" w:lineRule="auto"/>
        <w:rPr>
          <w:b/>
          <w:lang w:val="es-MX"/>
        </w:rPr>
      </w:pPr>
      <w:r w:rsidRPr="008C6038">
        <w:rPr>
          <w:lang w:val="es-MX"/>
        </w:rPr>
        <w:br/>
      </w:r>
      <w:r w:rsidR="00A331A4" w:rsidRPr="00A331A4">
        <w:rPr>
          <w:b/>
          <w:lang w:val="es-MX"/>
        </w:rPr>
        <w:t>DESCRIPCIÓN CIENTÍFICA DEL OBJETO DE INVESTIGACIÓN.</w:t>
      </w:r>
    </w:p>
    <w:p w:rsidR="008C6038" w:rsidRDefault="008C6038">
      <w:pPr>
        <w:spacing w:after="160" w:line="259" w:lineRule="auto"/>
        <w:rPr>
          <w:lang w:val="es-MX"/>
        </w:rPr>
      </w:pPr>
      <w:r>
        <w:rPr>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696"/>
        <w:gridCol w:w="3686"/>
        <w:gridCol w:w="3446"/>
      </w:tblGrid>
      <w:tr w:rsidR="006A0C39" w:rsidTr="008B39CA">
        <w:tc>
          <w:tcPr>
            <w:tcW w:w="1696" w:type="dxa"/>
          </w:tcPr>
          <w:p w:rsidR="006A0C39" w:rsidRDefault="006A0C39" w:rsidP="007F0B1B">
            <w:r>
              <w:t>NOMBRE</w:t>
            </w:r>
          </w:p>
        </w:tc>
        <w:tc>
          <w:tcPr>
            <w:tcW w:w="3686" w:type="dxa"/>
          </w:tcPr>
          <w:p w:rsidR="006A0C39" w:rsidRDefault="006A0C39" w:rsidP="007F0B1B">
            <w:r>
              <w:t>CITA DEL TEXTO</w:t>
            </w:r>
          </w:p>
        </w:tc>
        <w:tc>
          <w:tcPr>
            <w:tcW w:w="3446" w:type="dxa"/>
          </w:tcPr>
          <w:p w:rsidR="006A0C39" w:rsidRDefault="006A0C39" w:rsidP="007F0B1B">
            <w:r>
              <w:t>REFERENCIA</w:t>
            </w:r>
          </w:p>
        </w:tc>
      </w:tr>
      <w:tr w:rsidR="006A0C39" w:rsidRPr="00A331A4" w:rsidTr="008B39CA">
        <w:trPr>
          <w:trHeight w:val="1779"/>
        </w:trPr>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after="0" w:line="240" w:lineRule="auto"/>
              <w:rPr>
                <w:rFonts w:ascii="Arial" w:hAnsi="Arial" w:cs="Arial"/>
                <w:sz w:val="18"/>
                <w:szCs w:val="18"/>
                <w:lang w:val="es-MX"/>
              </w:rPr>
            </w:pPr>
            <w:r w:rsidRPr="001D62A8">
              <w:rPr>
                <w:rFonts w:ascii="Arial" w:hAnsi="Arial" w:cs="Arial"/>
                <w:sz w:val="18"/>
                <w:szCs w:val="18"/>
                <w:lang w:val="es-MX"/>
              </w:rPr>
              <w:t>se encarga la secretaria de transporte, la cual su dependencia Sistema de Transporte Masivo y Teleférico del Estado de México</w:t>
            </w:r>
          </w:p>
          <w:p w:rsidR="006A0C39" w:rsidRPr="001D62A8" w:rsidRDefault="006A0C39" w:rsidP="007F0B1B">
            <w:pPr>
              <w:spacing w:after="0" w:line="240" w:lineRule="auto"/>
              <w:rPr>
                <w:lang w:val="es-MX"/>
              </w:rPr>
            </w:pPr>
            <w:r w:rsidRPr="001D62A8">
              <w:rPr>
                <w:rFonts w:ascii="Arial" w:hAnsi="Arial" w:cs="Arial"/>
                <w:sz w:val="18"/>
                <w:szCs w:val="18"/>
                <w:shd w:val="clear" w:color="auto" w:fill="FFFFFF"/>
                <w:lang w:val="es-MX"/>
              </w:rPr>
              <w:t>En el edo. De mexico sobre el transcurso de la historia no ha mantenido una dependencia segura del mantenimiento ha dependido o nacido varios órganos y actualmente el mantenimiento lo operan empresas privadas.</w:t>
            </w:r>
          </w:p>
        </w:tc>
        <w:tc>
          <w:tcPr>
            <w:tcW w:w="3446" w:type="dxa"/>
          </w:tcPr>
          <w:p w:rsidR="006A0C39" w:rsidRPr="001D62A8" w:rsidRDefault="006A0C39" w:rsidP="007F0B1B">
            <w:pPr>
              <w:rPr>
                <w:lang w:val="es-MX"/>
              </w:rPr>
            </w:pPr>
            <w:r w:rsidRPr="001D62A8">
              <w:rPr>
                <w:lang w:val="es-MX"/>
              </w:rPr>
              <w:br/>
            </w:r>
            <w:hyperlink r:id="rId13" w:history="1">
              <w:r w:rsidRPr="001D62A8">
                <w:rPr>
                  <w:rStyle w:val="Hipervnculo"/>
                  <w:lang w:val="es-MX"/>
                </w:rPr>
                <w:t>http://portal2.edomex.gob.mx/stransporte/acerca_secretaria/antecedentes/index.htm</w:t>
              </w:r>
            </w:hyperlink>
            <w:r w:rsidRPr="001D62A8">
              <w:rPr>
                <w:lang w:val="es-MX"/>
              </w:rPr>
              <w:br/>
            </w:r>
          </w:p>
        </w:tc>
      </w:tr>
      <w:tr w:rsidR="006A0C39" w:rsidRPr="00A331A4"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line="240" w:lineRule="auto"/>
              <w:rPr>
                <w:sz w:val="18"/>
                <w:szCs w:val="18"/>
                <w:lang w:val="es-MX"/>
              </w:rPr>
            </w:pPr>
            <w:r w:rsidRPr="001D62A8">
              <w:rPr>
                <w:rFonts w:ascii="Arial" w:hAnsi="Arial" w:cs="Arial"/>
                <w:sz w:val="18"/>
                <w:szCs w:val="18"/>
                <w:shd w:val="clear" w:color="auto" w:fill="FFFFFF"/>
                <w:lang w:val="es-MX"/>
              </w:rPr>
              <w:t>“</w:t>
            </w:r>
            <w:r w:rsidRPr="001D62A8">
              <w:rPr>
                <w:rFonts w:ascii="Arial" w:hAnsi="Arial" w:cs="Arial"/>
                <w:sz w:val="18"/>
                <w:szCs w:val="18"/>
                <w:shd w:val="clear" w:color="auto" w:fill="FFFFFF"/>
                <w:lang w:val="es-ES"/>
              </w:rPr>
              <w:t>Servicios que</w:t>
            </w:r>
            <w:r w:rsidRPr="001D62A8">
              <w:rPr>
                <w:rStyle w:val="apple-converted-space"/>
                <w:rFonts w:ascii="Arial" w:hAnsi="Arial" w:cs="Arial"/>
                <w:sz w:val="18"/>
                <w:szCs w:val="18"/>
                <w:shd w:val="clear" w:color="auto" w:fill="FFFFFF"/>
                <w:lang w:val="es-ES"/>
              </w:rPr>
              <w:t> </w:t>
            </w:r>
            <w:r w:rsidRPr="001D62A8">
              <w:rPr>
                <w:rFonts w:ascii="Arial" w:hAnsi="Arial" w:cs="Arial"/>
                <w:sz w:val="18"/>
                <w:szCs w:val="18"/>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1D62A8">
              <w:rPr>
                <w:rStyle w:val="apple-converted-space"/>
                <w:rFonts w:ascii="Arial" w:hAnsi="Arial" w:cs="Arial"/>
                <w:sz w:val="18"/>
                <w:szCs w:val="18"/>
                <w:shd w:val="clear" w:color="auto" w:fill="FFFFFF"/>
                <w:lang w:val="es-MX"/>
              </w:rPr>
              <w:t> </w:t>
            </w:r>
            <w:r w:rsidRPr="001D62A8">
              <w:rPr>
                <w:rFonts w:ascii="Arial" w:hAnsi="Arial" w:cs="Arial"/>
                <w:sz w:val="18"/>
                <w:szCs w:val="18"/>
                <w:shd w:val="clear" w:color="auto" w:fill="FFFFFF"/>
                <w:lang w:val="es-MX"/>
              </w:rPr>
              <w:t>México ante las instancias correspondientes.</w:t>
            </w:r>
            <w:r w:rsidRPr="001D62A8">
              <w:rPr>
                <w:rFonts w:ascii="Arial" w:hAnsi="Arial" w:cs="Arial"/>
                <w:sz w:val="18"/>
                <w:szCs w:val="18"/>
                <w:lang w:val="es-MX"/>
              </w:rPr>
              <w:t>”</w:t>
            </w:r>
          </w:p>
        </w:tc>
        <w:tc>
          <w:tcPr>
            <w:tcW w:w="3446" w:type="dxa"/>
          </w:tcPr>
          <w:p w:rsidR="006A0C39" w:rsidRPr="001D62A8" w:rsidRDefault="00A331A4" w:rsidP="007F0B1B">
            <w:pPr>
              <w:rPr>
                <w:lang w:val="es-MX"/>
              </w:rPr>
            </w:pPr>
            <w:hyperlink r:id="rId14" w:history="1">
              <w:r w:rsidR="006A0C39" w:rsidRPr="001D62A8">
                <w:rPr>
                  <w:rStyle w:val="Hipervnculo"/>
                  <w:lang w:val="es-MX"/>
                </w:rPr>
                <w:t>http://www.tramitesyservicios.df.gob.mx/wb/TyS/instalacion_yo_reparacion_de_semaforos</w:t>
              </w:r>
            </w:hyperlink>
            <w:r w:rsidR="006A0C39" w:rsidRPr="001D62A8">
              <w:rPr>
                <w:lang w:val="es-MX"/>
              </w:rPr>
              <w:br/>
            </w:r>
          </w:p>
        </w:tc>
      </w:tr>
      <w:tr w:rsidR="006A0C39" w:rsidRPr="00A331A4"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UNIVERSAL</w:t>
            </w:r>
          </w:p>
        </w:tc>
        <w:tc>
          <w:tcPr>
            <w:tcW w:w="3686" w:type="dxa"/>
          </w:tcPr>
          <w:p w:rsidR="006A0C39" w:rsidRPr="001D62A8" w:rsidRDefault="006A0C39" w:rsidP="007F0B1B">
            <w:pPr>
              <w:spacing w:after="75" w:line="240" w:lineRule="auto"/>
              <w:outlineLvl w:val="0"/>
              <w:rPr>
                <w:rFonts w:ascii="Arial" w:eastAsia="Times New Roman" w:hAnsi="Arial" w:cs="Arial"/>
                <w:i/>
                <w:kern w:val="36"/>
                <w:sz w:val="18"/>
                <w:szCs w:val="20"/>
                <w:lang w:val="es-MX" w:eastAsia="es-MX"/>
              </w:rPr>
            </w:pPr>
            <w:r w:rsidRPr="001D62A8">
              <w:rPr>
                <w:rFonts w:ascii="Arial" w:eastAsia="Times New Roman" w:hAnsi="Arial" w:cs="Arial"/>
                <w:i/>
                <w:kern w:val="36"/>
                <w:sz w:val="18"/>
                <w:szCs w:val="20"/>
                <w:lang w:val="es-MX" w:eastAsia="es-MX"/>
              </w:rPr>
              <w:t>“Neza se queda sin semáforos, denuncian</w:t>
            </w:r>
          </w:p>
          <w:p w:rsidR="006A0C39" w:rsidRPr="00D36604" w:rsidRDefault="006A0C39" w:rsidP="007F0B1B">
            <w:pPr>
              <w:spacing w:after="0" w:line="240" w:lineRule="auto"/>
              <w:rPr>
                <w:rFonts w:ascii="Arial" w:eastAsia="Times New Roman" w:hAnsi="Arial" w:cs="Arial"/>
                <w:i/>
                <w:sz w:val="20"/>
                <w:szCs w:val="20"/>
                <w:lang w:val="es-MX" w:eastAsia="es-MX"/>
              </w:rPr>
            </w:pPr>
            <w:r w:rsidRPr="001D62A8">
              <w:rPr>
                <w:rFonts w:ascii="Arial" w:eastAsia="Times New Roman" w:hAnsi="Arial" w:cs="Arial"/>
                <w:i/>
                <w:sz w:val="18"/>
                <w:szCs w:val="20"/>
                <w:lang w:val="es-MX" w:eastAsia="es-MX"/>
              </w:rPr>
              <w:t>Sobre todo en los cruces de Chimalhuacan y Avenida Pantitlán, de acuerdo con el denunciante, "nunca funcionan y cuando se reporta la oficina de tránsito, sólo dicen que es una empresa la que los opera"”</w:t>
            </w:r>
            <w:r w:rsidRPr="001D62A8">
              <w:rPr>
                <w:rFonts w:ascii="Arial" w:eastAsia="Times New Roman" w:hAnsi="Arial" w:cs="Arial"/>
                <w:i/>
                <w:sz w:val="20"/>
                <w:szCs w:val="20"/>
                <w:lang w:val="es-MX" w:eastAsia="es-MX"/>
              </w:rPr>
              <w:t xml:space="preserve"> </w:t>
            </w:r>
          </w:p>
        </w:tc>
        <w:tc>
          <w:tcPr>
            <w:tcW w:w="3446" w:type="dxa"/>
          </w:tcPr>
          <w:p w:rsidR="006A0C39" w:rsidRDefault="006A0C39" w:rsidP="007F0B1B">
            <w:pPr>
              <w:rPr>
                <w:rFonts w:ascii="Arial" w:hAnsi="Arial" w:cs="Arial"/>
                <w:color w:val="000000"/>
                <w:sz w:val="17"/>
                <w:szCs w:val="17"/>
                <w:lang w:val="es-MX"/>
              </w:rPr>
            </w:pPr>
            <w:r>
              <w:rPr>
                <w:rFonts w:ascii="Arial" w:eastAsia="Times New Roman" w:hAnsi="Arial" w:cs="Arial"/>
                <w:i/>
                <w:color w:val="000000"/>
                <w:sz w:val="20"/>
                <w:szCs w:val="20"/>
                <w:lang w:val="es-MX" w:eastAsia="es-MX"/>
              </w:rPr>
              <w:t>(</w:t>
            </w:r>
            <w:r w:rsidRPr="00D433A6">
              <w:rPr>
                <w:rFonts w:ascii="Arial" w:hAnsi="Arial" w:cs="Arial"/>
                <w:color w:val="000000"/>
                <w:sz w:val="17"/>
                <w:szCs w:val="17"/>
                <w:lang w:val="es-MX"/>
              </w:rPr>
              <w:t>09 de diciembre 2012</w:t>
            </w:r>
            <w:r>
              <w:rPr>
                <w:rFonts w:ascii="Arial" w:hAnsi="Arial" w:cs="Arial"/>
                <w:color w:val="000000"/>
                <w:sz w:val="17"/>
                <w:szCs w:val="17"/>
                <w:lang w:val="es-MX"/>
              </w:rPr>
              <w:t>). Portal universal.</w:t>
            </w:r>
          </w:p>
          <w:p w:rsidR="006A0C39" w:rsidRPr="001D62A8" w:rsidRDefault="00A331A4" w:rsidP="007F0B1B">
            <w:pPr>
              <w:rPr>
                <w:lang w:val="es-MX"/>
              </w:rPr>
            </w:pPr>
            <w:hyperlink r:id="rId15" w:history="1">
              <w:r w:rsidR="006A0C39" w:rsidRPr="001D62A8">
                <w:rPr>
                  <w:rStyle w:val="Hipervnculo"/>
                  <w:lang w:val="es-MX"/>
                </w:rPr>
                <w:t>http://www.eluniversaledomex.mx/nezahualcoyo/nota34376.html</w:t>
              </w:r>
            </w:hyperlink>
          </w:p>
        </w:tc>
      </w:tr>
      <w:tr w:rsidR="006A0C39" w:rsidRPr="00A331A4" w:rsidTr="008B39CA">
        <w:tc>
          <w:tcPr>
            <w:tcW w:w="1696" w:type="dxa"/>
          </w:tcPr>
          <w:p w:rsidR="006A0C39" w:rsidRPr="006A0C39" w:rsidRDefault="006A0C39" w:rsidP="007F0B1B">
            <w:pPr>
              <w:rPr>
                <w:rFonts w:ascii="Arial" w:hAnsi="Arial" w:cs="Arial"/>
                <w:sz w:val="16"/>
                <w:szCs w:val="16"/>
                <w:lang w:val="es-MX"/>
              </w:rPr>
            </w:pPr>
            <w:r w:rsidRPr="006A0C39">
              <w:rPr>
                <w:rFonts w:ascii="Arial" w:hAnsi="Arial" w:cs="Arial"/>
                <w:sz w:val="16"/>
                <w:szCs w:val="16"/>
                <w:lang w:val="es-MX"/>
              </w:rPr>
              <w:t>SECRETARIA DE DESARROLLO URBANO Y VIVIENDA</w:t>
            </w:r>
          </w:p>
        </w:tc>
        <w:tc>
          <w:tcPr>
            <w:tcW w:w="3686" w:type="dxa"/>
          </w:tcPr>
          <w:p w:rsidR="006A0C39" w:rsidRPr="00D36604" w:rsidRDefault="006A0C39" w:rsidP="007F0B1B">
            <w:pPr>
              <w:spacing w:after="75" w:line="240" w:lineRule="auto"/>
              <w:outlineLvl w:val="0"/>
              <w:rPr>
                <w:rFonts w:ascii="Arial" w:eastAsia="Times New Roman" w:hAnsi="Arial" w:cs="Arial"/>
                <w:i/>
                <w:color w:val="000000"/>
                <w:kern w:val="36"/>
                <w:sz w:val="18"/>
                <w:szCs w:val="20"/>
                <w:lang w:val="es-MX" w:eastAsia="es-MX"/>
              </w:rPr>
            </w:pPr>
            <w:r w:rsidRPr="00D36604">
              <w:rPr>
                <w:rFonts w:ascii="Arial" w:hAnsi="Arial" w:cs="Arial"/>
                <w:i/>
                <w:color w:val="252525"/>
                <w:sz w:val="21"/>
                <w:szCs w:val="21"/>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D36604">
              <w:rPr>
                <w:i/>
                <w:lang w:val="es-MX"/>
              </w:rPr>
              <w:t>.”</w:t>
            </w:r>
          </w:p>
        </w:tc>
        <w:tc>
          <w:tcPr>
            <w:tcW w:w="3446" w:type="dxa"/>
            <w:shd w:val="clear" w:color="auto" w:fill="auto"/>
          </w:tcPr>
          <w:p w:rsidR="006A0C39" w:rsidRPr="001D62A8" w:rsidRDefault="006A0C39" w:rsidP="007F0B1B">
            <w:pPr>
              <w:rPr>
                <w:rFonts w:ascii="Arial" w:hAnsi="Arial" w:cs="Arial"/>
                <w:sz w:val="18"/>
                <w:szCs w:val="18"/>
                <w:lang w:val="es-MX"/>
              </w:rPr>
            </w:pPr>
            <w:r w:rsidRPr="001D62A8">
              <w:rPr>
                <w:rFonts w:ascii="Arial" w:hAnsi="Arial" w:cs="Arial"/>
                <w:color w:val="252525"/>
                <w:sz w:val="19"/>
                <w:szCs w:val="19"/>
                <w:shd w:val="clear" w:color="auto" w:fill="DDEEFF"/>
                <w:lang w:val="es-MX"/>
              </w:rPr>
              <w:t>(</w:t>
            </w:r>
            <w:r w:rsidRPr="001D62A8">
              <w:rPr>
                <w:rFonts w:ascii="Arial" w:hAnsi="Arial" w:cs="Arial"/>
                <w:sz w:val="18"/>
                <w:szCs w:val="18"/>
                <w:lang w:val="es-MX"/>
              </w:rPr>
              <w:t>29 de octubre de 2004). Plan municipal de desarrollo urbano de Nezahualcóyotl.</w:t>
            </w:r>
          </w:p>
          <w:p w:rsidR="006A0C39" w:rsidRPr="001D62A8" w:rsidRDefault="006A0C39" w:rsidP="007F0B1B">
            <w:pPr>
              <w:rPr>
                <w:lang w:val="es-MX"/>
              </w:rPr>
            </w:pPr>
            <w:r w:rsidRPr="001D62A8">
              <w:rPr>
                <w:lang w:val="es-MX"/>
              </w:rPr>
              <w:t xml:space="preserve">http://es.wikipedia.org/wiki/Nezahualc%C3%B3yotl_%28estado_de_M%C3%A9xico%29 </w:t>
            </w:r>
          </w:p>
        </w:tc>
      </w:tr>
      <w:tr w:rsidR="006A0C39" w:rsidRPr="00A331A4" w:rsidTr="008B39CA">
        <w:tc>
          <w:tcPr>
            <w:tcW w:w="1696" w:type="dxa"/>
          </w:tcPr>
          <w:p w:rsidR="006A0C39" w:rsidRPr="001D62A8" w:rsidRDefault="006A0C39" w:rsidP="007F0B1B">
            <w:pPr>
              <w:rPr>
                <w:rFonts w:ascii="Arial" w:hAnsi="Arial" w:cs="Arial"/>
                <w:sz w:val="16"/>
                <w:szCs w:val="16"/>
              </w:rPr>
            </w:pPr>
            <w:r>
              <w:rPr>
                <w:rFonts w:ascii="Arial" w:hAnsi="Arial" w:cs="Arial"/>
                <w:sz w:val="16"/>
                <w:szCs w:val="16"/>
              </w:rPr>
              <w:t>TRAFITEC</w:t>
            </w:r>
          </w:p>
        </w:tc>
        <w:tc>
          <w:tcPr>
            <w:tcW w:w="3686" w:type="dxa"/>
          </w:tcPr>
          <w:p w:rsidR="006A0C39" w:rsidRPr="00D36604" w:rsidRDefault="006A0C39" w:rsidP="007F0B1B">
            <w:pPr>
              <w:spacing w:after="75" w:line="240" w:lineRule="auto"/>
              <w:outlineLvl w:val="0"/>
              <w:rPr>
                <w:rFonts w:ascii="Arial" w:hAnsi="Arial" w:cs="Arial"/>
                <w:i/>
                <w:color w:val="252525"/>
                <w:sz w:val="20"/>
                <w:szCs w:val="20"/>
                <w:shd w:val="clear" w:color="auto" w:fill="FFFFFF"/>
                <w:lang w:val="es-MX"/>
              </w:rPr>
            </w:pPr>
            <w:r w:rsidRPr="00D36604">
              <w:rPr>
                <w:sz w:val="20"/>
                <w:szCs w:val="20"/>
                <w:lang w:val="es-MX"/>
              </w:rPr>
              <w:t>utilizan tecnología GPS para la coordinación satelital y ver la cantidad de tráfico y distribuirla y el uso de la tecnología LED que consume menos consumo de energía utilizando por cada lámpara 12 VCD</w:t>
            </w:r>
          </w:p>
        </w:tc>
        <w:tc>
          <w:tcPr>
            <w:tcW w:w="3446" w:type="dxa"/>
            <w:shd w:val="clear" w:color="auto" w:fill="auto"/>
          </w:tcPr>
          <w:p w:rsidR="006A0C39" w:rsidRPr="00D36604" w:rsidRDefault="00A331A4" w:rsidP="007F0B1B">
            <w:pPr>
              <w:rPr>
                <w:lang w:val="es-MX"/>
              </w:rPr>
            </w:pPr>
            <w:hyperlink r:id="rId16" w:history="1">
              <w:r w:rsidR="006A0C39" w:rsidRPr="001D62A8">
                <w:rPr>
                  <w:rStyle w:val="Hipervnculo"/>
                  <w:lang w:val="es-MX"/>
                </w:rPr>
                <w:t>http://www.trafictec.com/kit_montaje.php</w:t>
              </w:r>
            </w:hyperlink>
          </w:p>
        </w:tc>
      </w:tr>
      <w:tr w:rsidR="008B39CA" w:rsidRPr="008B39CA" w:rsidTr="008B39CA">
        <w:tc>
          <w:tcPr>
            <w:tcW w:w="1696" w:type="dxa"/>
          </w:tcPr>
          <w:p w:rsidR="008B39CA" w:rsidRPr="008B39CA" w:rsidRDefault="008B39CA" w:rsidP="008B39CA">
            <w:pPr>
              <w:autoSpaceDE w:val="0"/>
              <w:autoSpaceDN w:val="0"/>
              <w:adjustRightInd w:val="0"/>
              <w:spacing w:after="0" w:line="240" w:lineRule="auto"/>
              <w:rPr>
                <w:rFonts w:ascii="Arial" w:hAnsi="Arial" w:cs="Arial"/>
                <w:bCs/>
                <w:sz w:val="16"/>
                <w:szCs w:val="16"/>
                <w:lang w:val="es-MX"/>
              </w:rPr>
            </w:pPr>
            <w:r w:rsidRPr="008B39CA">
              <w:rPr>
                <w:rFonts w:ascii="Arial" w:hAnsi="Arial" w:cs="Arial"/>
                <w:bCs/>
                <w:sz w:val="16"/>
                <w:szCs w:val="16"/>
                <w:lang w:val="es-MX"/>
              </w:rPr>
              <w:t>UNIVERSIDAD TECNOLÓGICA DE PEREIRA</w:t>
            </w:r>
          </w:p>
          <w:p w:rsidR="008B39CA" w:rsidRPr="00BB174F" w:rsidRDefault="008B39CA" w:rsidP="008B39CA">
            <w:pPr>
              <w:rPr>
                <w:rFonts w:ascii="Arial" w:hAnsi="Arial" w:cs="Arial"/>
                <w:sz w:val="16"/>
                <w:szCs w:val="16"/>
                <w:lang w:val="es-MX"/>
              </w:rPr>
            </w:pPr>
            <w:r w:rsidRPr="008B39CA">
              <w:rPr>
                <w:rFonts w:ascii="Arial" w:hAnsi="Arial" w:cs="Arial"/>
                <w:bCs/>
                <w:sz w:val="16"/>
                <w:szCs w:val="16"/>
                <w:lang w:val="es-MX"/>
              </w:rPr>
              <w:t>FACULTAD DE INGENIERIA INDUSTRIAL</w:t>
            </w:r>
          </w:p>
        </w:tc>
        <w:tc>
          <w:tcPr>
            <w:tcW w:w="3686" w:type="dxa"/>
          </w:tcPr>
          <w:p w:rsidR="008B39CA" w:rsidRPr="00D36604" w:rsidRDefault="008B39CA" w:rsidP="007F0B1B">
            <w:pPr>
              <w:spacing w:after="75" w:line="240" w:lineRule="auto"/>
              <w:outlineLvl w:val="0"/>
              <w:rPr>
                <w:sz w:val="20"/>
                <w:szCs w:val="20"/>
                <w:lang w:val="es-MX"/>
              </w:rPr>
            </w:pPr>
            <w:r>
              <w:rPr>
                <w:sz w:val="20"/>
                <w:szCs w:val="20"/>
                <w:lang w:val="es-MX"/>
              </w:rPr>
              <w:t>Marco teórico conocimiento</w:t>
            </w:r>
          </w:p>
        </w:tc>
        <w:tc>
          <w:tcPr>
            <w:tcW w:w="3446" w:type="dxa"/>
            <w:shd w:val="clear" w:color="auto" w:fill="auto"/>
          </w:tcPr>
          <w:p w:rsidR="008B39CA" w:rsidRPr="008B39CA" w:rsidRDefault="008B39CA" w:rsidP="008B39CA">
            <w:pPr>
              <w:tabs>
                <w:tab w:val="left" w:pos="2295"/>
              </w:tabs>
              <w:rPr>
                <w:lang w:val="es-MX"/>
              </w:rPr>
            </w:pPr>
            <w:r w:rsidRPr="008B39CA">
              <w:rPr>
                <w:lang w:val="es-MX"/>
              </w:rPr>
              <w:t>Pdf tesis. N</w:t>
            </w:r>
            <w:r>
              <w:rPr>
                <w:lang w:val="es-MX"/>
              </w:rPr>
              <w:t>oviembre 2010</w:t>
            </w:r>
            <w:r w:rsidRPr="008B39CA">
              <w:rPr>
                <w:lang w:val="es-MX"/>
              </w:rPr>
              <w:tab/>
            </w:r>
          </w:p>
        </w:tc>
      </w:tr>
    </w:tbl>
    <w:p w:rsidR="006A0C39" w:rsidRPr="008B39CA" w:rsidRDefault="006A0C39" w:rsidP="006A0C39">
      <w:pPr>
        <w:rPr>
          <w:lang w:val="es-MX"/>
        </w:rPr>
      </w:pPr>
    </w:p>
    <w:p w:rsidR="006A0C39" w:rsidRPr="008B39CA" w:rsidRDefault="006A0C39">
      <w:pPr>
        <w:spacing w:after="160" w:line="259" w:lineRule="auto"/>
        <w:rPr>
          <w:lang w:val="es-MX"/>
        </w:rPr>
      </w:pPr>
      <w:r w:rsidRPr="008B39CA">
        <w:rPr>
          <w:lang w:val="es-MX"/>
        </w:rPr>
        <w:br w:type="page"/>
      </w:r>
    </w:p>
    <w:p w:rsidR="0065659C" w:rsidRPr="006A0C39" w:rsidRDefault="00AD4135">
      <w:pPr>
        <w:rPr>
          <w:b/>
          <w:lang w:val="es-MX"/>
        </w:rPr>
      </w:pPr>
      <w:r w:rsidRPr="006A0C39">
        <w:rPr>
          <w:b/>
          <w:lang w:val="es-MX"/>
        </w:rPr>
        <w:lastRenderedPageBreak/>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Global Positioning System</w:t>
      </w:r>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Sistema de Posicionamiento Global</w:t>
      </w:r>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light-emitting diode</w:t>
      </w:r>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rPr>
          <w:lang w:val="es-MX"/>
        </w:rPr>
      </w:pPr>
    </w:p>
    <w:p w:rsidR="006A623E" w:rsidRDefault="006A623E" w:rsidP="006A623E">
      <w:pPr>
        <w:tabs>
          <w:tab w:val="left" w:pos="5850"/>
        </w:tabs>
        <w:rPr>
          <w:lang w:val="es-MX"/>
        </w:rPr>
      </w:pPr>
      <w:r>
        <w:rPr>
          <w:lang w:val="es-MX"/>
        </w:rPr>
        <w:tab/>
      </w: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524BD"/>
    <w:multiLevelType w:val="hybridMultilevel"/>
    <w:tmpl w:val="3EF82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1BC11C6"/>
    <w:multiLevelType w:val="hybridMultilevel"/>
    <w:tmpl w:val="272E5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B5716A1"/>
    <w:multiLevelType w:val="hybridMultilevel"/>
    <w:tmpl w:val="BF269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964FC"/>
    <w:rsid w:val="000A0D97"/>
    <w:rsid w:val="00152BCC"/>
    <w:rsid w:val="0022642B"/>
    <w:rsid w:val="002C2551"/>
    <w:rsid w:val="00356C71"/>
    <w:rsid w:val="0065659C"/>
    <w:rsid w:val="006A0C39"/>
    <w:rsid w:val="006A1247"/>
    <w:rsid w:val="006A623E"/>
    <w:rsid w:val="007148CF"/>
    <w:rsid w:val="007F0B1B"/>
    <w:rsid w:val="008308EA"/>
    <w:rsid w:val="008B39CA"/>
    <w:rsid w:val="008C6038"/>
    <w:rsid w:val="008E1B70"/>
    <w:rsid w:val="009106A8"/>
    <w:rsid w:val="0094431F"/>
    <w:rsid w:val="009A1025"/>
    <w:rsid w:val="00A331A4"/>
    <w:rsid w:val="00AD4135"/>
    <w:rsid w:val="00B029B4"/>
    <w:rsid w:val="00B242EA"/>
    <w:rsid w:val="00B70C95"/>
    <w:rsid w:val="00BA068C"/>
    <w:rsid w:val="00BB174F"/>
    <w:rsid w:val="00BC78F1"/>
    <w:rsid w:val="00C96D46"/>
    <w:rsid w:val="00D65144"/>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3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ortal2.edomex.gob.mx/stransporte/acerca_secretaria/antecedentes/index.ht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nglish.ptv.de/cgi-bin/traffic/traf_vissim.p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rafictec.com/kit_montaje.php"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www.eluniversaledomex.mx/nezahualcoyo/nota34376.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tramitesyservicios.df.gob.mx/wb/TyS/instalacion_yo_reparacion_de_semafor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9</Pages>
  <Words>2973</Words>
  <Characters>16356</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Luis Antonio Roa Juarez Frias</cp:lastModifiedBy>
  <cp:revision>12</cp:revision>
  <dcterms:created xsi:type="dcterms:W3CDTF">2015-02-08T07:20:00Z</dcterms:created>
  <dcterms:modified xsi:type="dcterms:W3CDTF">2015-03-09T04:22:00Z</dcterms:modified>
</cp:coreProperties>
</file>