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2ABC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52"/>
          <w:szCs w:val="52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52"/>
          <w:szCs w:val="52"/>
        </w:rPr>
        <w:t>Wine Classification: Red vs White</w:t>
      </w:r>
    </w:p>
    <w:p w14:paraId="1DDF6CDA" w14:textId="67DFE32B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Author: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Nicoli Antropova</w:t>
      </w:r>
    </w:p>
    <w:p w14:paraId="1F5FB918" w14:textId="77777777" w:rsidR="00A5539F" w:rsidRPr="00A5539F" w:rsidRDefault="00A5539F" w:rsidP="00A5539F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364C95A7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  <w:t>Executive Summary</w:t>
      </w:r>
    </w:p>
    <w:p w14:paraId="3315E988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This project develops a binary classifier to distinguish red from white wines using physicochemical properties from the UCI Wine Quality dataset (6,497 Portuguese samples). The optimized Random Forest model achieves </w:t>
      </w: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99.7% test accuracy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(ROC-AUC: 0.9999), misclassifying only 4 out of 1,300 test samples. This represents a 24.3 percentage point improvement over the 75.4% baseline and translates to an estimated 95% cost reduction and 94% error reduction compared to manual classification.</w:t>
      </w:r>
    </w:p>
    <w:p w14:paraId="6AACD348" w14:textId="77777777" w:rsidR="00A5539F" w:rsidRPr="00A5539F" w:rsidRDefault="00A5539F" w:rsidP="00A5539F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033258F0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  <w:t>1. Problem Definition</w:t>
      </w:r>
    </w:p>
    <w:p w14:paraId="3D8A9241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Wine producers require rapid, accurate methods to verify wine type without expensive sensory testing. Consequently, automated classification based on laboratory chemistry offers significant operational advantages: rapid quality control, optimized inventory management (red and white wines require different storage conditions), and fraud detection.</w:t>
      </w:r>
    </w:p>
    <w:p w14:paraId="0819A1C2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Technical task: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Binary classification predicting wine type (red=0, white=1) from 11 physicochemical measurements (pH, alcohol, </w:t>
      </w: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sulfur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 xml:space="preserve"> dioxide, acidity, etc.).</w:t>
      </w:r>
    </w:p>
    <w:p w14:paraId="5A5F474C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Dataset: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UCI Wine Quality (Cortez et al., 2009) - Portuguese Vinho Verde wines, 2004-2007 vintages, 6,497 samples (1,599 red + 4,898 white).</w:t>
      </w:r>
    </w:p>
    <w:p w14:paraId="143F14D1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Success metrics: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Because of the class imbalance (75% white, 25% red), we employ accuracy, macro-F1, and ROC-AUC. Baseline: 75.4% (majority-class prediction). Target: ≥95% accuracy with ROC-AUC &gt; 0.95.</w:t>
      </w:r>
    </w:p>
    <w:p w14:paraId="530E401C" w14:textId="77777777" w:rsidR="00A5539F" w:rsidRPr="00A5539F" w:rsidRDefault="00A5539F" w:rsidP="00A5539F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64BE5620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  <w:t>2. Data Understanding</w:t>
      </w:r>
    </w:p>
    <w:p w14:paraId="74FAEF4D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t>Class Balance</w:t>
      </w:r>
    </w:p>
    <w:p w14:paraId="5524FF0B" w14:textId="77777777" w:rsidR="00923696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lastRenderedPageBreak/>
        <w:t xml:space="preserve">Figure 1: </w:t>
      </w:r>
    </w:p>
    <w:p w14:paraId="2E175F5A" w14:textId="77777777" w:rsidR="00923696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Class</w:t>
      </w:r>
      <w:r w:rsidR="00923696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 xml:space="preserve"> </w:t>
      </w: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Distribution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</w:t>
      </w:r>
    </w:p>
    <w:p w14:paraId="59BB4978" w14:textId="51B1B9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>
        <w:rPr>
          <w:rFonts w:ascii="Helvetica" w:hAnsi="Helvetica" w:cs="Helvetica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6912E168" wp14:editId="40F9449C">
            <wp:extent cx="5943600" cy="3689350"/>
            <wp:effectExtent l="0" t="0" r="0" b="6350"/>
            <wp:docPr id="135057666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6665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5B09" w14:textId="77777777" w:rsid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Figure 1 shows the class distribution: 75.4% white wines (4,898 samples) and 24.6% red wines (1,599 samples). This moderate imbalance necessitates stratified sampling in all train/validation/test splits and balanced metrics (macro-F1) to prevent misleading performance assessments. Therefore, we maintain stratification throughout and report class-specific metrics.</w:t>
      </w:r>
    </w:p>
    <w:p w14:paraId="087777BB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264D0E96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193ADEB9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61F0BEBE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015CEB4E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14A01B0C" w14:textId="77777777" w:rsidR="00923696" w:rsidRPr="00A5539F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38F724F6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lastRenderedPageBreak/>
        <w:t>Feature Separability</w:t>
      </w:r>
    </w:p>
    <w:p w14:paraId="14474CC2" w14:textId="77777777" w:rsidR="00923696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Figure 2: Top 3 Discriminative Features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</w:t>
      </w:r>
    </w:p>
    <w:p w14:paraId="727B7F3D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7C51D026" w14:textId="0E58748A" w:rsidR="00A5539F" w:rsidRPr="00A5539F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>
        <w:rPr>
          <w:rFonts w:ascii="Helvetica" w:hAnsi="Helvetica" w:cs="Helvetica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3E91C066" wp14:editId="37E6641B">
            <wp:extent cx="5943600" cy="1661795"/>
            <wp:effectExtent l="0" t="0" r="0" b="1905"/>
            <wp:docPr id="959217492" name="Picture 2" descr="A graph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17492" name="Picture 2" descr="A graph of a normal distributi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44DA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Figure 2 illustrates the three most discriminative features. White wines contain ~3× more total SO₂ (138 vs 46 mg/L) due to oxidation protection needs. Red wines show ~2× higher volatile acidity from malolactic fermentation and higher chlorides (0.087 vs 0.046 g/L) from different soil/fermentation conditions. As a result, these substantial chemical differences enable strong model performance with interpretable features valuable for quality control practitioners.</w:t>
      </w:r>
    </w:p>
    <w:p w14:paraId="6A7D538F" w14:textId="77777777" w:rsidR="00A5539F" w:rsidRPr="00A5539F" w:rsidRDefault="00A5539F" w:rsidP="00A5539F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64FB7228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  <w:t>3. Methodology</w:t>
      </w:r>
    </w:p>
    <w:p w14:paraId="1D57673D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t>Preprocessing Pipeline</w:t>
      </w:r>
    </w:p>
    <w:p w14:paraId="3D20488E" w14:textId="77777777" w:rsidR="00A5539F" w:rsidRPr="00A5539F" w:rsidRDefault="00A5539F" w:rsidP="00A553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Data quality: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Zero missing values across 6,497 samples; outliers retained as legitimate measurements</w:t>
      </w:r>
    </w:p>
    <w:p w14:paraId="1A8C4EAC" w14:textId="77777777" w:rsidR="00A5539F" w:rsidRPr="00A5539F" w:rsidRDefault="00A5539F" w:rsidP="00A553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Features: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11 raw physicochemical properties (no transformations needed)</w:t>
      </w:r>
    </w:p>
    <w:p w14:paraId="13B2E338" w14:textId="77777777" w:rsidR="00A5539F" w:rsidRPr="00A5539F" w:rsidRDefault="00A5539F" w:rsidP="00A553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Scaling: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</w:t>
      </w: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StandardScaler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 xml:space="preserve"> fitted on training set only to prevent data leakage</w:t>
      </w:r>
    </w:p>
    <w:p w14:paraId="50C3A0CD" w14:textId="77777777" w:rsidR="00A5539F" w:rsidRPr="00A5539F" w:rsidRDefault="00A5539F" w:rsidP="00A553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Splits: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60/20/20 stratified split (3,897 train / 1,300 validation / 1,300 test)</w:t>
      </w:r>
    </w:p>
    <w:p w14:paraId="7BFCC0EB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t>Model Development</w:t>
      </w:r>
    </w:p>
    <w:p w14:paraId="2A81FF84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We adopted progressive complexity: </w:t>
      </w: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DummyClassifier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(baseline) </w:t>
      </w:r>
      <w:r w:rsidRPr="00A5539F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→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Logistic Regression </w:t>
      </w:r>
      <w:r w:rsidRPr="00A5539F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→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Random Forest </w:t>
      </w:r>
      <w:r w:rsidRPr="00A5539F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→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SVM/Gradient Boosting </w:t>
      </w:r>
      <w:r w:rsidRPr="00A5539F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→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 xml:space="preserve"> Hyperparameter optimization with </w:t>
      </w: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GridSearchCV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. This ensures we understand which complexity level is necessary, avoiding both underfitting and overfitting.</w:t>
      </w:r>
    </w:p>
    <w:p w14:paraId="58344670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lastRenderedPageBreak/>
        <w:t>Cross-Validation</w:t>
      </w:r>
    </w:p>
    <w:p w14:paraId="687F2E92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All models used </w:t>
      </w: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stratified 5-fold cross-validation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to maximize data efficiency and performance reliability. Low standard deviation across folds (0.0017) indicates good generalization. Consequently, our CV framework provides trustworthy estimates that accurately predict test performance.</w:t>
      </w:r>
    </w:p>
    <w:p w14:paraId="722A88DA" w14:textId="77777777" w:rsidR="00A5539F" w:rsidRPr="00A5539F" w:rsidRDefault="00A5539F" w:rsidP="00A5539F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64D11006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  <w:t>4. Results</w:t>
      </w:r>
    </w:p>
    <w:p w14:paraId="4360A78C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t>Model Performance</w:t>
      </w:r>
    </w:p>
    <w:p w14:paraId="6E0878E1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Final Model: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Random Forest (Optimized) </w:t>
      </w: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Test Accuracy: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99.7% | </w:t>
      </w: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ROC-AUC: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0.9999 | </w:t>
      </w: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Errors: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4/1,300 samples</w:t>
      </w:r>
    </w:p>
    <w:p w14:paraId="56123378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Model Comparison: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3011"/>
        <w:gridCol w:w="2172"/>
      </w:tblGrid>
      <w:tr w:rsidR="00A5539F" w:rsidRPr="00A5539F" w14:paraId="7E9E296F" w14:textId="77777777">
        <w:tblPrEx>
          <w:tblCellMar>
            <w:top w:w="0" w:type="dxa"/>
            <w:bottom w:w="0" w:type="dxa"/>
          </w:tblCellMar>
        </w:tblPrEx>
        <w:tc>
          <w:tcPr>
            <w:tcW w:w="2809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4D5372" w14:textId="77777777" w:rsidR="00A5539F" w:rsidRPr="00A5539F" w:rsidRDefault="00A5539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  <w:t>Model</w:t>
            </w:r>
          </w:p>
        </w:tc>
        <w:tc>
          <w:tcPr>
            <w:tcW w:w="3011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86EF85" w14:textId="77777777" w:rsidR="00A5539F" w:rsidRPr="00A5539F" w:rsidRDefault="00A5539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  <w:t>Validation Accuracy</w:t>
            </w:r>
          </w:p>
        </w:tc>
        <w:tc>
          <w:tcPr>
            <w:tcW w:w="2172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9F7026" w14:textId="77777777" w:rsidR="00A5539F" w:rsidRPr="00A5539F" w:rsidRDefault="00A5539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  <w:t>Improvement</w:t>
            </w:r>
          </w:p>
        </w:tc>
      </w:tr>
      <w:tr w:rsidR="00A5539F" w:rsidRPr="00A5539F" w14:paraId="0C3C5E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09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4A87A0B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Dummy Classifier</w:t>
            </w:r>
          </w:p>
        </w:tc>
        <w:tc>
          <w:tcPr>
            <w:tcW w:w="3011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5EAF12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75.4%</w:t>
            </w:r>
          </w:p>
        </w:tc>
        <w:tc>
          <w:tcPr>
            <w:tcW w:w="2172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6F0C6C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-</w:t>
            </w:r>
          </w:p>
        </w:tc>
      </w:tr>
      <w:tr w:rsidR="00A5539F" w:rsidRPr="00A5539F" w14:paraId="242535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09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0726B3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Logistic Regression</w:t>
            </w:r>
          </w:p>
        </w:tc>
        <w:tc>
          <w:tcPr>
            <w:tcW w:w="3011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645D32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99.5%</w:t>
            </w:r>
          </w:p>
        </w:tc>
        <w:tc>
          <w:tcPr>
            <w:tcW w:w="2172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581B89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+24.1%</w:t>
            </w:r>
          </w:p>
        </w:tc>
      </w:tr>
      <w:tr w:rsidR="00A5539F" w:rsidRPr="00A5539F" w14:paraId="4996711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09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28179F0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Random Forest</w:t>
            </w:r>
          </w:p>
        </w:tc>
        <w:tc>
          <w:tcPr>
            <w:tcW w:w="3011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C2FC63F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99.5%</w:t>
            </w:r>
          </w:p>
        </w:tc>
        <w:tc>
          <w:tcPr>
            <w:tcW w:w="2172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FD56BD4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+24.1%</w:t>
            </w:r>
          </w:p>
        </w:tc>
      </w:tr>
      <w:tr w:rsidR="00A5539F" w:rsidRPr="00A5539F" w14:paraId="0AE526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09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B7E6238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SVM</w:t>
            </w:r>
          </w:p>
        </w:tc>
        <w:tc>
          <w:tcPr>
            <w:tcW w:w="3011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8ABB69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99.6%</w:t>
            </w:r>
          </w:p>
        </w:tc>
        <w:tc>
          <w:tcPr>
            <w:tcW w:w="2172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7448669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+24.2%</w:t>
            </w:r>
          </w:p>
        </w:tc>
      </w:tr>
      <w:tr w:rsidR="00A5539F" w:rsidRPr="00A5539F" w14:paraId="485319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09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40CDEA9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Gradient Boosting</w:t>
            </w:r>
          </w:p>
        </w:tc>
        <w:tc>
          <w:tcPr>
            <w:tcW w:w="3011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CC6A860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99.4%</w:t>
            </w:r>
          </w:p>
        </w:tc>
        <w:tc>
          <w:tcPr>
            <w:tcW w:w="2172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C364071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  <w:t>+24.0%</w:t>
            </w:r>
          </w:p>
        </w:tc>
      </w:tr>
      <w:tr w:rsidR="00A5539F" w:rsidRPr="00A5539F" w14:paraId="45F960F5" w14:textId="77777777">
        <w:tblPrEx>
          <w:tblCellMar>
            <w:top w:w="0" w:type="dxa"/>
            <w:bottom w:w="0" w:type="dxa"/>
          </w:tblCellMar>
        </w:tblPrEx>
        <w:tc>
          <w:tcPr>
            <w:tcW w:w="2809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0707DE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  <w:t>RF (Optimized)</w:t>
            </w:r>
          </w:p>
        </w:tc>
        <w:tc>
          <w:tcPr>
            <w:tcW w:w="3011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C58F7D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  <w:t>99.7%</w:t>
            </w:r>
          </w:p>
        </w:tc>
        <w:tc>
          <w:tcPr>
            <w:tcW w:w="2172" w:type="dxa"/>
            <w:tcBorders>
              <w:top w:val="single" w:sz="8" w:space="0" w:color="2B2D31"/>
              <w:left w:val="single" w:sz="8" w:space="0" w:color="2B2D31"/>
              <w:bottom w:val="single" w:sz="8" w:space="0" w:color="2B2D31"/>
              <w:right w:val="single" w:sz="8" w:space="0" w:color="2B2D3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1E7EF5" w14:textId="77777777" w:rsidR="00A5539F" w:rsidRPr="00A5539F" w:rsidRDefault="00A5539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 w:themeColor="text1"/>
                <w:kern w:val="0"/>
                <w:sz w:val="26"/>
                <w:szCs w:val="26"/>
              </w:rPr>
            </w:pPr>
            <w:r w:rsidRPr="00A5539F">
              <w:rPr>
                <w:rFonts w:ascii="Helvetica" w:hAnsi="Helvetica" w:cs="Helvetica"/>
                <w:b/>
                <w:bCs/>
                <w:color w:val="000000" w:themeColor="text1"/>
                <w:kern w:val="0"/>
                <w:sz w:val="26"/>
                <w:szCs w:val="26"/>
              </w:rPr>
              <w:t>+24.3%</w:t>
            </w:r>
          </w:p>
        </w:tc>
      </w:tr>
    </w:tbl>
    <w:p w14:paraId="0B097CAF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Random Forest was selected for: (1) highest accuracy, (2) excellent discrimination (AUC=0.9999), (3) interpretability via feature importance, and (4) robust cross-validation (minimal variance).</w:t>
      </w:r>
    </w:p>
    <w:p w14:paraId="01FC20EF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</w:p>
    <w:p w14:paraId="4446D43B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</w:p>
    <w:p w14:paraId="3B4DFC63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</w:p>
    <w:p w14:paraId="389A9293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</w:p>
    <w:p w14:paraId="22B8AAE7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</w:p>
    <w:p w14:paraId="24F221A9" w14:textId="0268D4A3" w:rsidR="00923696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lastRenderedPageBreak/>
        <w:t>Error Analysis</w:t>
      </w:r>
    </w:p>
    <w:p w14:paraId="06935128" w14:textId="2CBB3522" w:rsidR="00923696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Figure 3: Confusion Matrix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</w:t>
      </w:r>
    </w:p>
    <w:p w14:paraId="712AF931" w14:textId="3D4120C7" w:rsidR="00A5539F" w:rsidRPr="00A5539F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>
        <w:rPr>
          <w:noProof/>
          <w:color w:val="000000" w:themeColor="text1"/>
        </w:rPr>
        <w:drawing>
          <wp:inline distT="0" distB="0" distL="0" distR="0" wp14:anchorId="2708CD25" wp14:editId="330AB7FD">
            <wp:extent cx="5943600" cy="5226050"/>
            <wp:effectExtent l="0" t="0" r="0" b="6350"/>
            <wp:docPr id="11796225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253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AFDC" w14:textId="77777777" w:rsid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Figure 3 reveals balanced error distribution: 2 false positives (</w:t>
      </w: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red</w:t>
      </w:r>
      <w:r w:rsidRPr="00A5539F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→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white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) and 2 false negatives (</w:t>
      </w: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white</w:t>
      </w:r>
      <w:r w:rsidRPr="00A5539F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→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red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). Therefore, the model exhibits no systematic bias, achieving 98.8% recall on red wines and 100% on white wines. For deployment, samples with 40-60% prediction probability should be flagged for manual review to catch edge cases (rosé wines, unusual batches).</w:t>
      </w:r>
    </w:p>
    <w:p w14:paraId="53BFA4EC" w14:textId="77777777" w:rsidR="00923696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16685B43" w14:textId="77777777" w:rsidR="00923696" w:rsidRPr="00A5539F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4DB54358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lastRenderedPageBreak/>
        <w:t>Discrimination Performance</w:t>
      </w:r>
    </w:p>
    <w:p w14:paraId="5CDA25BB" w14:textId="77777777" w:rsidR="00923696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Figure 4: ROC Curve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</w:t>
      </w:r>
    </w:p>
    <w:p w14:paraId="3DE55831" w14:textId="3C81DBCD" w:rsidR="00A5539F" w:rsidRPr="00A5539F" w:rsidRDefault="00923696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>
        <w:rPr>
          <w:rFonts w:ascii="Helvetica" w:hAnsi="Helvetica" w:cs="Helvetica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1EFD75A2" wp14:editId="6BBA07CA">
            <wp:extent cx="5943600" cy="5228590"/>
            <wp:effectExtent l="0" t="0" r="0" b="3810"/>
            <wp:docPr id="426838561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38561" name="Picture 4" descr="A graph with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25BF" w14:textId="77777777" w:rsid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Figure 4 shows the ROC curve hugging the top-left corner (AUC=0.9999), indicating near-perfect separation. Consequently, quality control teams can set custom confidence thresholds (e.g., 95% for automatic routing) and trust that probability outputs accurately reflect prediction certainty.</w:t>
      </w:r>
    </w:p>
    <w:p w14:paraId="3E487B14" w14:textId="77777777" w:rsidR="006A366C" w:rsidRDefault="006A366C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77CED057" w14:textId="77777777" w:rsidR="006A366C" w:rsidRPr="00A5539F" w:rsidRDefault="006A366C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0335D0FB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lastRenderedPageBreak/>
        <w:t>Feature Importance</w:t>
      </w:r>
    </w:p>
    <w:p w14:paraId="29CB688E" w14:textId="7B76D9FD" w:rsidR="006A366C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Figure 5: Feature Importance Rankings</w:t>
      </w:r>
    </w:p>
    <w:p w14:paraId="429ED053" w14:textId="6B5B54A7" w:rsidR="00A5539F" w:rsidRPr="00A5539F" w:rsidRDefault="006A366C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>
        <w:rPr>
          <w:rFonts w:ascii="Helvetica" w:hAnsi="Helvetica" w:cs="Helvetica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1B0E9D45" wp14:editId="06E434E9">
            <wp:extent cx="5943600" cy="3437255"/>
            <wp:effectExtent l="0" t="0" r="0" b="4445"/>
            <wp:docPr id="840064095" name="Picture 5" descr="A graph with purpl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64095" name="Picture 5" descr="A graph with purple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E143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Figure 5 confirms total SO₂ (36.2%) as the dominant discriminator, followed by volatile acidity (14.8%) and chlorides (11.3%). This alignment with exploratory findings validates that the model learns chemically meaningful patterns rather than spurious correlations. </w:t>
      </w: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Advanced insight: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 xml:space="preserve"> pH's low importance (2.1%) suggests that while pH varies among wines, it doesn't distinguish red from white types - both can have similar pH ranges. Therefore, the model correctly identifies </w:t>
      </w: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sulfur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 xml:space="preserve"> compounds and volatile acidity as more type-specific indicators.</w:t>
      </w:r>
    </w:p>
    <w:p w14:paraId="7390A167" w14:textId="77777777" w:rsidR="00A5539F" w:rsidRPr="00A5539F" w:rsidRDefault="00A5539F" w:rsidP="00A5539F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0E8CD300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  <w:t>5. Business Impact and Limitations</w:t>
      </w:r>
    </w:p>
    <w:p w14:paraId="4B874DBD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t>Quantified Business Value</w:t>
      </w:r>
    </w:p>
    <w:p w14:paraId="20BE21FB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Modeling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 xml:space="preserve"> a winery processing 10,000 samples/month:</w:t>
      </w:r>
    </w:p>
    <w:p w14:paraId="392A5740" w14:textId="27FC0356" w:rsidR="00A5539F" w:rsidRPr="00A5539F" w:rsidRDefault="00A5539F" w:rsidP="00A5539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Cost savings:</w:t>
      </w:r>
      <w:r w:rsidR="006A366C" w:rsidRPr="006A366C">
        <w:rPr>
          <w:rFonts w:ascii="STIX Two Math" w:hAnsi="STIX Two Math" w:cs="STIX Two Math"/>
          <w:color w:val="000000" w:themeColor="text1"/>
          <w:kern w:val="0"/>
          <w:sz w:val="26"/>
          <w:szCs w:val="26"/>
        </w:rPr>
        <w:t xml:space="preserve"> $19,000 /month ($2 / sample manual → $0.10 / sample automated)</w:t>
      </w:r>
    </w:p>
    <w:p w14:paraId="28620D84" w14:textId="77777777" w:rsidR="00A5539F" w:rsidRPr="00A5539F" w:rsidRDefault="00A5539F" w:rsidP="00A5539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lastRenderedPageBreak/>
        <w:t>Annual ROI: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$228,000</w:t>
      </w:r>
    </w:p>
    <w:p w14:paraId="54AD3D92" w14:textId="77777777" w:rsidR="00A5539F" w:rsidRPr="00A5539F" w:rsidRDefault="00A5539F" w:rsidP="00A5539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Quality improvement: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94% error reduction (500</w:t>
      </w:r>
      <w:r w:rsidRPr="00A5539F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→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30 misclassifications/month)</w:t>
      </w:r>
    </w:p>
    <w:p w14:paraId="151FE1DC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As a result, deployment simultaneously reduces costs and improves accuracy.</w:t>
      </w:r>
    </w:p>
    <w:p w14:paraId="032863E8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t>Deployment Strategy</w:t>
      </w:r>
    </w:p>
    <w:p w14:paraId="3F8D6A7D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Three-phase rollout: (1) Pilot with 100% human oversight (3 months), (2) Partial automation with confidence-based routing - auto-route &gt;95% confidence, manual review &lt;95% (6 months), (3) Full deployment with quarterly retraining. This balances innovation with risk management.</w:t>
      </w:r>
    </w:p>
    <w:p w14:paraId="2F3B0186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31"/>
          <w:szCs w:val="31"/>
        </w:rPr>
        <w:t>Critical Limitations</w:t>
      </w:r>
    </w:p>
    <w:p w14:paraId="05B6406F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1. Geographic Bias: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Trained only on Portuguese wines; may fail on other regions (France, Italy, California). </w:t>
      </w:r>
      <w:r w:rsidRPr="00A5539F">
        <w:rPr>
          <w:rFonts w:ascii="Helvetica" w:hAnsi="Helvetica" w:cs="Helvetica"/>
          <w:i/>
          <w:iCs/>
          <w:color w:val="000000" w:themeColor="text1"/>
          <w:kern w:val="0"/>
          <w:sz w:val="26"/>
          <w:szCs w:val="26"/>
        </w:rPr>
        <w:t>Mitigation: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Collect 200+ samples per region before deployment; retrain if accuracy drops below 95%.</w:t>
      </w:r>
    </w:p>
    <w:p w14:paraId="3BD29221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2. Temporal Drift: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2004-2007 data may not reflect current wine chemistry due to climate change. </w:t>
      </w:r>
      <w:r w:rsidRPr="00A5539F">
        <w:rPr>
          <w:rFonts w:ascii="Helvetica" w:hAnsi="Helvetica" w:cs="Helvetica"/>
          <w:i/>
          <w:iCs/>
          <w:color w:val="000000" w:themeColor="text1"/>
          <w:kern w:val="0"/>
          <w:sz w:val="26"/>
          <w:szCs w:val="26"/>
        </w:rPr>
        <w:t>Mitigation: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Monitor annual performance; retrain when accuracy drops below 97%.</w:t>
      </w:r>
    </w:p>
    <w:p w14:paraId="183CD17C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3. Edge Cases: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Will misclassify hybrid styles (rosé, orange wines) as binary system. </w:t>
      </w:r>
      <w:r w:rsidRPr="00A5539F">
        <w:rPr>
          <w:rFonts w:ascii="Helvetica" w:hAnsi="Helvetica" w:cs="Helvetica"/>
          <w:i/>
          <w:iCs/>
          <w:color w:val="000000" w:themeColor="text1"/>
          <w:kern w:val="0"/>
          <w:sz w:val="26"/>
          <w:szCs w:val="26"/>
        </w:rPr>
        <w:t>Mitigation: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Implement out-of-distribution detector flagging unusual feature combinations.</w:t>
      </w:r>
    </w:p>
    <w:p w14:paraId="703D3F30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Therefore, responsible deployment requires ongoing monitoring, confidence thresholds, and periodic retraining.</w:t>
      </w:r>
    </w:p>
    <w:p w14:paraId="78ADF6AA" w14:textId="77777777" w:rsidR="00A5539F" w:rsidRPr="00A5539F" w:rsidRDefault="00A5539F" w:rsidP="00A5539F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44DCDD0E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  <w:t>6. Conclusions</w:t>
      </w:r>
    </w:p>
    <w:p w14:paraId="68194151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This project demonstrates a complete ML pipeline from problem definition through deployment-ready solution. The Random Forest classifier achieves </w:t>
      </w: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99.7% accuracy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- both highly accurate and interpretable for practitioners.</w:t>
      </w:r>
    </w:p>
    <w:p w14:paraId="2BEBBB76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Key achievements: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(1) Exceptional performance (</w:t>
      </w:r>
      <w:proofErr w:type="gram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24.3 point</w:t>
      </w:r>
      <w:proofErr w:type="gram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 xml:space="preserve"> improvement over baseline), (2) Rigorous validation (stratified 5-fold CV throughout), (3) Interpretability (feature importance aligns with chemical 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lastRenderedPageBreak/>
        <w:t>knowledge), (4) Quantified business value ($228K annual ROI), (5) Responsible AI framework (documented limitations with mitigations).</w:t>
      </w:r>
    </w:p>
    <w:p w14:paraId="0D835B16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Future enhancements: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Collect 2,000 samples from 5+ regions for geographic diversity (+2-3% accuracy expected), add 1,500 recent vintages for temporal coverage, include 500 hybrid-style samples for edge case robustness. As a result, the model would transition from Portuguese specialist to globally applicable system.</w:t>
      </w:r>
    </w:p>
    <w:p w14:paraId="034A1DD5" w14:textId="77777777" w:rsidR="00A5539F" w:rsidRPr="00A5539F" w:rsidRDefault="00A5539F" w:rsidP="00A5539F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</w:p>
    <w:p w14:paraId="4D6728C1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43"/>
          <w:szCs w:val="43"/>
        </w:rPr>
        <w:t>References</w:t>
      </w:r>
    </w:p>
    <w:p w14:paraId="09934CAF" w14:textId="77777777" w:rsidR="00A5539F" w:rsidRPr="00A5539F" w:rsidRDefault="00A5539F" w:rsidP="00A5539F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Cortez, P., et al. (2009). </w:t>
      </w:r>
      <w:r w:rsidRPr="00A5539F">
        <w:rPr>
          <w:rFonts w:ascii="Helvetica" w:hAnsi="Helvetica" w:cs="Helvetica"/>
          <w:i/>
          <w:iCs/>
          <w:color w:val="000000" w:themeColor="text1"/>
          <w:kern w:val="0"/>
          <w:sz w:val="26"/>
          <w:szCs w:val="26"/>
        </w:rPr>
        <w:t>Wine Quality Dataset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. UCI Machine Learning Repository.</w:t>
      </w:r>
    </w:p>
    <w:p w14:paraId="72F19483" w14:textId="77777777" w:rsidR="00A5539F" w:rsidRPr="00A5539F" w:rsidRDefault="00A5539F" w:rsidP="00A5539F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Pedregosa, F., et al. (2011). Scikit-learn: Machine Learning in Python. </w:t>
      </w:r>
      <w:r w:rsidRPr="00A5539F">
        <w:rPr>
          <w:rFonts w:ascii="Helvetica" w:hAnsi="Helvetica" w:cs="Helvetica"/>
          <w:i/>
          <w:iCs/>
          <w:color w:val="000000" w:themeColor="text1"/>
          <w:kern w:val="0"/>
          <w:sz w:val="26"/>
          <w:szCs w:val="26"/>
        </w:rPr>
        <w:t>JMLR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, 12, 2825-2830.</w:t>
      </w:r>
    </w:p>
    <w:p w14:paraId="38DB559C" w14:textId="77777777" w:rsidR="00A5539F" w:rsidRPr="00A5539F" w:rsidRDefault="00A5539F" w:rsidP="00A5539F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proofErr w:type="spellStart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Breiman</w:t>
      </w:r>
      <w:proofErr w:type="spellEnd"/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, L. (2001). Random Forests. </w:t>
      </w:r>
      <w:r w:rsidRPr="00A5539F">
        <w:rPr>
          <w:rFonts w:ascii="Helvetica" w:hAnsi="Helvetica" w:cs="Helvetica"/>
          <w:i/>
          <w:iCs/>
          <w:color w:val="000000" w:themeColor="text1"/>
          <w:kern w:val="0"/>
          <w:sz w:val="26"/>
          <w:szCs w:val="26"/>
        </w:rPr>
        <w:t>Machine Learning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, 45(1), 5-32.</w:t>
      </w:r>
    </w:p>
    <w:p w14:paraId="51700A6D" w14:textId="77777777" w:rsidR="00A5539F" w:rsidRPr="00A5539F" w:rsidRDefault="00A5539F" w:rsidP="00A5539F">
      <w:pPr>
        <w:autoSpaceDE w:val="0"/>
        <w:autoSpaceDN w:val="0"/>
        <w:adjustRightInd w:val="0"/>
        <w:spacing w:after="320"/>
        <w:rPr>
          <w:rFonts w:ascii="Helvetica" w:hAnsi="Helvetica" w:cs="Helvetica"/>
          <w:color w:val="000000" w:themeColor="text1"/>
          <w:kern w:val="0"/>
          <w:sz w:val="26"/>
          <w:szCs w:val="26"/>
        </w:rPr>
      </w:pPr>
      <w:r w:rsidRPr="00A5539F">
        <w:rPr>
          <w:rFonts w:ascii="Helvetica" w:hAnsi="Helvetica" w:cs="Helvetica"/>
          <w:b/>
          <w:bCs/>
          <w:color w:val="000000" w:themeColor="text1"/>
          <w:kern w:val="0"/>
          <w:sz w:val="26"/>
          <w:szCs w:val="26"/>
        </w:rPr>
        <w:t>Repository:</w:t>
      </w:r>
      <w:r w:rsidRPr="00A5539F">
        <w:rPr>
          <w:rFonts w:ascii="Helvetica" w:hAnsi="Helvetica" w:cs="Helvetica"/>
          <w:color w:val="000000" w:themeColor="text1"/>
          <w:kern w:val="0"/>
          <w:sz w:val="26"/>
          <w:szCs w:val="26"/>
        </w:rPr>
        <w:t> </w:t>
      </w:r>
      <w:hyperlink r:id="rId10" w:history="1">
        <w:r w:rsidRPr="00A5539F">
          <w:rPr>
            <w:rFonts w:ascii="Helvetica" w:hAnsi="Helvetica" w:cs="Helvetica"/>
            <w:color w:val="000000" w:themeColor="text1"/>
            <w:kern w:val="0"/>
            <w:sz w:val="26"/>
            <w:szCs w:val="26"/>
          </w:rPr>
          <w:t>https://github.com/antropovanikolitf/Classification-project</w:t>
        </w:r>
      </w:hyperlink>
    </w:p>
    <w:p w14:paraId="05A115BA" w14:textId="6EC8EC41" w:rsidR="004B44D3" w:rsidRPr="00A5539F" w:rsidRDefault="004B44D3" w:rsidP="00A5539F">
      <w:pPr>
        <w:rPr>
          <w:color w:val="000000" w:themeColor="text1"/>
        </w:rPr>
      </w:pPr>
    </w:p>
    <w:sectPr w:rsidR="004B44D3" w:rsidRPr="00A5539F" w:rsidSect="00A553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decimal"/>
      <w:lvlText w:val="%1"/>
      <w:lvlJc w:val="left"/>
      <w:pPr>
        <w:ind w:left="720" w:hanging="360"/>
      </w:pPr>
    </w:lvl>
    <w:lvl w:ilvl="1" w:tplc="0000057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8180683">
    <w:abstractNumId w:val="0"/>
  </w:num>
  <w:num w:numId="2" w16cid:durableId="2040470642">
    <w:abstractNumId w:val="1"/>
  </w:num>
  <w:num w:numId="3" w16cid:durableId="180441460">
    <w:abstractNumId w:val="2"/>
  </w:num>
  <w:num w:numId="4" w16cid:durableId="442190141">
    <w:abstractNumId w:val="3"/>
  </w:num>
  <w:num w:numId="5" w16cid:durableId="1923023342">
    <w:abstractNumId w:val="4"/>
  </w:num>
  <w:num w:numId="6" w16cid:durableId="715816669">
    <w:abstractNumId w:val="5"/>
  </w:num>
  <w:num w:numId="7" w16cid:durableId="895244031">
    <w:abstractNumId w:val="6"/>
  </w:num>
  <w:num w:numId="8" w16cid:durableId="903179505">
    <w:abstractNumId w:val="7"/>
  </w:num>
  <w:num w:numId="9" w16cid:durableId="745683598">
    <w:abstractNumId w:val="8"/>
  </w:num>
  <w:num w:numId="10" w16cid:durableId="308051020">
    <w:abstractNumId w:val="9"/>
  </w:num>
  <w:num w:numId="11" w16cid:durableId="994526703">
    <w:abstractNumId w:val="10"/>
  </w:num>
  <w:num w:numId="12" w16cid:durableId="537207770">
    <w:abstractNumId w:val="11"/>
  </w:num>
  <w:num w:numId="13" w16cid:durableId="509836432">
    <w:abstractNumId w:val="12"/>
  </w:num>
  <w:num w:numId="14" w16cid:durableId="1770925739">
    <w:abstractNumId w:val="13"/>
  </w:num>
  <w:num w:numId="15" w16cid:durableId="611743548">
    <w:abstractNumId w:val="14"/>
  </w:num>
  <w:num w:numId="16" w16cid:durableId="83187808">
    <w:abstractNumId w:val="15"/>
  </w:num>
  <w:num w:numId="17" w16cid:durableId="764350391">
    <w:abstractNumId w:val="16"/>
  </w:num>
  <w:num w:numId="18" w16cid:durableId="265894996">
    <w:abstractNumId w:val="17"/>
  </w:num>
  <w:num w:numId="19" w16cid:durableId="8386944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9F"/>
    <w:rsid w:val="00097646"/>
    <w:rsid w:val="00176BDA"/>
    <w:rsid w:val="00221F80"/>
    <w:rsid w:val="004B44D3"/>
    <w:rsid w:val="005D2687"/>
    <w:rsid w:val="005E26FE"/>
    <w:rsid w:val="006455D2"/>
    <w:rsid w:val="006A366C"/>
    <w:rsid w:val="00923696"/>
    <w:rsid w:val="00A5539F"/>
    <w:rsid w:val="00D3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A714"/>
  <w15:chartTrackingRefBased/>
  <w15:docId w15:val="{B65167B2-B796-844C-9BE4-A65D2332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3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3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tropovanikolitf/Classification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 Antropova</dc:creator>
  <cp:keywords/>
  <dc:description/>
  <cp:lastModifiedBy>Nicoli Antropova</cp:lastModifiedBy>
  <cp:revision>1</cp:revision>
  <dcterms:created xsi:type="dcterms:W3CDTF">2025-10-14T23:19:00Z</dcterms:created>
  <dcterms:modified xsi:type="dcterms:W3CDTF">2025-10-14T23:46:00Z</dcterms:modified>
</cp:coreProperties>
</file>