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D40E" w14:textId="6129C19E" w:rsidR="00514306" w:rsidRPr="00D33BFD" w:rsidRDefault="00514306" w:rsidP="00514306">
      <w:pPr>
        <w:pStyle w:val="Title"/>
        <w:rPr>
          <w:shd w:val="clear" w:color="auto" w:fill="FFFFFF"/>
        </w:rPr>
      </w:pPr>
      <w:r>
        <w:rPr>
          <w:shd w:val="clear" w:color="auto" w:fill="FFFFFF"/>
        </w:rPr>
        <w:t>CONTINUOUS ASSESSMENT 2</w:t>
      </w:r>
    </w:p>
    <w:p w14:paraId="400FFE3D" w14:textId="61823F2C" w:rsidR="009D4717" w:rsidRDefault="009D4717" w:rsidP="00B51EE3">
      <w:pPr>
        <w:pStyle w:val="Heading1"/>
      </w:pPr>
      <w:r>
        <w:t>PART 1:</w:t>
      </w:r>
    </w:p>
    <w:p w14:paraId="0EF129C4" w14:textId="77777777" w:rsidR="009D4717" w:rsidRDefault="009D4717" w:rsidP="00B51EE3">
      <w:pPr>
        <w:pStyle w:val="Heading2"/>
      </w:pPr>
      <w:r>
        <w:t>BACKGROUND</w:t>
      </w:r>
    </w:p>
    <w:p w14:paraId="54DC0012" w14:textId="504347FD" w:rsidR="009D4717" w:rsidRDefault="009D4717" w:rsidP="00D33BFD">
      <w:pPr>
        <w:rPr>
          <w:rFonts w:ascii="Calibri" w:hAnsi="Calibri" w:cs="Calibri"/>
        </w:rPr>
      </w:pPr>
      <w:r>
        <w:rPr>
          <w:rFonts w:ascii="Calibri" w:hAnsi="Calibri" w:cs="Calibri"/>
        </w:rPr>
        <w:t xml:space="preserve">SNSW is an executive agency of </w:t>
      </w:r>
      <w:r w:rsidRPr="007B61A9">
        <w:rPr>
          <w:rFonts w:ascii="Calibri" w:hAnsi="Calibri" w:cs="Calibri"/>
        </w:rPr>
        <w:t>NSW Government</w:t>
      </w:r>
      <w:r>
        <w:rPr>
          <w:rFonts w:ascii="Calibri" w:hAnsi="Calibri" w:cs="Calibri"/>
        </w:rPr>
        <w:t xml:space="preserve"> providing services that support and enable customers from individuals to organisation</w:t>
      </w:r>
      <w:r w:rsidR="00D14CD4">
        <w:rPr>
          <w:rFonts w:ascii="Calibri" w:hAnsi="Calibri" w:cs="Calibri"/>
        </w:rPr>
        <w:t>s</w:t>
      </w:r>
      <w:r>
        <w:rPr>
          <w:rFonts w:ascii="Calibri" w:hAnsi="Calibri" w:cs="Calibri"/>
        </w:rPr>
        <w:t xml:space="preserve">, partner agency or businesses to access </w:t>
      </w:r>
      <w:r w:rsidRPr="007B61A9">
        <w:rPr>
          <w:rFonts w:ascii="Calibri" w:hAnsi="Calibri" w:cs="Calibri"/>
        </w:rPr>
        <w:t>NSW</w:t>
      </w:r>
      <w:r>
        <w:rPr>
          <w:rFonts w:ascii="Calibri" w:hAnsi="Calibri" w:cs="Calibri"/>
        </w:rPr>
        <w:t xml:space="preserve"> </w:t>
      </w:r>
      <w:r w:rsidRPr="007B61A9">
        <w:rPr>
          <w:rFonts w:ascii="Calibri" w:hAnsi="Calibri" w:cs="Calibri"/>
        </w:rPr>
        <w:t>government</w:t>
      </w:r>
      <w:r>
        <w:rPr>
          <w:rFonts w:ascii="Calibri" w:hAnsi="Calibri" w:cs="Calibri"/>
        </w:rPr>
        <w:t xml:space="preserve"> </w:t>
      </w:r>
      <w:r w:rsidRPr="007B61A9">
        <w:rPr>
          <w:rFonts w:ascii="Calibri" w:hAnsi="Calibri" w:cs="Calibri"/>
        </w:rPr>
        <w:t xml:space="preserve">services online, </w:t>
      </w:r>
      <w:r>
        <w:rPr>
          <w:rFonts w:ascii="Calibri" w:hAnsi="Calibri" w:cs="Calibri"/>
        </w:rPr>
        <w:t>via phone calls</w:t>
      </w:r>
      <w:r w:rsidRPr="007B61A9">
        <w:rPr>
          <w:rFonts w:ascii="Calibri" w:hAnsi="Calibri" w:cs="Calibri"/>
        </w:rPr>
        <w:t xml:space="preserve"> or face-to-face through SNSW Centres</w:t>
      </w:r>
      <w:r>
        <w:rPr>
          <w:rFonts w:ascii="Calibri" w:hAnsi="Calibri" w:cs="Calibri"/>
        </w:rPr>
        <w:t xml:space="preserve">. As SNSW offers </w:t>
      </w:r>
      <w:r w:rsidR="003B3D6C" w:rsidRPr="003B3D6C">
        <w:rPr>
          <w:rFonts w:ascii="Calibri" w:hAnsi="Calibri" w:cs="Calibri"/>
        </w:rPr>
        <w:t xml:space="preserve">a multi-channel model of </w:t>
      </w:r>
      <w:r>
        <w:rPr>
          <w:rFonts w:ascii="Calibri" w:hAnsi="Calibri" w:cs="Calibri"/>
        </w:rPr>
        <w:t>agency services</w:t>
      </w:r>
      <w:r w:rsidRPr="003F4E45">
        <w:rPr>
          <w:rFonts w:ascii="Calibri" w:hAnsi="Calibri" w:cs="Calibri"/>
        </w:rPr>
        <w:t xml:space="preserve"> </w:t>
      </w:r>
      <w:r>
        <w:rPr>
          <w:rFonts w:ascii="Calibri" w:hAnsi="Calibri" w:cs="Calibri"/>
        </w:rPr>
        <w:t>on behalf of NSW Government, their</w:t>
      </w:r>
      <w:r w:rsidR="003B3D6C">
        <w:rPr>
          <w:rFonts w:ascii="Calibri" w:hAnsi="Calibri" w:cs="Calibri"/>
        </w:rPr>
        <w:t xml:space="preserve"> initial</w:t>
      </w:r>
      <w:r>
        <w:rPr>
          <w:rFonts w:ascii="Calibri" w:hAnsi="Calibri" w:cs="Calibri"/>
        </w:rPr>
        <w:t xml:space="preserve"> database stores an enormous amount of </w:t>
      </w:r>
      <w:r w:rsidR="00161331">
        <w:rPr>
          <w:rFonts w:ascii="Calibri" w:hAnsi="Calibri" w:cs="Calibri"/>
        </w:rPr>
        <w:t xml:space="preserve">over four million </w:t>
      </w:r>
      <w:r>
        <w:rPr>
          <w:rFonts w:ascii="Calibri" w:hAnsi="Calibri" w:cs="Calibri"/>
        </w:rPr>
        <w:t xml:space="preserve">clients/residents’ personal information across NSW. Unfortunately, in March 2020, it is recorded that SNSW suffered from </w:t>
      </w:r>
      <w:r w:rsidR="00161331">
        <w:rPr>
          <w:rFonts w:ascii="Calibri" w:hAnsi="Calibri" w:cs="Calibri"/>
        </w:rPr>
        <w:t>two</w:t>
      </w:r>
      <w:r w:rsidR="00D14CD4">
        <w:rPr>
          <w:rFonts w:ascii="Calibri" w:hAnsi="Calibri" w:cs="Calibri"/>
        </w:rPr>
        <w:t xml:space="preserve"> separate</w:t>
      </w:r>
      <w:r>
        <w:rPr>
          <w:rFonts w:ascii="Calibri" w:hAnsi="Calibri" w:cs="Calibri"/>
        </w:rPr>
        <w:t xml:space="preserve"> cyber</w:t>
      </w:r>
      <w:r w:rsidR="00161331">
        <w:rPr>
          <w:rFonts w:ascii="Calibri" w:hAnsi="Calibri" w:cs="Calibri"/>
        </w:rPr>
        <w:t xml:space="preserve"> security</w:t>
      </w:r>
      <w:r>
        <w:rPr>
          <w:rFonts w:ascii="Calibri" w:hAnsi="Calibri" w:cs="Calibri"/>
        </w:rPr>
        <w:t xml:space="preserve"> attack</w:t>
      </w:r>
      <w:r w:rsidR="00161331">
        <w:rPr>
          <w:rFonts w:ascii="Calibri" w:hAnsi="Calibri" w:cs="Calibri"/>
        </w:rPr>
        <w:t>s</w:t>
      </w:r>
      <w:r>
        <w:rPr>
          <w:rFonts w:ascii="Calibri" w:hAnsi="Calibri" w:cs="Calibri"/>
        </w:rPr>
        <w:t xml:space="preserve"> which </w:t>
      </w:r>
      <w:r w:rsidRPr="003F4E45">
        <w:rPr>
          <w:rFonts w:ascii="Calibri" w:hAnsi="Calibri" w:cs="Calibri"/>
        </w:rPr>
        <w:t>exposed a staggering 736GB of data</w:t>
      </w:r>
      <w:r>
        <w:rPr>
          <w:rFonts w:ascii="Calibri" w:hAnsi="Calibri" w:cs="Calibri"/>
        </w:rPr>
        <w:t xml:space="preserve"> with the number of around 1</w:t>
      </w:r>
      <w:r w:rsidR="00CD5624">
        <w:rPr>
          <w:rFonts w:ascii="Calibri" w:hAnsi="Calibri" w:cs="Calibri"/>
        </w:rPr>
        <w:t>8</w:t>
      </w:r>
      <w:r>
        <w:rPr>
          <w:rFonts w:ascii="Calibri" w:hAnsi="Calibri" w:cs="Calibri"/>
        </w:rPr>
        <w:t xml:space="preserve">6,000 personal information of people had been stolen by </w:t>
      </w:r>
      <w:r w:rsidRPr="003F4E45">
        <w:rPr>
          <w:rFonts w:ascii="Calibri" w:hAnsi="Calibri" w:cs="Calibri"/>
        </w:rPr>
        <w:t>cybercriminals</w:t>
      </w:r>
      <w:r>
        <w:rPr>
          <w:rFonts w:ascii="Calibri" w:hAnsi="Calibri" w:cs="Calibri"/>
        </w:rPr>
        <w:t>, as a victim of a phishing scam (</w:t>
      </w:r>
      <w:r w:rsidRPr="00B51EE3">
        <w:rPr>
          <w:rFonts w:ascii="Calibri" w:hAnsi="Calibri" w:cs="Calibri"/>
          <w:i/>
          <w:iCs/>
        </w:rPr>
        <w:t>according to itnews.com.au</w:t>
      </w:r>
      <w:r w:rsidR="003B3D6C" w:rsidRPr="00B51EE3">
        <w:rPr>
          <w:rFonts w:ascii="Calibri" w:hAnsi="Calibri" w:cs="Calibri"/>
          <w:i/>
          <w:iCs/>
        </w:rPr>
        <w:t xml:space="preserve"> and NSW Auditor General Report</w:t>
      </w:r>
      <w:r w:rsidRPr="00B51EE3">
        <w:rPr>
          <w:rFonts w:ascii="Calibri" w:hAnsi="Calibri" w:cs="Calibri"/>
          <w:i/>
          <w:iCs/>
        </w:rPr>
        <w:t xml:space="preserve">, </w:t>
      </w:r>
      <w:r w:rsidR="00B51EE3" w:rsidRPr="00B51EE3">
        <w:rPr>
          <w:rFonts w:ascii="Calibri" w:hAnsi="Calibri" w:cs="Calibri"/>
          <w:i/>
          <w:iCs/>
        </w:rPr>
        <w:t>18 Dec 2020</w:t>
      </w:r>
      <w:r>
        <w:rPr>
          <w:rFonts w:ascii="Calibri" w:hAnsi="Calibri" w:cs="Calibri"/>
        </w:rPr>
        <w:t>).</w:t>
      </w:r>
    </w:p>
    <w:p w14:paraId="402D878E" w14:textId="77777777" w:rsidR="00B51EE3" w:rsidRPr="007B61A9" w:rsidRDefault="00B51EE3" w:rsidP="00D33BFD">
      <w:pPr>
        <w:rPr>
          <w:rFonts w:ascii="Calibri" w:hAnsi="Calibri" w:cs="Calibri"/>
        </w:rPr>
      </w:pPr>
    </w:p>
    <w:p w14:paraId="16FB9167" w14:textId="77777777" w:rsidR="009D4717" w:rsidRPr="007B61A9" w:rsidRDefault="009D4717" w:rsidP="00B51EE3">
      <w:pPr>
        <w:pStyle w:val="Heading2"/>
      </w:pPr>
      <w:r>
        <w:t xml:space="preserve">CYBER </w:t>
      </w:r>
      <w:r w:rsidRPr="007B61A9">
        <w:t>INCIDENT</w:t>
      </w:r>
    </w:p>
    <w:p w14:paraId="4C05CE3F" w14:textId="50B0B7E5" w:rsidR="009D4717" w:rsidRDefault="009D4717" w:rsidP="00B51EE3">
      <w:pPr>
        <w:pStyle w:val="Heading3"/>
      </w:pPr>
      <w:r w:rsidRPr="00B51EE3">
        <w:t>Initial Foothold</w:t>
      </w:r>
    </w:p>
    <w:p w14:paraId="268BAAE7" w14:textId="1F43CD55" w:rsidR="00B51EE3" w:rsidRPr="00B51EE3" w:rsidRDefault="00B51EE3" w:rsidP="00B51EE3">
      <w:pPr>
        <w:rPr>
          <w:rFonts w:ascii="Calibri" w:hAnsi="Calibri" w:cs="Calibri"/>
        </w:rPr>
      </w:pPr>
      <w:r w:rsidRPr="00B51EE3">
        <w:rPr>
          <w:rFonts w:ascii="Calibri" w:hAnsi="Calibri" w:cs="Calibri"/>
        </w:rPr>
        <w:t>The data breach of SNSW was identified as a phishing campaign, which is the most prevalent method that causes the process of infiltrating, damaging or stealing confidential information of a system by receiving fraudulent contents from attackers. It is likely that phishing can be processed by sending messages through multiple platforms/media like private messages, social media, directly via phone calls and in this case, by emails. Those phishing messages can be sophisticated and convincing, which is hard to identify whether it is reliable or not. One</w:t>
      </w:r>
      <w:r w:rsidR="00B41983">
        <w:rPr>
          <w:rFonts w:ascii="Calibri" w:hAnsi="Calibri" w:cs="Calibri"/>
        </w:rPr>
        <w:t xml:space="preserve"> </w:t>
      </w:r>
      <w:r w:rsidRPr="00B51EE3">
        <w:rPr>
          <w:rFonts w:ascii="Calibri" w:hAnsi="Calibri" w:cs="Calibri"/>
        </w:rPr>
        <w:t xml:space="preserve">click to open the malicious attachment or link in a phishing email can deactivate accounts’ security and open an opportunity </w:t>
      </w:r>
      <w:r w:rsidR="00B41983">
        <w:rPr>
          <w:rFonts w:ascii="Calibri" w:hAnsi="Calibri" w:cs="Calibri"/>
        </w:rPr>
        <w:t>for</w:t>
      </w:r>
      <w:r w:rsidRPr="00B51EE3">
        <w:rPr>
          <w:rFonts w:ascii="Calibri" w:hAnsi="Calibri" w:cs="Calibri"/>
        </w:rPr>
        <w:t xml:space="preserve"> attackers </w:t>
      </w:r>
      <w:r>
        <w:rPr>
          <w:rFonts w:ascii="Calibri" w:hAnsi="Calibri" w:cs="Calibri"/>
        </w:rPr>
        <w:t>to access the network and</w:t>
      </w:r>
      <w:r w:rsidRPr="00B51EE3">
        <w:rPr>
          <w:rFonts w:ascii="Calibri" w:hAnsi="Calibri" w:cs="Calibri"/>
        </w:rPr>
        <w:t xml:space="preserve"> </w:t>
      </w:r>
      <w:r>
        <w:rPr>
          <w:rFonts w:ascii="Calibri" w:hAnsi="Calibri" w:cs="Calibri"/>
        </w:rPr>
        <w:t>a</w:t>
      </w:r>
      <w:r w:rsidRPr="00B51EE3">
        <w:rPr>
          <w:rFonts w:ascii="Calibri" w:hAnsi="Calibri" w:cs="Calibri"/>
        </w:rPr>
        <w:t>ccount’s information. In this cyber-attack event of SNSW, Business Email Compromise (BEC) was detected as a reason for the incident after an event of 2,725 internal SNSW employees receiving an email sent from a staff member’s email address. A Business Email Compromise is a specialist type of phishing attack to fraudulently access victims’ property. In SNSW’s case, this is an attack of an external threat factor to gain unauthorized access to 47 email accounts of internal employees via the contact service desk to approach staff mailboxes and newsflashes, which allows attackers to reset account owners’ passwords when they clicked to an attachment or link inside the email.</w:t>
      </w:r>
    </w:p>
    <w:p w14:paraId="18670D58" w14:textId="4477B2A0" w:rsidR="00AC5ED6" w:rsidRDefault="00AC5ED6" w:rsidP="00B51EE3">
      <w:pPr>
        <w:pStyle w:val="ListParagraph"/>
        <w:rPr>
          <w:rFonts w:ascii="Calibri" w:hAnsi="Calibri" w:cs="Calibri"/>
        </w:rPr>
      </w:pPr>
    </w:p>
    <w:p w14:paraId="5F0DCBBD" w14:textId="5FE4F721" w:rsidR="00AC5ED6" w:rsidRPr="00B51EE3" w:rsidRDefault="00AC5ED6" w:rsidP="00B51EE3">
      <w:pPr>
        <w:pStyle w:val="Heading3"/>
      </w:pPr>
      <w:r w:rsidRPr="00B51EE3">
        <w:t>Establish presence</w:t>
      </w:r>
    </w:p>
    <w:p w14:paraId="0143AE03" w14:textId="4B601570" w:rsidR="003B3D6C" w:rsidRDefault="00B51EE3" w:rsidP="00B51EE3">
      <w:pPr>
        <w:rPr>
          <w:rFonts w:ascii="Calibri" w:hAnsi="Calibri" w:cs="Calibri"/>
        </w:rPr>
      </w:pPr>
      <w:r w:rsidRPr="00B51EE3">
        <w:rPr>
          <w:rFonts w:ascii="Calibri" w:hAnsi="Calibri" w:cs="Calibri"/>
        </w:rPr>
        <w:t xml:space="preserve">After accessing staff accounts, attackers will </w:t>
      </w:r>
      <w:r>
        <w:rPr>
          <w:rFonts w:ascii="Calibri" w:hAnsi="Calibri" w:cs="Calibri"/>
        </w:rPr>
        <w:t>scan</w:t>
      </w:r>
      <w:r w:rsidRPr="00B51EE3">
        <w:rPr>
          <w:rFonts w:ascii="Calibri" w:hAnsi="Calibri" w:cs="Calibri"/>
        </w:rPr>
        <w:t>, examine and familiarize themselves with the network</w:t>
      </w:r>
      <w:r>
        <w:rPr>
          <w:rFonts w:ascii="Calibri" w:hAnsi="Calibri" w:cs="Calibri"/>
        </w:rPr>
        <w:t xml:space="preserve"> interior</w:t>
      </w:r>
      <w:r w:rsidRPr="00B51EE3">
        <w:rPr>
          <w:rFonts w:ascii="Calibri" w:hAnsi="Calibri" w:cs="Calibri"/>
        </w:rPr>
        <w:t xml:space="preserve"> </w:t>
      </w:r>
      <w:r>
        <w:rPr>
          <w:rFonts w:ascii="Calibri" w:hAnsi="Calibri" w:cs="Calibri"/>
        </w:rPr>
        <w:t xml:space="preserve">via </w:t>
      </w:r>
      <w:r w:rsidR="00B41983">
        <w:rPr>
          <w:rFonts w:ascii="Calibri" w:hAnsi="Calibri" w:cs="Calibri"/>
        </w:rPr>
        <w:t xml:space="preserve">a </w:t>
      </w:r>
      <w:r w:rsidRPr="00B51EE3">
        <w:rPr>
          <w:rFonts w:ascii="Calibri" w:hAnsi="Calibri" w:cs="Calibri"/>
        </w:rPr>
        <w:t>fake Office 365 login page</w:t>
      </w:r>
      <w:r>
        <w:rPr>
          <w:rFonts w:ascii="Calibri" w:hAnsi="Calibri" w:cs="Calibri"/>
        </w:rPr>
        <w:t xml:space="preserve"> </w:t>
      </w:r>
      <w:r w:rsidRPr="00B51EE3">
        <w:rPr>
          <w:rFonts w:ascii="Calibri" w:hAnsi="Calibri" w:cs="Calibri"/>
        </w:rPr>
        <w:t>to procure legitimate credentials and ensure they will gain legitimate remote access at the completion of this stage. It is clear that cybercriminals applied</w:t>
      </w:r>
      <w:r>
        <w:rPr>
          <w:rFonts w:ascii="Calibri" w:hAnsi="Calibri" w:cs="Calibri"/>
        </w:rPr>
        <w:t xml:space="preserve"> Valid Accounts and Exploitation for Privilege technique in</w:t>
      </w:r>
      <w:r w:rsidRPr="00B51EE3">
        <w:rPr>
          <w:rFonts w:ascii="Calibri" w:hAnsi="Calibri" w:cs="Calibri"/>
        </w:rPr>
        <w:t xml:space="preserve"> this stage of a typical compromise process onto SNSW to cause a cyberattack in March 2020. It was found in an analysis that a spoofed/false domain had been used to pretend a legitimate one, therefore, they can send targeted emails</w:t>
      </w:r>
      <w:r>
        <w:rPr>
          <w:rFonts w:ascii="Calibri" w:hAnsi="Calibri" w:cs="Calibri"/>
        </w:rPr>
        <w:t xml:space="preserve"> compromise</w:t>
      </w:r>
      <w:r w:rsidRPr="00B51EE3">
        <w:rPr>
          <w:rFonts w:ascii="Calibri" w:hAnsi="Calibri" w:cs="Calibri"/>
        </w:rPr>
        <w:t xml:space="preserve"> to employees without being suspicious. Attackers t</w:t>
      </w:r>
      <w:r>
        <w:rPr>
          <w:rFonts w:ascii="Calibri" w:hAnsi="Calibri" w:cs="Calibri"/>
        </w:rPr>
        <w:t>a</w:t>
      </w:r>
      <w:r w:rsidRPr="00B51EE3">
        <w:rPr>
          <w:rFonts w:ascii="Calibri" w:hAnsi="Calibri" w:cs="Calibri"/>
        </w:rPr>
        <w:t>ke over the administration access of account owner</w:t>
      </w:r>
      <w:r>
        <w:rPr>
          <w:rFonts w:ascii="Calibri" w:hAnsi="Calibri" w:cs="Calibri"/>
        </w:rPr>
        <w:t>s</w:t>
      </w:r>
      <w:r w:rsidRPr="00B51EE3">
        <w:rPr>
          <w:rFonts w:ascii="Calibri" w:hAnsi="Calibri" w:cs="Calibri"/>
        </w:rPr>
        <w:t xml:space="preserve"> from their workstations or key hosts in a network with the goal of obtaining legitimate privileged credentials. </w:t>
      </w:r>
      <w:r>
        <w:rPr>
          <w:rFonts w:ascii="Calibri" w:hAnsi="Calibri" w:cs="Calibri"/>
        </w:rPr>
        <w:t xml:space="preserve">The </w:t>
      </w:r>
      <w:r w:rsidRPr="00B51EE3">
        <w:rPr>
          <w:rFonts w:ascii="Calibri" w:hAnsi="Calibri" w:cs="Calibri"/>
        </w:rPr>
        <w:t>Final report of Audit Office NSW (</w:t>
      </w:r>
      <w:r w:rsidRPr="00B51EE3">
        <w:rPr>
          <w:rFonts w:ascii="Calibri" w:hAnsi="Calibri" w:cs="Calibri"/>
          <w:i/>
          <w:iCs/>
        </w:rPr>
        <w:t xml:space="preserve">Service NSW's </w:t>
      </w:r>
      <w:r w:rsidRPr="00B51EE3">
        <w:rPr>
          <w:rFonts w:ascii="Calibri" w:hAnsi="Calibri" w:cs="Calibri"/>
          <w:i/>
          <w:iCs/>
        </w:rPr>
        <w:lastRenderedPageBreak/>
        <w:t>handling of personal information, 18 Dec 2020</w:t>
      </w:r>
      <w:r w:rsidRPr="00B51EE3">
        <w:rPr>
          <w:rFonts w:ascii="Calibri" w:hAnsi="Calibri" w:cs="Calibri"/>
        </w:rPr>
        <w:t>) pointed out that mailboxes and information of 47 accessed email accounts were synchronised to a remote server using the IMAP protocol.</w:t>
      </w:r>
    </w:p>
    <w:p w14:paraId="4432493A" w14:textId="6A9B884F" w:rsidR="00B51EE3" w:rsidRDefault="00B51EE3" w:rsidP="00B51EE3">
      <w:pPr>
        <w:rPr>
          <w:rFonts w:ascii="Calibri" w:hAnsi="Calibri" w:cs="Calibri"/>
        </w:rPr>
      </w:pPr>
    </w:p>
    <w:p w14:paraId="6BC91D8E" w14:textId="40C5D321" w:rsidR="00B51EE3" w:rsidRDefault="00B51EE3" w:rsidP="00B51EE3">
      <w:pPr>
        <w:pStyle w:val="Heading3"/>
      </w:pPr>
      <w:r w:rsidRPr="00B51EE3">
        <w:t>Ensure persistence</w:t>
      </w:r>
    </w:p>
    <w:p w14:paraId="42D5AC1F" w14:textId="77777777" w:rsidR="00B51EE3" w:rsidRDefault="00B51EE3" w:rsidP="00B51EE3">
      <w:pPr>
        <w:rPr>
          <w:rFonts w:ascii="Calibri" w:hAnsi="Calibri" w:cs="Calibri"/>
        </w:rPr>
      </w:pPr>
      <w:r>
        <w:rPr>
          <w:rFonts w:ascii="Calibri" w:hAnsi="Calibri" w:cs="Calibri"/>
        </w:rPr>
        <w:t xml:space="preserve">To maintain privilege access to control victim accounts, installing and </w:t>
      </w:r>
      <w:r w:rsidRPr="00B51EE3">
        <w:rPr>
          <w:rFonts w:ascii="Calibri" w:hAnsi="Calibri" w:cs="Calibri"/>
        </w:rPr>
        <w:t>activat</w:t>
      </w:r>
      <w:r>
        <w:rPr>
          <w:rFonts w:ascii="Calibri" w:hAnsi="Calibri" w:cs="Calibri"/>
        </w:rPr>
        <w:t>ing</w:t>
      </w:r>
      <w:r w:rsidRPr="00B51EE3">
        <w:rPr>
          <w:rFonts w:ascii="Calibri" w:hAnsi="Calibri" w:cs="Calibri"/>
        </w:rPr>
        <w:t xml:space="preserve"> the execution of malware inside the user’s workstation </w:t>
      </w:r>
      <w:r>
        <w:rPr>
          <w:rFonts w:ascii="Calibri" w:hAnsi="Calibri" w:cs="Calibri"/>
        </w:rPr>
        <w:t>enable attackers to</w:t>
      </w:r>
      <w:r w:rsidRPr="00B51EE3">
        <w:rPr>
          <w:rFonts w:ascii="Calibri" w:hAnsi="Calibri" w:cs="Calibri"/>
        </w:rPr>
        <w:t xml:space="preserve"> steal user’s information, take over the operating system</w:t>
      </w:r>
      <w:r>
        <w:rPr>
          <w:rFonts w:ascii="Calibri" w:hAnsi="Calibri" w:cs="Calibri"/>
        </w:rPr>
        <w:t xml:space="preserve">, </w:t>
      </w:r>
      <w:r w:rsidRPr="00B51EE3">
        <w:rPr>
          <w:rFonts w:ascii="Calibri" w:hAnsi="Calibri" w:cs="Calibri"/>
        </w:rPr>
        <w:t>minimise network traffic and evade</w:t>
      </w:r>
      <w:r>
        <w:rPr>
          <w:rFonts w:ascii="Calibri" w:hAnsi="Calibri" w:cs="Calibri"/>
        </w:rPr>
        <w:t xml:space="preserve"> </w:t>
      </w:r>
      <w:r w:rsidRPr="00B51EE3">
        <w:rPr>
          <w:rFonts w:ascii="Calibri" w:hAnsi="Calibri" w:cs="Calibri"/>
        </w:rPr>
        <w:t>network defenders</w:t>
      </w:r>
      <w:r>
        <w:rPr>
          <w:rFonts w:ascii="Calibri" w:hAnsi="Calibri" w:cs="Calibri"/>
        </w:rPr>
        <w:t xml:space="preserve">. Using designed software, malware, ensure ongoing access to infiltrate the system remotely via IMAP protocol. </w:t>
      </w:r>
    </w:p>
    <w:p w14:paraId="15A45607" w14:textId="7639EA2A" w:rsidR="00B51EE3" w:rsidRDefault="00B51EE3" w:rsidP="00B51EE3">
      <w:pPr>
        <w:rPr>
          <w:rFonts w:ascii="Calibri" w:hAnsi="Calibri" w:cs="Calibri"/>
        </w:rPr>
      </w:pPr>
    </w:p>
    <w:p w14:paraId="26D94A8A" w14:textId="066726DF" w:rsidR="00B51EE3" w:rsidRDefault="00B51EE3" w:rsidP="00B51EE3">
      <w:pPr>
        <w:pStyle w:val="Heading3"/>
      </w:pPr>
      <w:r w:rsidRPr="00B51EE3">
        <w:t>Execute intent</w:t>
      </w:r>
    </w:p>
    <w:p w14:paraId="4535C275" w14:textId="44E8319B" w:rsidR="00B51EE3" w:rsidRPr="00B51EE3" w:rsidRDefault="00B51EE3" w:rsidP="00B51EE3">
      <w:pPr>
        <w:rPr>
          <w:rFonts w:ascii="Calibri" w:hAnsi="Calibri" w:cs="Calibri"/>
        </w:rPr>
      </w:pPr>
      <w:r>
        <w:rPr>
          <w:rFonts w:ascii="Calibri" w:hAnsi="Calibri" w:cs="Calibri"/>
        </w:rPr>
        <w:t xml:space="preserve">Once persistence is ensured, attackers made use of this completion to </w:t>
      </w:r>
      <w:r w:rsidRPr="00B51EE3">
        <w:rPr>
          <w:rFonts w:ascii="Calibri" w:hAnsi="Calibri" w:cs="Calibri"/>
        </w:rPr>
        <w:t>execute their intent</w:t>
      </w:r>
      <w:r>
        <w:rPr>
          <w:rFonts w:ascii="Calibri" w:hAnsi="Calibri" w:cs="Calibri"/>
        </w:rPr>
        <w:t>. The intention could be various from stealing identit</w:t>
      </w:r>
      <w:r w:rsidR="00B41983">
        <w:rPr>
          <w:rFonts w:ascii="Calibri" w:hAnsi="Calibri" w:cs="Calibri"/>
        </w:rPr>
        <w:t>ies</w:t>
      </w:r>
      <w:r>
        <w:rPr>
          <w:rFonts w:ascii="Calibri" w:hAnsi="Calibri" w:cs="Calibri"/>
        </w:rPr>
        <w:t xml:space="preserve"> for </w:t>
      </w:r>
      <w:r w:rsidR="00B41983">
        <w:rPr>
          <w:rFonts w:ascii="Calibri" w:hAnsi="Calibri" w:cs="Calibri"/>
        </w:rPr>
        <w:t xml:space="preserve">an </w:t>
      </w:r>
      <w:r>
        <w:rPr>
          <w:rFonts w:ascii="Calibri" w:hAnsi="Calibri" w:cs="Calibri"/>
        </w:rPr>
        <w:t xml:space="preserve">appropriation of property, to data </w:t>
      </w:r>
      <w:r w:rsidRPr="00B51EE3">
        <w:rPr>
          <w:rFonts w:ascii="Calibri" w:hAnsi="Calibri" w:cs="Calibri"/>
        </w:rPr>
        <w:t>Infiltration</w:t>
      </w:r>
      <w:r>
        <w:rPr>
          <w:rFonts w:ascii="Calibri" w:hAnsi="Calibri" w:cs="Calibri"/>
        </w:rPr>
        <w:t xml:space="preserve"> or even system exploi</w:t>
      </w:r>
      <w:r w:rsidR="00B41983">
        <w:rPr>
          <w:rFonts w:ascii="Calibri" w:hAnsi="Calibri" w:cs="Calibri"/>
        </w:rPr>
        <w:t>ta</w:t>
      </w:r>
      <w:r>
        <w:rPr>
          <w:rFonts w:ascii="Calibri" w:hAnsi="Calibri" w:cs="Calibri"/>
        </w:rPr>
        <w:t>tion. SNSW data breach was identified as a BEC, which means that the intention of these attackers was detected to target the personal information of customers (who are either individual resident</w:t>
      </w:r>
      <w:r w:rsidR="00B41983">
        <w:rPr>
          <w:rFonts w:ascii="Calibri" w:hAnsi="Calibri" w:cs="Calibri"/>
        </w:rPr>
        <w:t>s</w:t>
      </w:r>
      <w:r>
        <w:rPr>
          <w:rFonts w:ascii="Calibri" w:hAnsi="Calibri" w:cs="Calibri"/>
        </w:rPr>
        <w:t>, organisation</w:t>
      </w:r>
      <w:r w:rsidR="00B41983">
        <w:rPr>
          <w:rFonts w:ascii="Calibri" w:hAnsi="Calibri" w:cs="Calibri"/>
        </w:rPr>
        <w:t>s</w:t>
      </w:r>
      <w:r>
        <w:rPr>
          <w:rFonts w:ascii="Calibri" w:hAnsi="Calibri" w:cs="Calibri"/>
        </w:rPr>
        <w:t xml:space="preserve"> or busines</w:t>
      </w:r>
      <w:r w:rsidR="00B41983">
        <w:rPr>
          <w:rFonts w:ascii="Calibri" w:hAnsi="Calibri" w:cs="Calibri"/>
        </w:rPr>
        <w:t>se</w:t>
      </w:r>
      <w:r>
        <w:rPr>
          <w:rFonts w:ascii="Calibri" w:hAnsi="Calibri" w:cs="Calibri"/>
        </w:rPr>
        <w:t xml:space="preserve">s) for financial gain. The personal data of </w:t>
      </w:r>
      <w:r w:rsidRPr="00B51EE3">
        <w:rPr>
          <w:rFonts w:ascii="Calibri" w:hAnsi="Calibri" w:cs="Calibri"/>
        </w:rPr>
        <w:t>around 500,000</w:t>
      </w:r>
      <w:r>
        <w:rPr>
          <w:rFonts w:ascii="Calibri" w:hAnsi="Calibri" w:cs="Calibri"/>
        </w:rPr>
        <w:t xml:space="preserve"> out of five million documents were breached and exposed via accessing 47 internal staff emails and spread to over 2,000 email accounts of employees (fortunately, only 47 disclosure is affected and controlled by the attack)</w:t>
      </w:r>
      <w:r w:rsidRPr="00B51EE3">
        <w:rPr>
          <w:rFonts w:ascii="Calibri" w:hAnsi="Calibri" w:cs="Calibri"/>
        </w:rPr>
        <w:t xml:space="preserve"> (</w:t>
      </w:r>
      <w:r w:rsidRPr="00B51EE3">
        <w:rPr>
          <w:rFonts w:ascii="Calibri" w:hAnsi="Calibri" w:cs="Calibri"/>
          <w:i/>
          <w:iCs/>
        </w:rPr>
        <w:t>Service NSW's handling of personal information, 18 Dec 2020</w:t>
      </w:r>
      <w:r w:rsidRPr="00B51EE3">
        <w:rPr>
          <w:rFonts w:ascii="Calibri" w:hAnsi="Calibri" w:cs="Calibri"/>
        </w:rPr>
        <w:t>)</w:t>
      </w:r>
      <w:r>
        <w:rPr>
          <w:rFonts w:ascii="Calibri" w:hAnsi="Calibri" w:cs="Calibri"/>
        </w:rPr>
        <w:t>.</w:t>
      </w:r>
    </w:p>
    <w:p w14:paraId="3F0C6CCE" w14:textId="35ED199D" w:rsidR="00AC5ED6" w:rsidRDefault="00AC5ED6" w:rsidP="00F86590">
      <w:pPr>
        <w:rPr>
          <w:rFonts w:ascii="Calibri" w:hAnsi="Calibri" w:cs="Calibri"/>
        </w:rPr>
      </w:pPr>
    </w:p>
    <w:p w14:paraId="7AC3BBC9" w14:textId="77777777" w:rsidR="00514306" w:rsidRDefault="00514306" w:rsidP="00B51EE3">
      <w:pPr>
        <w:pStyle w:val="Heading1"/>
      </w:pPr>
    </w:p>
    <w:p w14:paraId="33B64AC5" w14:textId="77777777" w:rsidR="007B2580" w:rsidRDefault="007B2580" w:rsidP="00B51EE3">
      <w:pPr>
        <w:pStyle w:val="Heading1"/>
      </w:pPr>
    </w:p>
    <w:p w14:paraId="24B10EBF" w14:textId="77777777" w:rsidR="007B2580" w:rsidRDefault="007B2580" w:rsidP="00B51EE3">
      <w:pPr>
        <w:pStyle w:val="Heading1"/>
      </w:pPr>
    </w:p>
    <w:p w14:paraId="14633033" w14:textId="77777777" w:rsidR="007B2580" w:rsidRDefault="007B2580" w:rsidP="00B51EE3">
      <w:pPr>
        <w:pStyle w:val="Heading1"/>
      </w:pPr>
    </w:p>
    <w:p w14:paraId="05F0BC16" w14:textId="77777777" w:rsidR="007B2580" w:rsidRDefault="007B2580" w:rsidP="00B51EE3">
      <w:pPr>
        <w:pStyle w:val="Heading1"/>
      </w:pPr>
    </w:p>
    <w:p w14:paraId="795003FC" w14:textId="77777777" w:rsidR="007B2580" w:rsidRDefault="007B2580" w:rsidP="00B51EE3">
      <w:pPr>
        <w:pStyle w:val="Heading1"/>
      </w:pPr>
    </w:p>
    <w:p w14:paraId="154241BD" w14:textId="77777777" w:rsidR="007B2580" w:rsidRDefault="007B2580" w:rsidP="00B51EE3">
      <w:pPr>
        <w:pStyle w:val="Heading1"/>
      </w:pPr>
    </w:p>
    <w:p w14:paraId="3D4B97CF" w14:textId="0B54B12C" w:rsidR="009D4717" w:rsidRDefault="009D4717" w:rsidP="00B51EE3">
      <w:pPr>
        <w:pStyle w:val="Heading1"/>
      </w:pPr>
      <w:r w:rsidRPr="007B61A9">
        <w:t>PART 2:</w:t>
      </w:r>
    </w:p>
    <w:p w14:paraId="142DF43C" w14:textId="2148B8CA" w:rsidR="00B51EE3" w:rsidRDefault="00F86590" w:rsidP="00F86590">
      <w:pPr>
        <w:rPr>
          <w:rFonts w:ascii="Calibri" w:hAnsi="Calibri" w:cs="Calibri"/>
        </w:rPr>
      </w:pPr>
      <w:r w:rsidRPr="00B51EE3">
        <w:t>The MITRE ATT&amp;CK matrix</w:t>
      </w:r>
      <w:r>
        <w:t xml:space="preserve"> is a collection of </w:t>
      </w:r>
      <w:r w:rsidRPr="00F86590">
        <w:rPr>
          <w:i/>
          <w:iCs/>
        </w:rPr>
        <w:t>techniques</w:t>
      </w:r>
      <w:r w:rsidRPr="00F86590">
        <w:t xml:space="preserve"> used by adversaries to accomplish a specific objective</w:t>
      </w:r>
      <w:r>
        <w:t xml:space="preserve"> and </w:t>
      </w:r>
      <w:r w:rsidR="00B41983">
        <w:t xml:space="preserve">is </w:t>
      </w:r>
      <w:r>
        <w:t xml:space="preserve">categorized by </w:t>
      </w:r>
      <w:r w:rsidRPr="00F86590">
        <w:rPr>
          <w:i/>
          <w:iCs/>
        </w:rPr>
        <w:t>ta</w:t>
      </w:r>
      <w:r w:rsidR="00B41983">
        <w:rPr>
          <w:i/>
          <w:iCs/>
        </w:rPr>
        <w:t>c</w:t>
      </w:r>
      <w:r w:rsidRPr="00F86590">
        <w:rPr>
          <w:i/>
          <w:iCs/>
        </w:rPr>
        <w:t>tics</w:t>
      </w:r>
      <w:r>
        <w:t>. There are 1</w:t>
      </w:r>
      <w:r w:rsidR="00B41983">
        <w:t>2</w:t>
      </w:r>
      <w:r>
        <w:t xml:space="preserve"> categories of </w:t>
      </w:r>
      <w:r w:rsidRPr="00B51EE3">
        <w:t>MITRE ATT&amp;CK</w:t>
      </w:r>
      <w:r>
        <w:t xml:space="preserve"> with different functionalities</w:t>
      </w:r>
      <w:r w:rsidR="00514306">
        <w:t xml:space="preserve"> which support the structure and design of a</w:t>
      </w:r>
      <w:r w:rsidR="00B41983">
        <w:t>n</w:t>
      </w:r>
      <w:r w:rsidR="00514306">
        <w:t xml:space="preserve"> ACSC Threat Lifecycle. </w:t>
      </w:r>
      <w:r w:rsidR="00B51EE3">
        <w:t xml:space="preserve">SNSW incident was a </w:t>
      </w:r>
      <w:r w:rsidR="00B51EE3" w:rsidRPr="00B51EE3">
        <w:rPr>
          <w:rFonts w:ascii="Calibri" w:hAnsi="Calibri" w:cs="Calibri"/>
        </w:rPr>
        <w:t>compromis</w:t>
      </w:r>
      <w:r w:rsidR="00B51EE3">
        <w:rPr>
          <w:rFonts w:ascii="Calibri" w:hAnsi="Calibri" w:cs="Calibri"/>
        </w:rPr>
        <w:t xml:space="preserve">e with </w:t>
      </w:r>
      <w:r w:rsidR="00B51EE3" w:rsidRPr="00B51EE3">
        <w:rPr>
          <w:rFonts w:ascii="Calibri" w:hAnsi="Calibri" w:cs="Calibri"/>
        </w:rPr>
        <w:t>tactics and techniques</w:t>
      </w:r>
      <w:r w:rsidR="00B51EE3">
        <w:rPr>
          <w:rFonts w:ascii="Calibri" w:hAnsi="Calibri" w:cs="Calibri"/>
        </w:rPr>
        <w:t xml:space="preserve"> applied</w:t>
      </w:r>
      <w:r>
        <w:rPr>
          <w:rFonts w:ascii="Calibri" w:hAnsi="Calibri" w:cs="Calibri"/>
        </w:rPr>
        <w:t xml:space="preserve"> </w:t>
      </w:r>
      <w:r>
        <w:t>t</w:t>
      </w:r>
      <w:r w:rsidRPr="00B51EE3">
        <w:t>he MITRE ATT&amp;CK matrix</w:t>
      </w:r>
      <w:r w:rsidR="00B51EE3">
        <w:rPr>
          <w:rFonts w:ascii="Calibri" w:hAnsi="Calibri" w:cs="Calibri"/>
        </w:rPr>
        <w:t xml:space="preserve"> into each phrase of the data breach process, which will be demonstrate</w:t>
      </w:r>
      <w:r w:rsidR="00B41983">
        <w:rPr>
          <w:rFonts w:ascii="Calibri" w:hAnsi="Calibri" w:cs="Calibri"/>
        </w:rPr>
        <w:t>d</w:t>
      </w:r>
      <w:r w:rsidR="00B51EE3">
        <w:rPr>
          <w:rFonts w:ascii="Calibri" w:hAnsi="Calibri" w:cs="Calibri"/>
        </w:rPr>
        <w:t xml:space="preserve"> in the table below.</w:t>
      </w:r>
    </w:p>
    <w:p w14:paraId="4B19A3FF" w14:textId="77777777" w:rsidR="00F86590" w:rsidRPr="00F86590" w:rsidRDefault="00F86590" w:rsidP="00F86590"/>
    <w:tbl>
      <w:tblPr>
        <w:tblStyle w:val="GridTable1Light-Accent5"/>
        <w:tblW w:w="5421" w:type="pct"/>
        <w:tblLook w:val="04A0" w:firstRow="1" w:lastRow="0" w:firstColumn="1" w:lastColumn="0" w:noHBand="0" w:noVBand="1"/>
      </w:tblPr>
      <w:tblGrid>
        <w:gridCol w:w="1261"/>
        <w:gridCol w:w="1346"/>
        <w:gridCol w:w="1279"/>
        <w:gridCol w:w="1015"/>
        <w:gridCol w:w="1637"/>
        <w:gridCol w:w="1552"/>
        <w:gridCol w:w="1685"/>
      </w:tblGrid>
      <w:tr w:rsidR="007B2580" w14:paraId="6F466877" w14:textId="215862C3" w:rsidTr="007B2580">
        <w:trPr>
          <w:cnfStyle w:val="100000000000" w:firstRow="1" w:lastRow="0" w:firstColumn="0" w:lastColumn="0" w:oddVBand="0" w:evenVBand="0" w:oddHBand="0"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642" w:type="pct"/>
            <w:vAlign w:val="center"/>
          </w:tcPr>
          <w:p w14:paraId="0190D2FE" w14:textId="6A0654BB" w:rsidR="007B2580" w:rsidRDefault="007B2580" w:rsidP="007B2580">
            <w:pPr>
              <w:jc w:val="center"/>
            </w:pPr>
            <w:bookmarkStart w:id="0" w:name="OLE_LINK1"/>
            <w:r>
              <w:t>ACSC Threat Lifecycle</w:t>
            </w:r>
          </w:p>
          <w:p w14:paraId="765B6740" w14:textId="79FDEF92" w:rsidR="007B2580" w:rsidRDefault="007B2580" w:rsidP="007B2580">
            <w:pPr>
              <w:jc w:val="center"/>
            </w:pPr>
            <w:r>
              <w:t>(4 phases)</w:t>
            </w:r>
          </w:p>
        </w:tc>
        <w:tc>
          <w:tcPr>
            <w:tcW w:w="685" w:type="pct"/>
            <w:vAlign w:val="center"/>
          </w:tcPr>
          <w:p w14:paraId="2B950AD9" w14:textId="1006C1B7"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Attackers action</w:t>
            </w:r>
          </w:p>
        </w:tc>
        <w:tc>
          <w:tcPr>
            <w:tcW w:w="652" w:type="pct"/>
            <w:vAlign w:val="center"/>
          </w:tcPr>
          <w:p w14:paraId="14AF1999" w14:textId="77777777"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Staff action</w:t>
            </w:r>
          </w:p>
          <w:p w14:paraId="5C98AD2C" w14:textId="799E2294"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(trigger event)</w:t>
            </w:r>
          </w:p>
        </w:tc>
        <w:tc>
          <w:tcPr>
            <w:tcW w:w="517" w:type="pct"/>
            <w:vAlign w:val="center"/>
          </w:tcPr>
          <w:p w14:paraId="3310396D" w14:textId="547661F4"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Source</w:t>
            </w:r>
          </w:p>
        </w:tc>
        <w:tc>
          <w:tcPr>
            <w:tcW w:w="834" w:type="pct"/>
            <w:vAlign w:val="center"/>
          </w:tcPr>
          <w:p w14:paraId="0FCDDF68" w14:textId="1DDCA15D"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Tactic</w:t>
            </w:r>
          </w:p>
        </w:tc>
        <w:tc>
          <w:tcPr>
            <w:tcW w:w="790" w:type="pct"/>
            <w:vAlign w:val="center"/>
          </w:tcPr>
          <w:p w14:paraId="68005193" w14:textId="0C41ECCE"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Technique</w:t>
            </w:r>
          </w:p>
        </w:tc>
        <w:tc>
          <w:tcPr>
            <w:tcW w:w="880" w:type="pct"/>
            <w:vAlign w:val="center"/>
          </w:tcPr>
          <w:p w14:paraId="56D18C9C" w14:textId="67BDD59C" w:rsidR="007B2580" w:rsidRDefault="007B2580" w:rsidP="007B2580">
            <w:pPr>
              <w:jc w:val="center"/>
              <w:cnfStyle w:val="100000000000" w:firstRow="1" w:lastRow="0" w:firstColumn="0" w:lastColumn="0" w:oddVBand="0" w:evenVBand="0" w:oddHBand="0" w:evenHBand="0" w:firstRowFirstColumn="0" w:firstRowLastColumn="0" w:lastRowFirstColumn="0" w:lastRowLastColumn="0"/>
            </w:pPr>
            <w:r>
              <w:t>Purpose</w:t>
            </w:r>
          </w:p>
        </w:tc>
      </w:tr>
      <w:tr w:rsidR="007B2580" w14:paraId="5924AF6B" w14:textId="4F017437" w:rsidTr="007B2580">
        <w:trPr>
          <w:trHeight w:val="1492"/>
        </w:trPr>
        <w:tc>
          <w:tcPr>
            <w:cnfStyle w:val="001000000000" w:firstRow="0" w:lastRow="0" w:firstColumn="1" w:lastColumn="0" w:oddVBand="0" w:evenVBand="0" w:oddHBand="0" w:evenHBand="0" w:firstRowFirstColumn="0" w:firstRowLastColumn="0" w:lastRowFirstColumn="0" w:lastRowLastColumn="0"/>
            <w:tcW w:w="642" w:type="pct"/>
            <w:vMerge w:val="restart"/>
            <w:vAlign w:val="center"/>
          </w:tcPr>
          <w:p w14:paraId="7B2284EE" w14:textId="5AD4C603" w:rsidR="007B2580" w:rsidRDefault="007B2580" w:rsidP="007B2580">
            <w:pPr>
              <w:jc w:val="center"/>
            </w:pPr>
            <w:r>
              <w:t>Initial Foothold</w:t>
            </w:r>
          </w:p>
        </w:tc>
        <w:tc>
          <w:tcPr>
            <w:tcW w:w="685" w:type="pct"/>
            <w:vMerge w:val="restart"/>
            <w:vAlign w:val="center"/>
          </w:tcPr>
          <w:p w14:paraId="76528748" w14:textId="6EF5D280" w:rsidR="007B2580" w:rsidRDefault="007B2580" w:rsidP="007B2580">
            <w:pPr>
              <w:cnfStyle w:val="000000000000" w:firstRow="0" w:lastRow="0" w:firstColumn="0" w:lastColumn="0" w:oddVBand="0" w:evenVBand="0" w:oddHBand="0" w:evenHBand="0" w:firstRowFirstColumn="0" w:firstRowLastColumn="0" w:lastRowFirstColumn="0" w:lastRowLastColumn="0"/>
            </w:pPr>
            <w:r>
              <w:t>Send fraudulent emails to internal employees</w:t>
            </w:r>
          </w:p>
        </w:tc>
        <w:tc>
          <w:tcPr>
            <w:tcW w:w="652" w:type="pct"/>
            <w:vMerge w:val="restart"/>
            <w:vAlign w:val="center"/>
          </w:tcPr>
          <w:p w14:paraId="50F77729" w14:textId="664B836E" w:rsidR="007B2580" w:rsidRDefault="007B2580" w:rsidP="007B2580">
            <w:pPr>
              <w:cnfStyle w:val="000000000000" w:firstRow="0" w:lastRow="0" w:firstColumn="0" w:lastColumn="0" w:oddVBand="0" w:evenVBand="0" w:oddHBand="0" w:evenHBand="0" w:firstRowFirstColumn="0" w:firstRowLastColumn="0" w:lastRowFirstColumn="0" w:lastRowLastColumn="0"/>
            </w:pPr>
            <w:r>
              <w:t>Click into attachment or link attached in the email body</w:t>
            </w:r>
          </w:p>
        </w:tc>
        <w:tc>
          <w:tcPr>
            <w:tcW w:w="517" w:type="pct"/>
            <w:vMerge w:val="restart"/>
            <w:vAlign w:val="center"/>
          </w:tcPr>
          <w:p w14:paraId="121A08EB" w14:textId="6DC55DAF" w:rsidR="007B2580" w:rsidRDefault="007B2580" w:rsidP="007B2580">
            <w:pPr>
              <w:cnfStyle w:val="000000000000" w:firstRow="0" w:lastRow="0" w:firstColumn="0" w:lastColumn="0" w:oddVBand="0" w:evenVBand="0" w:oddHBand="0" w:evenHBand="0" w:firstRowFirstColumn="0" w:firstRowLastColumn="0" w:lastRowFirstColumn="0" w:lastRowLastColumn="0"/>
            </w:pPr>
            <w:r>
              <w:t>External factor</w:t>
            </w:r>
          </w:p>
          <w:p w14:paraId="47A7F85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1AECCEE1" w14:textId="4B273552"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Via </w:t>
            </w:r>
            <w:r w:rsidRPr="00B51EE3">
              <w:rPr>
                <w:rFonts w:ascii="Calibri" w:hAnsi="Calibri" w:cs="Calibri"/>
              </w:rPr>
              <w:t>contact service desk</w:t>
            </w:r>
          </w:p>
        </w:tc>
        <w:tc>
          <w:tcPr>
            <w:tcW w:w="834" w:type="pct"/>
            <w:vAlign w:val="center"/>
          </w:tcPr>
          <w:p w14:paraId="64F8EC2F"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Initial Access</w:t>
            </w:r>
          </w:p>
          <w:p w14:paraId="571CD9DA" w14:textId="40FEAD28"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76D65AFD" w14:textId="23443AA3" w:rsidR="007B2580" w:rsidRDefault="007B2580" w:rsidP="007B2580">
            <w:pPr>
              <w:cnfStyle w:val="000000000000" w:firstRow="0" w:lastRow="0" w:firstColumn="0" w:lastColumn="0" w:oddVBand="0" w:evenVBand="0" w:oddHBand="0" w:evenHBand="0" w:firstRowFirstColumn="0" w:firstRowLastColumn="0" w:lastRowFirstColumn="0" w:lastRowLastColumn="0"/>
            </w:pPr>
            <w:r>
              <w:t>Phishing</w:t>
            </w:r>
          </w:p>
          <w:p w14:paraId="08DE746A" w14:textId="46D6388C"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80" w:type="pct"/>
            <w:vMerge w:val="restart"/>
            <w:vAlign w:val="center"/>
          </w:tcPr>
          <w:p w14:paraId="05D438D4" w14:textId="7BA61FB1"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Fake </w:t>
            </w:r>
            <w:r w:rsidRPr="00B51EE3">
              <w:rPr>
                <w:rFonts w:ascii="Calibri" w:hAnsi="Calibri" w:cs="Calibri"/>
              </w:rPr>
              <w:t>legitimate</w:t>
            </w:r>
            <w:r>
              <w:rPr>
                <w:rFonts w:ascii="Calibri" w:hAnsi="Calibri" w:cs="Calibri"/>
              </w:rPr>
              <w:t xml:space="preserve"> credentials to make victims click onto the scam messages</w:t>
            </w:r>
          </w:p>
        </w:tc>
      </w:tr>
      <w:tr w:rsidR="007B2580" w14:paraId="611B1FA3" w14:textId="6437EE97" w:rsidTr="007B2580">
        <w:trPr>
          <w:trHeight w:val="2042"/>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32B08BEF" w14:textId="77777777" w:rsidR="007B2580" w:rsidRDefault="007B2580" w:rsidP="007B2580">
            <w:pPr>
              <w:jc w:val="center"/>
            </w:pPr>
          </w:p>
        </w:tc>
        <w:tc>
          <w:tcPr>
            <w:tcW w:w="685" w:type="pct"/>
            <w:vMerge/>
            <w:vAlign w:val="center"/>
          </w:tcPr>
          <w:p w14:paraId="39F524B8"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0C8E78F8"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0C37891"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75F52E89" w14:textId="0545BE30" w:rsidR="007B2580" w:rsidRDefault="007B2580" w:rsidP="007B2580">
            <w:pPr>
              <w:cnfStyle w:val="000000000000" w:firstRow="0" w:lastRow="0" w:firstColumn="0" w:lastColumn="0" w:oddVBand="0" w:evenVBand="0" w:oddHBand="0" w:evenHBand="0" w:firstRowFirstColumn="0" w:firstRowLastColumn="0" w:lastRowFirstColumn="0" w:lastRowLastColumn="0"/>
            </w:pPr>
            <w:r>
              <w:t>Reconnaissance</w:t>
            </w:r>
          </w:p>
        </w:tc>
        <w:tc>
          <w:tcPr>
            <w:tcW w:w="790" w:type="pct"/>
            <w:vAlign w:val="center"/>
          </w:tcPr>
          <w:p w14:paraId="7D9BF898"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Phishing for Information</w:t>
            </w:r>
          </w:p>
          <w:p w14:paraId="639CED5B"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&lt; </w:t>
            </w:r>
            <w:r w:rsidRPr="00B51EE3">
              <w:rPr>
                <w:rFonts w:ascii="Calibri" w:hAnsi="Calibri" w:cs="Calibri"/>
              </w:rPr>
              <w:t>Business Email Compromise (BEC)</w:t>
            </w:r>
            <w:r>
              <w:rPr>
                <w:rFonts w:ascii="Calibri" w:hAnsi="Calibri" w:cs="Calibri"/>
              </w:rPr>
              <w:t xml:space="preserve"> &gt;</w:t>
            </w:r>
          </w:p>
          <w:p w14:paraId="5A07322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80" w:type="pct"/>
            <w:vMerge/>
            <w:vAlign w:val="center"/>
          </w:tcPr>
          <w:p w14:paraId="50C8FC6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61E6597E" w14:textId="235BDEB6" w:rsidTr="007B2580">
        <w:trPr>
          <w:trHeight w:val="837"/>
        </w:trPr>
        <w:tc>
          <w:tcPr>
            <w:cnfStyle w:val="001000000000" w:firstRow="0" w:lastRow="0" w:firstColumn="1" w:lastColumn="0" w:oddVBand="0" w:evenVBand="0" w:oddHBand="0" w:evenHBand="0" w:firstRowFirstColumn="0" w:firstRowLastColumn="0" w:lastRowFirstColumn="0" w:lastRowLastColumn="0"/>
            <w:tcW w:w="642" w:type="pct"/>
            <w:vMerge w:val="restart"/>
            <w:vAlign w:val="center"/>
          </w:tcPr>
          <w:p w14:paraId="6F6A7C73" w14:textId="0241211B" w:rsidR="007B2580" w:rsidRDefault="007B2580" w:rsidP="007B2580">
            <w:pPr>
              <w:jc w:val="center"/>
            </w:pPr>
            <w:r w:rsidRPr="00B51EE3">
              <w:t>Establish presence</w:t>
            </w:r>
          </w:p>
        </w:tc>
        <w:tc>
          <w:tcPr>
            <w:tcW w:w="685" w:type="pct"/>
            <w:vMerge w:val="restart"/>
            <w:vAlign w:val="center"/>
          </w:tcPr>
          <w:p w14:paraId="7A7C005C" w14:textId="65E93D2F"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Prompt a </w:t>
            </w:r>
            <w:r w:rsidRPr="00B51EE3">
              <w:t>fake Office 365 login page</w:t>
            </w:r>
          </w:p>
          <w:p w14:paraId="6904F2A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63354D26" w14:textId="0226BF23"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restart"/>
            <w:vAlign w:val="center"/>
          </w:tcPr>
          <w:p w14:paraId="2B2F574F"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Enter personal information into the system </w:t>
            </w:r>
          </w:p>
          <w:p w14:paraId="5EBD000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39D8FF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Be directed to their </w:t>
            </w:r>
            <w:r w:rsidRPr="00B51EE3">
              <w:t>fake Office 365 login page</w:t>
            </w:r>
          </w:p>
          <w:p w14:paraId="51B3196A" w14:textId="4EA8A1E3"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restart"/>
            <w:vAlign w:val="center"/>
          </w:tcPr>
          <w:p w14:paraId="0377CB5E" w14:textId="11EFCFF2" w:rsidR="007B2580" w:rsidRDefault="007B2580" w:rsidP="007B2580">
            <w:pPr>
              <w:cnfStyle w:val="000000000000" w:firstRow="0" w:lastRow="0" w:firstColumn="0" w:lastColumn="0" w:oddVBand="0" w:evenVBand="0" w:oddHBand="0" w:evenHBand="0" w:firstRowFirstColumn="0" w:firstRowLastColumn="0" w:lastRowFirstColumn="0" w:lastRowLastColumn="0"/>
            </w:pPr>
            <w:r>
              <w:t>External factor</w:t>
            </w:r>
          </w:p>
          <w:p w14:paraId="3809275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190F91F9" w14:textId="25C19789" w:rsidR="007B2580" w:rsidRDefault="007B2580" w:rsidP="007B2580">
            <w:pPr>
              <w:cnfStyle w:val="000000000000" w:firstRow="0" w:lastRow="0" w:firstColumn="0" w:lastColumn="0" w:oddVBand="0" w:evenVBand="0" w:oddHBand="0" w:evenHBand="0" w:firstRowFirstColumn="0" w:firstRowLastColumn="0" w:lastRowFirstColumn="0" w:lastRowLastColumn="0"/>
            </w:pPr>
            <w:r>
              <w:t xml:space="preserve">Via </w:t>
            </w:r>
            <w:r w:rsidRPr="00B51EE3">
              <w:rPr>
                <w:rFonts w:ascii="Calibri" w:hAnsi="Calibri" w:cs="Calibri"/>
              </w:rPr>
              <w:t>contact service desk</w:t>
            </w:r>
          </w:p>
        </w:tc>
        <w:tc>
          <w:tcPr>
            <w:tcW w:w="834" w:type="pct"/>
            <w:vMerge w:val="restart"/>
            <w:vAlign w:val="center"/>
          </w:tcPr>
          <w:p w14:paraId="45014A1F" w14:textId="017D97C5" w:rsidR="007B2580" w:rsidRDefault="007B2580" w:rsidP="007B2580">
            <w:pPr>
              <w:cnfStyle w:val="000000000000" w:firstRow="0" w:lastRow="0" w:firstColumn="0" w:lastColumn="0" w:oddVBand="0" w:evenVBand="0" w:oddHBand="0" w:evenHBand="0" w:firstRowFirstColumn="0" w:firstRowLastColumn="0" w:lastRowFirstColumn="0" w:lastRowLastColumn="0"/>
            </w:pPr>
            <w:r>
              <w:rPr>
                <w:rFonts w:ascii="Calibri" w:hAnsi="Calibri" w:cs="Calibri"/>
              </w:rPr>
              <w:t>Privilege Escalation</w:t>
            </w:r>
          </w:p>
          <w:p w14:paraId="5E1694B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EDD90EF" w14:textId="138411B0"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650DEA67" w14:textId="2A2E4B0B" w:rsidR="007B2580" w:rsidRDefault="007B2580" w:rsidP="007B2580">
            <w:pPr>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Valid Accounts </w:t>
            </w:r>
          </w:p>
        </w:tc>
        <w:tc>
          <w:tcPr>
            <w:tcW w:w="880" w:type="pct"/>
            <w:vMerge w:val="restart"/>
            <w:vAlign w:val="center"/>
          </w:tcPr>
          <w:p w14:paraId="167BAB96" w14:textId="42591184"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Take victims credential information to be authorized accessing the system</w:t>
            </w:r>
          </w:p>
        </w:tc>
      </w:tr>
      <w:tr w:rsidR="007B2580" w14:paraId="73ADD0A4" w14:textId="15403A04" w:rsidTr="007B2580">
        <w:trPr>
          <w:trHeight w:val="1134"/>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4F2E483B" w14:textId="77777777" w:rsidR="007B2580" w:rsidRPr="00B51EE3" w:rsidRDefault="007B2580" w:rsidP="007B2580">
            <w:pPr>
              <w:jc w:val="center"/>
            </w:pPr>
          </w:p>
        </w:tc>
        <w:tc>
          <w:tcPr>
            <w:tcW w:w="685" w:type="pct"/>
            <w:vMerge/>
            <w:vAlign w:val="center"/>
          </w:tcPr>
          <w:p w14:paraId="3D95ED6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3BC2615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2B1C176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ign w:val="center"/>
          </w:tcPr>
          <w:p w14:paraId="6FBB708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790" w:type="pct"/>
            <w:vAlign w:val="center"/>
          </w:tcPr>
          <w:p w14:paraId="04D8291C" w14:textId="4D01A416"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Exploitation for Privilege</w:t>
            </w:r>
          </w:p>
        </w:tc>
        <w:tc>
          <w:tcPr>
            <w:tcW w:w="880" w:type="pct"/>
            <w:vMerge/>
            <w:vAlign w:val="center"/>
          </w:tcPr>
          <w:p w14:paraId="5BFE5CD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1EAF6FA5" w14:textId="66204092" w:rsidTr="007B2580">
        <w:trPr>
          <w:trHeight w:val="1121"/>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33E892B1" w14:textId="77777777" w:rsidR="007B2580" w:rsidRPr="00B51EE3" w:rsidRDefault="007B2580" w:rsidP="007B2580">
            <w:pPr>
              <w:jc w:val="center"/>
            </w:pPr>
          </w:p>
        </w:tc>
        <w:tc>
          <w:tcPr>
            <w:tcW w:w="685" w:type="pct"/>
            <w:vMerge/>
            <w:vAlign w:val="center"/>
          </w:tcPr>
          <w:p w14:paraId="7C506EDB"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34B9D09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784865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12220AF4" w14:textId="2FBEF3B1"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pPr>
            <w:r>
              <w:t>Reconnaissance</w:t>
            </w:r>
          </w:p>
        </w:tc>
        <w:tc>
          <w:tcPr>
            <w:tcW w:w="790" w:type="pct"/>
            <w:vAlign w:val="center"/>
          </w:tcPr>
          <w:p w14:paraId="3F0ADC3A" w14:textId="2F3E7AAE"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pPr>
            <w:r w:rsidRPr="00F86590">
              <w:t>Active Scanning</w:t>
            </w:r>
          </w:p>
        </w:tc>
        <w:tc>
          <w:tcPr>
            <w:tcW w:w="880" w:type="pct"/>
            <w:vMerge/>
            <w:vAlign w:val="center"/>
          </w:tcPr>
          <w:p w14:paraId="7E5A02AB"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4B3EE582" w14:textId="44683ED3" w:rsidTr="007B2580">
        <w:trPr>
          <w:trHeight w:val="1183"/>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2A1EADCA" w14:textId="77777777" w:rsidR="007B2580" w:rsidRPr="00B51EE3" w:rsidRDefault="007B2580" w:rsidP="007B2580">
            <w:pPr>
              <w:jc w:val="center"/>
            </w:pPr>
          </w:p>
        </w:tc>
        <w:tc>
          <w:tcPr>
            <w:tcW w:w="685" w:type="pct"/>
            <w:vMerge/>
            <w:vAlign w:val="center"/>
          </w:tcPr>
          <w:p w14:paraId="75FDF30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2A621D4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110AFC4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7299736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Credential </w:t>
            </w:r>
            <w:r>
              <w:rPr>
                <w:rFonts w:ascii="Calibri" w:hAnsi="Calibri" w:cs="Calibri"/>
              </w:rPr>
              <w:t>Access</w:t>
            </w:r>
          </w:p>
          <w:p w14:paraId="6D7BDE97" w14:textId="2B3358F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441741AA" w14:textId="6FBA0C9A"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rsidRPr="007B2580">
              <w:rPr>
                <w:rFonts w:ascii="Calibri" w:hAnsi="Calibri" w:cs="Calibri"/>
              </w:rPr>
              <w:t>Modify Authentication Process</w:t>
            </w:r>
          </w:p>
        </w:tc>
        <w:tc>
          <w:tcPr>
            <w:tcW w:w="880" w:type="pct"/>
            <w:vMerge/>
            <w:vAlign w:val="center"/>
          </w:tcPr>
          <w:p w14:paraId="6E3EF98B"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4FB60F8F" w14:textId="77777777" w:rsidTr="007B2580">
        <w:trPr>
          <w:trHeight w:val="900"/>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325AEE1C" w14:textId="77777777" w:rsidR="007B2580" w:rsidRPr="00B51EE3" w:rsidRDefault="007B2580" w:rsidP="007B2580">
            <w:pPr>
              <w:jc w:val="center"/>
            </w:pPr>
          </w:p>
        </w:tc>
        <w:tc>
          <w:tcPr>
            <w:tcW w:w="685" w:type="pct"/>
            <w:vMerge/>
            <w:vAlign w:val="center"/>
          </w:tcPr>
          <w:p w14:paraId="656D750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3330352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B73492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restart"/>
            <w:vAlign w:val="center"/>
          </w:tcPr>
          <w:p w14:paraId="45F7503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Collection</w:t>
            </w:r>
          </w:p>
          <w:p w14:paraId="3BCD1B02"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pPr>
          </w:p>
          <w:p w14:paraId="4691EB1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6F41F7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E67800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2AD78F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1B76EDFB"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70C9EA94" w14:textId="2E772E62"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790" w:type="pct"/>
            <w:vAlign w:val="center"/>
          </w:tcPr>
          <w:p w14:paraId="68D13BAF"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DEBA93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B2580">
              <w:t>Forge Web Credentials</w:t>
            </w:r>
          </w:p>
          <w:p w14:paraId="0D391D50"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63264F1E"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0EF225A6" w14:textId="77777777" w:rsidTr="007B2580">
        <w:trPr>
          <w:trHeight w:val="1397"/>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1DAA717A" w14:textId="77777777" w:rsidR="007B2580" w:rsidRPr="00B51EE3" w:rsidRDefault="007B2580" w:rsidP="007B2580">
            <w:pPr>
              <w:jc w:val="center"/>
            </w:pPr>
          </w:p>
        </w:tc>
        <w:tc>
          <w:tcPr>
            <w:tcW w:w="685" w:type="pct"/>
            <w:vMerge/>
            <w:vAlign w:val="center"/>
          </w:tcPr>
          <w:p w14:paraId="2ED02A4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02F331F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46D0F62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ign w:val="center"/>
          </w:tcPr>
          <w:p w14:paraId="5980D239"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790" w:type="pct"/>
            <w:vAlign w:val="center"/>
          </w:tcPr>
          <w:p w14:paraId="3E0DB630" w14:textId="47F396B9"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pPr>
            <w:r w:rsidRPr="007B2580">
              <w:t>Steal Application Access Token</w:t>
            </w:r>
          </w:p>
        </w:tc>
        <w:tc>
          <w:tcPr>
            <w:tcW w:w="880" w:type="pct"/>
            <w:vMerge/>
            <w:vAlign w:val="center"/>
          </w:tcPr>
          <w:p w14:paraId="2F133557"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268D821E" w14:textId="77777777" w:rsidTr="007B2580">
        <w:trPr>
          <w:trHeight w:val="1236"/>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0B29522A" w14:textId="77777777" w:rsidR="007B2580" w:rsidRPr="00B51EE3" w:rsidRDefault="007B2580" w:rsidP="007B2580">
            <w:pPr>
              <w:jc w:val="center"/>
            </w:pPr>
          </w:p>
        </w:tc>
        <w:tc>
          <w:tcPr>
            <w:tcW w:w="685" w:type="pct"/>
            <w:vMerge/>
            <w:vAlign w:val="center"/>
          </w:tcPr>
          <w:p w14:paraId="4B41D80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vAlign w:val="center"/>
          </w:tcPr>
          <w:p w14:paraId="38090B9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4E0E562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170CF0A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t>Defense Evasion</w:t>
            </w:r>
          </w:p>
        </w:tc>
        <w:tc>
          <w:tcPr>
            <w:tcW w:w="790" w:type="pct"/>
            <w:vAlign w:val="center"/>
          </w:tcPr>
          <w:p w14:paraId="6FBEE4F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rsidRPr="007B2580">
              <w:t>Use Alternate Authentication Material</w:t>
            </w:r>
          </w:p>
          <w:p w14:paraId="6678737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35F22BF7" w14:textId="77777777" w:rsidR="007B2580" w:rsidRP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4395D855" w14:textId="0467F6AF" w:rsidTr="007B2580">
        <w:trPr>
          <w:trHeight w:val="1833"/>
        </w:trPr>
        <w:tc>
          <w:tcPr>
            <w:cnfStyle w:val="001000000000" w:firstRow="0" w:lastRow="0" w:firstColumn="1" w:lastColumn="0" w:oddVBand="0" w:evenVBand="0" w:oddHBand="0" w:evenHBand="0" w:firstRowFirstColumn="0" w:firstRowLastColumn="0" w:lastRowFirstColumn="0" w:lastRowLastColumn="0"/>
            <w:tcW w:w="642" w:type="pct"/>
            <w:vMerge w:val="restart"/>
            <w:vAlign w:val="center"/>
          </w:tcPr>
          <w:p w14:paraId="5D041C13" w14:textId="372F5C43" w:rsidR="007B2580" w:rsidRDefault="007B2580" w:rsidP="007B2580">
            <w:pPr>
              <w:jc w:val="center"/>
            </w:pPr>
            <w:r w:rsidRPr="00B51EE3">
              <w:t>Ensure persistence</w:t>
            </w:r>
          </w:p>
        </w:tc>
        <w:tc>
          <w:tcPr>
            <w:tcW w:w="685" w:type="pct"/>
            <w:vMerge w:val="restart"/>
            <w:vAlign w:val="center"/>
          </w:tcPr>
          <w:p w14:paraId="51D507C8" w14:textId="417037B8"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w:t>
            </w:r>
            <w:r w:rsidRPr="00B51EE3">
              <w:rPr>
                <w:rFonts w:ascii="Calibri" w:hAnsi="Calibri" w:cs="Calibri"/>
              </w:rPr>
              <w:t>ynchronise</w:t>
            </w:r>
            <w:r>
              <w:rPr>
                <w:rFonts w:ascii="Calibri" w:hAnsi="Calibri" w:cs="Calibri"/>
              </w:rPr>
              <w:t xml:space="preserve"> mailboxes and information</w:t>
            </w:r>
            <w:r w:rsidRPr="00B51EE3">
              <w:rPr>
                <w:rFonts w:ascii="Calibri" w:hAnsi="Calibri" w:cs="Calibri"/>
              </w:rPr>
              <w:t xml:space="preserve"> to a remote server using the IMAP protocol</w:t>
            </w:r>
            <w:r>
              <w:rPr>
                <w:rFonts w:ascii="Calibri" w:hAnsi="Calibri" w:cs="Calibri"/>
              </w:rPr>
              <w:t xml:space="preserve"> </w:t>
            </w:r>
          </w:p>
          <w:p w14:paraId="09166EF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2166145" w14:textId="3CAB49B4" w:rsidR="007B2580" w:rsidRDefault="007B2580" w:rsidP="007B2580">
            <w:pPr>
              <w:cnfStyle w:val="000000000000" w:firstRow="0" w:lastRow="0" w:firstColumn="0" w:lastColumn="0" w:oddVBand="0" w:evenVBand="0" w:oddHBand="0" w:evenHBand="0" w:firstRowFirstColumn="0" w:firstRowLastColumn="0" w:lastRowFirstColumn="0" w:lastRowLastColumn="0"/>
            </w:pPr>
            <w:r>
              <w:t>Fake email account of an internal staff</w:t>
            </w:r>
          </w:p>
          <w:p w14:paraId="123747A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1B5F4ED" w14:textId="2A9B89CC" w:rsidR="007B2580" w:rsidRDefault="007B2580" w:rsidP="007B2580">
            <w:pPr>
              <w:cnfStyle w:val="000000000000" w:firstRow="0" w:lastRow="0" w:firstColumn="0" w:lastColumn="0" w:oddVBand="0" w:evenVBand="0" w:oddHBand="0" w:evenHBand="0" w:firstRowFirstColumn="0" w:firstRowLastColumn="0" w:lastRowFirstColumn="0" w:lastRowLastColumn="0"/>
            </w:pPr>
            <w:r>
              <w:t>Send phishing emails to other staff members</w:t>
            </w:r>
          </w:p>
        </w:tc>
        <w:tc>
          <w:tcPr>
            <w:tcW w:w="652" w:type="pct"/>
            <w:vMerge w:val="restart"/>
            <w:vAlign w:val="center"/>
          </w:tcPr>
          <w:p w14:paraId="3B731BFB" w14:textId="2B23A55B" w:rsidR="007B2580" w:rsidRDefault="007B2580" w:rsidP="007B2580">
            <w:pPr>
              <w:cnfStyle w:val="000000000000" w:firstRow="0" w:lastRow="0" w:firstColumn="0" w:lastColumn="0" w:oddVBand="0" w:evenVBand="0" w:oddHBand="0" w:evenHBand="0" w:firstRowFirstColumn="0" w:firstRowLastColumn="0" w:lastRowFirstColumn="0" w:lastRowLastColumn="0"/>
            </w:pPr>
            <w:r>
              <w:t>Receive email from an internal email account of a staff member</w:t>
            </w:r>
          </w:p>
        </w:tc>
        <w:tc>
          <w:tcPr>
            <w:tcW w:w="517" w:type="pct"/>
            <w:vMerge w:val="restart"/>
            <w:vAlign w:val="center"/>
          </w:tcPr>
          <w:p w14:paraId="0B9A552C" w14:textId="5236354D" w:rsidR="007B2580" w:rsidRDefault="007B2580" w:rsidP="007B2580">
            <w:pPr>
              <w:cnfStyle w:val="000000000000" w:firstRow="0" w:lastRow="0" w:firstColumn="0" w:lastColumn="0" w:oddVBand="0" w:evenVBand="0" w:oddHBand="0" w:evenHBand="0" w:firstRowFirstColumn="0" w:firstRowLastColumn="0" w:lastRowFirstColumn="0" w:lastRowLastColumn="0"/>
            </w:pPr>
            <w:r>
              <w:t>Internal email account</w:t>
            </w:r>
          </w:p>
          <w:p w14:paraId="04A7B3E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F577540" w14:textId="3C07EAA9" w:rsidR="007B2580" w:rsidRDefault="007B2580" w:rsidP="007B2580">
            <w:pPr>
              <w:cnfStyle w:val="000000000000" w:firstRow="0" w:lastRow="0" w:firstColumn="0" w:lastColumn="0" w:oddVBand="0" w:evenVBand="0" w:oddHBand="0" w:evenHBand="0" w:firstRowFirstColumn="0" w:firstRowLastColumn="0" w:lastRowFirstColumn="0" w:lastRowLastColumn="0"/>
            </w:pPr>
            <w:r>
              <w:t>Via internal email system</w:t>
            </w:r>
          </w:p>
        </w:tc>
        <w:tc>
          <w:tcPr>
            <w:tcW w:w="834" w:type="pct"/>
            <w:vAlign w:val="center"/>
          </w:tcPr>
          <w:p w14:paraId="5E81580D" w14:textId="018AB50F" w:rsidR="007B2580" w:rsidRDefault="007B2580" w:rsidP="007B2580">
            <w:pPr>
              <w:cnfStyle w:val="000000000000" w:firstRow="0" w:lastRow="0" w:firstColumn="0" w:lastColumn="0" w:oddVBand="0" w:evenVBand="0" w:oddHBand="0" w:evenHBand="0" w:firstRowFirstColumn="0" w:firstRowLastColumn="0" w:lastRowFirstColumn="0" w:lastRowLastColumn="0"/>
            </w:pPr>
            <w:r>
              <w:t>Command and Control</w:t>
            </w:r>
          </w:p>
          <w:p w14:paraId="3C81CA6A" w14:textId="24F4E64F"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7D47A359" w14:textId="6743D0A3"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Remote Access Software</w:t>
            </w:r>
          </w:p>
          <w:p w14:paraId="5A3F25B1" w14:textId="62CBEF61"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80" w:type="pct"/>
            <w:vMerge w:val="restart"/>
            <w:vAlign w:val="center"/>
          </w:tcPr>
          <w:p w14:paraId="4BDD3DD6" w14:textId="42BC4BEF"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Ensure the maintenance of permission to access the victim’s account</w:t>
            </w:r>
          </w:p>
          <w:p w14:paraId="1213E74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FC1A13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Examine and gain access to the network</w:t>
            </w:r>
          </w:p>
          <w:p w14:paraId="4EFA446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36F4AAD" w14:textId="2DF116CE"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Steal identity and pretend to be the victim to spread the phishing emails to reach other victims in the system.</w:t>
            </w:r>
          </w:p>
        </w:tc>
      </w:tr>
      <w:tr w:rsidR="007B2580" w14:paraId="6BF395D0" w14:textId="6CDCE338" w:rsidTr="007B2580">
        <w:trPr>
          <w:trHeight w:val="604"/>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4300C6B7" w14:textId="77777777" w:rsidR="007B2580" w:rsidRPr="00B51EE3" w:rsidRDefault="007B2580" w:rsidP="007B2580">
            <w:pPr>
              <w:jc w:val="center"/>
            </w:pPr>
          </w:p>
        </w:tc>
        <w:tc>
          <w:tcPr>
            <w:tcW w:w="685" w:type="pct"/>
            <w:vMerge/>
            <w:vAlign w:val="center"/>
          </w:tcPr>
          <w:p w14:paraId="0FD4244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58807F2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499C57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54153409"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Collection</w:t>
            </w:r>
          </w:p>
          <w:p w14:paraId="2A395414" w14:textId="78DAF67E"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66D4FF49"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86590">
              <w:rPr>
                <w:rFonts w:ascii="Calibri" w:hAnsi="Calibri" w:cs="Calibri"/>
              </w:rPr>
              <w:t>Input Capture</w:t>
            </w:r>
          </w:p>
          <w:p w14:paraId="745B41AE" w14:textId="27AEEDA9"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7105BF72"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3A9C08C5" w14:textId="4E6D492B" w:rsidTr="007B2580">
        <w:trPr>
          <w:trHeight w:val="506"/>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18F227B0" w14:textId="77777777" w:rsidR="007B2580" w:rsidRPr="00B51EE3" w:rsidRDefault="007B2580" w:rsidP="007B2580">
            <w:pPr>
              <w:jc w:val="center"/>
            </w:pPr>
          </w:p>
        </w:tc>
        <w:tc>
          <w:tcPr>
            <w:tcW w:w="685" w:type="pct"/>
            <w:vMerge/>
            <w:vAlign w:val="center"/>
          </w:tcPr>
          <w:p w14:paraId="1CE9553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3E7612D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2BE8ED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restart"/>
            <w:vAlign w:val="center"/>
          </w:tcPr>
          <w:p w14:paraId="4CE26A4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P</w:t>
            </w:r>
            <w:r w:rsidRPr="00B51EE3">
              <w:t>ersistence</w:t>
            </w:r>
          </w:p>
          <w:p w14:paraId="737B814F" w14:textId="191488E0"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16189561" w14:textId="0E123D76"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Valid Accounts</w:t>
            </w:r>
          </w:p>
          <w:p w14:paraId="641CA969" w14:textId="5AC9C90E"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519CCE8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5FC0A0F9" w14:textId="77777777" w:rsidTr="007B2580">
        <w:trPr>
          <w:trHeight w:val="851"/>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59342CBE" w14:textId="77777777" w:rsidR="007B2580" w:rsidRPr="00B51EE3" w:rsidRDefault="007B2580" w:rsidP="007B2580">
            <w:pPr>
              <w:jc w:val="center"/>
            </w:pPr>
          </w:p>
        </w:tc>
        <w:tc>
          <w:tcPr>
            <w:tcW w:w="685" w:type="pct"/>
            <w:vMerge/>
            <w:vAlign w:val="center"/>
          </w:tcPr>
          <w:p w14:paraId="41A5514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7E2B41D1"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C88DDE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ign w:val="center"/>
          </w:tcPr>
          <w:p w14:paraId="09B5747C"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62C814F6" w14:textId="30D91D73"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B2580">
              <w:rPr>
                <w:rFonts w:ascii="Calibri" w:hAnsi="Calibri" w:cs="Calibri"/>
              </w:rPr>
              <w:t>Account</w:t>
            </w:r>
          </w:p>
          <w:p w14:paraId="2252E283" w14:textId="0A33080A"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B2580">
              <w:rPr>
                <w:rFonts w:ascii="Calibri" w:hAnsi="Calibri" w:cs="Calibri"/>
              </w:rPr>
              <w:t>Manipulation</w:t>
            </w:r>
          </w:p>
          <w:p w14:paraId="114267C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3B950A8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31ECEDEA" w14:textId="77777777" w:rsidTr="007B2580">
        <w:trPr>
          <w:trHeight w:val="1032"/>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04AC4FB4" w14:textId="77777777" w:rsidR="007B2580" w:rsidRPr="00B51EE3" w:rsidRDefault="007B2580" w:rsidP="007B2580">
            <w:pPr>
              <w:jc w:val="center"/>
            </w:pPr>
          </w:p>
        </w:tc>
        <w:tc>
          <w:tcPr>
            <w:tcW w:w="685" w:type="pct"/>
            <w:vMerge/>
            <w:vAlign w:val="center"/>
          </w:tcPr>
          <w:p w14:paraId="617A54B3"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2D104C9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65571678"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274D12B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Initial Access</w:t>
            </w:r>
          </w:p>
          <w:p w14:paraId="5905DCB9"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633EF2E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96FE712" w14:textId="00F8A2D8"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86590">
              <w:rPr>
                <w:rFonts w:ascii="Calibri" w:hAnsi="Calibri" w:cs="Calibri"/>
              </w:rPr>
              <w:t xml:space="preserve">External Remote </w:t>
            </w:r>
            <w:r w:rsidRPr="00F86590">
              <w:rPr>
                <w:rFonts w:ascii="Calibri" w:hAnsi="Calibri" w:cs="Calibri"/>
              </w:rPr>
              <w:t>Services</w:t>
            </w:r>
          </w:p>
          <w:p w14:paraId="50F18AF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5D6CCC78"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B2580" w14:paraId="0409F1A7" w14:textId="5FD08AF9" w:rsidTr="007B2580">
        <w:trPr>
          <w:trHeight w:val="720"/>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478E3ACC" w14:textId="77777777" w:rsidR="007B2580" w:rsidRPr="00B51EE3" w:rsidRDefault="007B2580" w:rsidP="007B2580">
            <w:pPr>
              <w:jc w:val="center"/>
            </w:pPr>
          </w:p>
        </w:tc>
        <w:tc>
          <w:tcPr>
            <w:tcW w:w="685" w:type="pct"/>
            <w:vMerge/>
            <w:vAlign w:val="center"/>
          </w:tcPr>
          <w:p w14:paraId="36727A3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60C6EB6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4A42292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restart"/>
            <w:vAlign w:val="center"/>
          </w:tcPr>
          <w:p w14:paraId="5E5AB47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rsidRPr="00F86590">
              <w:t>Lateral Movement</w:t>
            </w:r>
          </w:p>
          <w:p w14:paraId="6730DF35" w14:textId="5715EF3A"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20CDCEFB" w14:textId="6DFD9A9D" w:rsidR="007B2580" w:rsidRDefault="007B2580" w:rsidP="007B2580">
            <w:pPr>
              <w:cnfStyle w:val="000000000000" w:firstRow="0" w:lastRow="0" w:firstColumn="0" w:lastColumn="0" w:oddVBand="0" w:evenVBand="0" w:oddHBand="0" w:evenHBand="0" w:firstRowFirstColumn="0" w:firstRowLastColumn="0" w:lastRowFirstColumn="0" w:lastRowLastColumn="0"/>
            </w:pPr>
            <w:r w:rsidRPr="00F86590">
              <w:t>Remote Services</w:t>
            </w:r>
          </w:p>
          <w:p w14:paraId="58EFD6A2" w14:textId="5F68C60E"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80" w:type="pct"/>
            <w:vMerge/>
            <w:vAlign w:val="center"/>
          </w:tcPr>
          <w:p w14:paraId="5E706818"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5D1B6113" w14:textId="77777777" w:rsidTr="007B2580">
        <w:trPr>
          <w:trHeight w:val="600"/>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4E0441F5" w14:textId="77777777" w:rsidR="007B2580" w:rsidRPr="00B51EE3" w:rsidRDefault="007B2580" w:rsidP="007B2580">
            <w:pPr>
              <w:jc w:val="center"/>
            </w:pPr>
          </w:p>
        </w:tc>
        <w:tc>
          <w:tcPr>
            <w:tcW w:w="685" w:type="pct"/>
            <w:vMerge/>
            <w:vAlign w:val="center"/>
          </w:tcPr>
          <w:p w14:paraId="14633CC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3E1E8F68"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357053B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vAlign w:val="center"/>
          </w:tcPr>
          <w:p w14:paraId="3148392C"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3AC60E79"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rsidRPr="007B2580">
              <w:rPr>
                <w:rFonts w:ascii="Calibri" w:hAnsi="Calibri" w:cs="Calibri"/>
              </w:rPr>
              <w:t>Internal Spearphishing</w:t>
            </w:r>
          </w:p>
        </w:tc>
        <w:tc>
          <w:tcPr>
            <w:tcW w:w="880" w:type="pct"/>
            <w:vMerge/>
            <w:vAlign w:val="center"/>
          </w:tcPr>
          <w:p w14:paraId="5B26085B"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22AD9A9B" w14:textId="24365450" w:rsidTr="007B2580">
        <w:trPr>
          <w:trHeight w:val="1161"/>
        </w:trPr>
        <w:tc>
          <w:tcPr>
            <w:cnfStyle w:val="001000000000" w:firstRow="0" w:lastRow="0" w:firstColumn="1" w:lastColumn="0" w:oddVBand="0" w:evenVBand="0" w:oddHBand="0" w:evenHBand="0" w:firstRowFirstColumn="0" w:firstRowLastColumn="0" w:lastRowFirstColumn="0" w:lastRowLastColumn="0"/>
            <w:tcW w:w="642" w:type="pct"/>
            <w:vMerge/>
            <w:vAlign w:val="center"/>
          </w:tcPr>
          <w:p w14:paraId="0F49FA05" w14:textId="77777777" w:rsidR="007B2580" w:rsidRPr="00B51EE3" w:rsidRDefault="007B2580" w:rsidP="007B2580">
            <w:pPr>
              <w:jc w:val="center"/>
            </w:pPr>
          </w:p>
        </w:tc>
        <w:tc>
          <w:tcPr>
            <w:tcW w:w="685" w:type="pct"/>
            <w:vMerge/>
            <w:vAlign w:val="center"/>
          </w:tcPr>
          <w:p w14:paraId="240956E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652" w:type="pct"/>
            <w:vMerge/>
            <w:vAlign w:val="center"/>
          </w:tcPr>
          <w:p w14:paraId="1557A18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ign w:val="center"/>
          </w:tcPr>
          <w:p w14:paraId="5DDC8811"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Align w:val="center"/>
          </w:tcPr>
          <w:p w14:paraId="705CCDB6"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t>Discovery</w:t>
            </w:r>
          </w:p>
        </w:tc>
        <w:tc>
          <w:tcPr>
            <w:tcW w:w="790" w:type="pct"/>
            <w:vAlign w:val="center"/>
          </w:tcPr>
          <w:p w14:paraId="334CC1A5"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rsidRPr="00F86590">
              <w:t>Domain Trust Discovery</w:t>
            </w:r>
          </w:p>
        </w:tc>
        <w:tc>
          <w:tcPr>
            <w:tcW w:w="880" w:type="pct"/>
            <w:vMerge/>
            <w:vAlign w:val="center"/>
          </w:tcPr>
          <w:p w14:paraId="534D4AA4" w14:textId="77777777"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65761A5A" w14:textId="5A697E1C" w:rsidTr="007B2580">
        <w:trPr>
          <w:trHeight w:val="1391"/>
        </w:trPr>
        <w:tc>
          <w:tcPr>
            <w:cnfStyle w:val="001000000000" w:firstRow="0" w:lastRow="0" w:firstColumn="1" w:lastColumn="0" w:oddVBand="0" w:evenVBand="0" w:oddHBand="0" w:evenHBand="0" w:firstRowFirstColumn="0" w:firstRowLastColumn="0" w:lastRowFirstColumn="0" w:lastRowLastColumn="0"/>
            <w:tcW w:w="642" w:type="pct"/>
            <w:vMerge w:val="restart"/>
            <w:vAlign w:val="center"/>
          </w:tcPr>
          <w:p w14:paraId="66991755" w14:textId="0F9D6E3C" w:rsidR="007B2580" w:rsidRDefault="007B2580" w:rsidP="007B2580">
            <w:pPr>
              <w:jc w:val="center"/>
            </w:pPr>
            <w:r w:rsidRPr="00B51EE3">
              <w:t>Execute intent</w:t>
            </w:r>
          </w:p>
        </w:tc>
        <w:tc>
          <w:tcPr>
            <w:tcW w:w="685" w:type="pct"/>
            <w:vMerge w:val="restart"/>
            <w:vAlign w:val="center"/>
          </w:tcPr>
          <w:p w14:paraId="08943754" w14:textId="325CBBC0" w:rsidR="007B2580" w:rsidRDefault="007B2580" w:rsidP="007B2580">
            <w:pPr>
              <w:cnfStyle w:val="000000000000" w:firstRow="0" w:lastRow="0" w:firstColumn="0" w:lastColumn="0" w:oddVBand="0" w:evenVBand="0" w:oddHBand="0" w:evenHBand="0" w:firstRowFirstColumn="0" w:firstRowLastColumn="0" w:lastRowFirstColumn="0" w:lastRowLastColumn="0"/>
            </w:pPr>
            <w:r>
              <w:t>Get and receive personal information in the database</w:t>
            </w:r>
          </w:p>
          <w:p w14:paraId="07D705A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1A210BA5" w14:textId="0CA1B300" w:rsidR="007B2580" w:rsidRDefault="007B2580" w:rsidP="007B2580">
            <w:pPr>
              <w:cnfStyle w:val="000000000000" w:firstRow="0" w:lastRow="0" w:firstColumn="0" w:lastColumn="0" w:oddVBand="0" w:evenVBand="0" w:oddHBand="0" w:evenHBand="0" w:firstRowFirstColumn="0" w:firstRowLastColumn="0" w:lastRowFirstColumn="0" w:lastRowLastColumn="0"/>
            </w:pPr>
            <w:r>
              <w:t>(including financial details, TFN, identity information or even sensitive information)</w:t>
            </w:r>
          </w:p>
        </w:tc>
        <w:tc>
          <w:tcPr>
            <w:tcW w:w="652" w:type="pct"/>
            <w:vMerge w:val="restart"/>
            <w:vAlign w:val="center"/>
          </w:tcPr>
          <w:p w14:paraId="10F9950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val="restart"/>
            <w:vAlign w:val="center"/>
          </w:tcPr>
          <w:p w14:paraId="54CEAD17" w14:textId="7975EB52" w:rsidR="007B2580" w:rsidRDefault="007B2580" w:rsidP="007B2580">
            <w:pPr>
              <w:cnfStyle w:val="000000000000" w:firstRow="0" w:lastRow="0" w:firstColumn="0" w:lastColumn="0" w:oddVBand="0" w:evenVBand="0" w:oddHBand="0" w:evenHBand="0" w:firstRowFirstColumn="0" w:firstRowLastColumn="0" w:lastRowFirstColumn="0" w:lastRowLastColumn="0"/>
            </w:pPr>
            <w:r>
              <w:t>Internal email get data of other internal accounts via the system</w:t>
            </w:r>
          </w:p>
        </w:tc>
        <w:tc>
          <w:tcPr>
            <w:tcW w:w="834" w:type="pct"/>
            <w:vMerge w:val="restart"/>
            <w:vAlign w:val="center"/>
          </w:tcPr>
          <w:p w14:paraId="1A8C519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Collection</w:t>
            </w:r>
          </w:p>
          <w:p w14:paraId="40C56C32"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27A32C0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0C884C6" w14:textId="631371AD"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vAlign w:val="center"/>
          </w:tcPr>
          <w:p w14:paraId="091F6B5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rsidRPr="00F86590">
              <w:t>Email Collection</w:t>
            </w:r>
          </w:p>
          <w:p w14:paraId="279A4C84" w14:textId="4453E6AF"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80" w:type="pct"/>
            <w:vMerge w:val="restart"/>
            <w:vAlign w:val="center"/>
          </w:tcPr>
          <w:p w14:paraId="76583DEA"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r>
              <w:t>Gain data stored in each email of approached accounts</w:t>
            </w:r>
          </w:p>
          <w:p w14:paraId="52E0BAD0"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1C17E738" w14:textId="3E7613C1"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t>(personal information and transaction history of clients)</w:t>
            </w:r>
          </w:p>
        </w:tc>
      </w:tr>
      <w:tr w:rsidR="007B2580" w14:paraId="7C355195" w14:textId="608C570A" w:rsidTr="007B2580">
        <w:trPr>
          <w:trHeight w:val="1269"/>
        </w:trPr>
        <w:tc>
          <w:tcPr>
            <w:cnfStyle w:val="001000000000" w:firstRow="0" w:lastRow="0" w:firstColumn="1" w:lastColumn="0" w:oddVBand="0" w:evenVBand="0" w:oddHBand="0" w:evenHBand="0" w:firstRowFirstColumn="0" w:firstRowLastColumn="0" w:lastRowFirstColumn="0" w:lastRowLastColumn="0"/>
            <w:tcW w:w="642" w:type="pct"/>
            <w:vMerge/>
          </w:tcPr>
          <w:p w14:paraId="4231F4B1" w14:textId="77777777" w:rsidR="007B2580" w:rsidRPr="00B51EE3" w:rsidRDefault="007B2580" w:rsidP="00B41983">
            <w:pPr>
              <w:jc w:val="center"/>
            </w:pPr>
          </w:p>
        </w:tc>
        <w:tc>
          <w:tcPr>
            <w:tcW w:w="685" w:type="pct"/>
            <w:vMerge/>
          </w:tcPr>
          <w:p w14:paraId="118504B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tcPr>
          <w:p w14:paraId="3713A9B7"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tcPr>
          <w:p w14:paraId="0862B045"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vMerge/>
          </w:tcPr>
          <w:p w14:paraId="4D10F1ED"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790" w:type="pct"/>
          </w:tcPr>
          <w:p w14:paraId="1E1DE70B" w14:textId="61C59E90"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t>Data From Local System</w:t>
            </w:r>
          </w:p>
        </w:tc>
        <w:tc>
          <w:tcPr>
            <w:tcW w:w="880" w:type="pct"/>
            <w:vMerge/>
          </w:tcPr>
          <w:p w14:paraId="02F40D9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r>
      <w:tr w:rsidR="007B2580" w14:paraId="7A9261C1" w14:textId="788794E4" w:rsidTr="007B2580">
        <w:trPr>
          <w:trHeight w:val="2251"/>
        </w:trPr>
        <w:tc>
          <w:tcPr>
            <w:cnfStyle w:val="001000000000" w:firstRow="0" w:lastRow="0" w:firstColumn="1" w:lastColumn="0" w:oddVBand="0" w:evenVBand="0" w:oddHBand="0" w:evenHBand="0" w:firstRowFirstColumn="0" w:firstRowLastColumn="0" w:lastRowFirstColumn="0" w:lastRowLastColumn="0"/>
            <w:tcW w:w="642" w:type="pct"/>
            <w:vMerge/>
          </w:tcPr>
          <w:p w14:paraId="6244B904" w14:textId="77777777" w:rsidR="007B2580" w:rsidRPr="00B51EE3" w:rsidRDefault="007B2580" w:rsidP="007B2580">
            <w:pPr>
              <w:jc w:val="center"/>
            </w:pPr>
          </w:p>
        </w:tc>
        <w:tc>
          <w:tcPr>
            <w:tcW w:w="685" w:type="pct"/>
            <w:vMerge/>
          </w:tcPr>
          <w:p w14:paraId="017AC2BF"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652" w:type="pct"/>
            <w:vMerge/>
          </w:tcPr>
          <w:p w14:paraId="5D8DC944"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517" w:type="pct"/>
            <w:vMerge/>
          </w:tcPr>
          <w:p w14:paraId="236F122B"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c>
          <w:tcPr>
            <w:tcW w:w="834" w:type="pct"/>
          </w:tcPr>
          <w:p w14:paraId="7718C01A" w14:textId="7BFCD362" w:rsidR="007B2580" w:rsidRDefault="007B2580" w:rsidP="007B2580">
            <w:pPr>
              <w:cnfStyle w:val="000000000000" w:firstRow="0" w:lastRow="0" w:firstColumn="0" w:lastColumn="0" w:oddVBand="0" w:evenVBand="0" w:oddHBand="0" w:evenHBand="0" w:firstRowFirstColumn="0" w:firstRowLastColumn="0" w:lastRowFirstColumn="0" w:lastRowLastColumn="0"/>
            </w:pPr>
            <w:r w:rsidRPr="007B2580">
              <w:t>Exfiltration</w:t>
            </w:r>
          </w:p>
        </w:tc>
        <w:tc>
          <w:tcPr>
            <w:tcW w:w="790" w:type="pct"/>
          </w:tcPr>
          <w:p w14:paraId="72E12D0E"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p w14:paraId="0B8EA667" w14:textId="438A70CA" w:rsidR="007B2580" w:rsidRPr="00F86590" w:rsidRDefault="007B2580" w:rsidP="007B2580">
            <w:pPr>
              <w:cnfStyle w:val="000000000000" w:firstRow="0" w:lastRow="0" w:firstColumn="0" w:lastColumn="0" w:oddVBand="0" w:evenVBand="0" w:oddHBand="0" w:evenHBand="0" w:firstRowFirstColumn="0" w:firstRowLastColumn="0" w:lastRowFirstColumn="0" w:lastRowLastColumn="0"/>
            </w:pPr>
            <w:r w:rsidRPr="007B2580">
              <w:t>Exfiltration Over Alternative Protocol</w:t>
            </w:r>
          </w:p>
        </w:tc>
        <w:tc>
          <w:tcPr>
            <w:tcW w:w="880" w:type="pct"/>
            <w:vMerge/>
          </w:tcPr>
          <w:p w14:paraId="0467E166" w14:textId="77777777" w:rsidR="007B2580" w:rsidRDefault="007B2580" w:rsidP="007B2580">
            <w:pPr>
              <w:cnfStyle w:val="000000000000" w:firstRow="0" w:lastRow="0" w:firstColumn="0" w:lastColumn="0" w:oddVBand="0" w:evenVBand="0" w:oddHBand="0" w:evenHBand="0" w:firstRowFirstColumn="0" w:firstRowLastColumn="0" w:lastRowFirstColumn="0" w:lastRowLastColumn="0"/>
            </w:pPr>
          </w:p>
        </w:tc>
      </w:tr>
      <w:bookmarkEnd w:id="0"/>
    </w:tbl>
    <w:p w14:paraId="517EA358" w14:textId="77777777" w:rsidR="00B51EE3" w:rsidRDefault="00B51EE3" w:rsidP="00B51EE3"/>
    <w:p w14:paraId="180BB5FF" w14:textId="77777777" w:rsidR="009D4717" w:rsidRPr="007B61A9" w:rsidRDefault="009D4717" w:rsidP="00F86590">
      <w:pPr>
        <w:pStyle w:val="Heading1"/>
      </w:pPr>
      <w:r w:rsidRPr="007B61A9">
        <w:t>PART 3:</w:t>
      </w:r>
    </w:p>
    <w:p w14:paraId="49461661" w14:textId="5D5C5ED3" w:rsidR="00514306" w:rsidRPr="00514306" w:rsidRDefault="00514306" w:rsidP="00514306">
      <w:pPr>
        <w:rPr>
          <w:rFonts w:asciiTheme="majorHAnsi" w:hAnsiTheme="majorHAnsi" w:cstheme="majorBidi"/>
          <w:b/>
          <w:bCs/>
          <w:i/>
          <w:iCs/>
        </w:rPr>
      </w:pPr>
      <w:r w:rsidRPr="00514306">
        <w:rPr>
          <w:b/>
          <w:bCs/>
          <w:i/>
          <w:iCs/>
        </w:rPr>
        <w:t>Criteria to identify suitable targets (Reason)</w:t>
      </w:r>
    </w:p>
    <w:p w14:paraId="36B05BDC" w14:textId="263DE0E9" w:rsidR="00A448E7" w:rsidRDefault="00514306" w:rsidP="00514306">
      <w:r>
        <w:t xml:space="preserve">SNSW incident is the consequence of weaknesses in cyber security of the system. There are </w:t>
      </w:r>
      <w:r w:rsidR="00A448E7">
        <w:t>three main</w:t>
      </w:r>
      <w:r>
        <w:t xml:space="preserve"> factors/criteria that make SNSW system and SNSW employee accounts be suitable targets </w:t>
      </w:r>
      <w:r w:rsidR="00B41983">
        <w:t>for</w:t>
      </w:r>
      <w:r>
        <w:t xml:space="preserve"> cybercriminals.</w:t>
      </w:r>
    </w:p>
    <w:p w14:paraId="49A2E653" w14:textId="433ADC4A" w:rsidR="00514306" w:rsidRDefault="00514306" w:rsidP="00B41983">
      <w:r>
        <w:t xml:space="preserve"> First and foremost, it is considered that SNSW’s poor business processes w</w:t>
      </w:r>
      <w:r w:rsidR="00B41983">
        <w:t>ere</w:t>
      </w:r>
      <w:r>
        <w:t xml:space="preserve"> the main reason to cause a risk to the privacy of personal information. Business processes of SNSW w</w:t>
      </w:r>
      <w:r w:rsidR="00B41983">
        <w:t>ere</w:t>
      </w:r>
      <w:r>
        <w:t xml:space="preserve"> poor,</w:t>
      </w:r>
      <w:r w:rsidR="00B41983">
        <w:t xml:space="preserve"> as</w:t>
      </w:r>
      <w:r>
        <w:t xml:space="preserve"> policies for business processes still require scanning and emailing personal customer information directly to some client agencies. The process of contacting clients and handling clients data is requi</w:t>
      </w:r>
      <w:r w:rsidR="00B41983">
        <w:t>r</w:t>
      </w:r>
      <w:r>
        <w:t>ed i</w:t>
      </w:r>
      <w:r w:rsidRPr="00514306">
        <w:t>nevitable</w:t>
      </w:r>
      <w:r>
        <w:t xml:space="preserve"> actions like checking email content and clicking attachments or attached link</w:t>
      </w:r>
      <w:r w:rsidR="00B41983">
        <w:t>s</w:t>
      </w:r>
      <w:r>
        <w:t xml:space="preserve"> in the body of email, which were known as the beginning of attackers’ initial foothold. </w:t>
      </w:r>
      <w:r w:rsidR="00B41983">
        <w:t xml:space="preserve">In addition, there is an indistinct agreement in acquiring </w:t>
      </w:r>
      <w:r w:rsidR="00B41983" w:rsidRPr="00B41983">
        <w:t>privacy obligations</w:t>
      </w:r>
      <w:r w:rsidR="00B41983">
        <w:t xml:space="preserve"> about the roles and responsibilities of agencies in ensuring the security of clients’ information. The </w:t>
      </w:r>
      <w:r w:rsidR="00B41983" w:rsidRPr="00B41983">
        <w:t>zero-level appetite for privacy risk</w:t>
      </w:r>
      <w:r w:rsidR="00B41983">
        <w:t xml:space="preserve"> and lack of </w:t>
      </w:r>
      <w:r w:rsidR="00B41983">
        <w:t>risk</w:t>
      </w:r>
      <w:r w:rsidR="00B41983">
        <w:t xml:space="preserve"> </w:t>
      </w:r>
      <w:r w:rsidR="00B41983">
        <w:t>management</w:t>
      </w:r>
      <w:r w:rsidR="00B41983">
        <w:t xml:space="preserve"> with various </w:t>
      </w:r>
      <w:r w:rsidR="00B41983">
        <w:t>tolerances</w:t>
      </w:r>
      <w:r w:rsidR="00B41983">
        <w:t xml:space="preserve"> and </w:t>
      </w:r>
      <w:r w:rsidR="00B41983">
        <w:t xml:space="preserve">appetites </w:t>
      </w:r>
      <w:r w:rsidR="00B41983">
        <w:t xml:space="preserve">were also announced by </w:t>
      </w:r>
      <w:r w:rsidR="00B41983" w:rsidRPr="00B41983">
        <w:t>Group Risk and Performance (GRP)</w:t>
      </w:r>
      <w:r w:rsidR="00B41983">
        <w:t xml:space="preserve"> as a cause for this data breach.</w:t>
      </w:r>
    </w:p>
    <w:p w14:paraId="292D7101" w14:textId="62C3F5C5" w:rsidR="00514306" w:rsidRDefault="00514306" w:rsidP="00D54258">
      <w:r>
        <w:t xml:space="preserve">The second criteria </w:t>
      </w:r>
      <w:r w:rsidR="00B41983">
        <w:t>are</w:t>
      </w:r>
      <w:r>
        <w:t xml:space="preserve"> the lack </w:t>
      </w:r>
      <w:r w:rsidRPr="00514306">
        <w:t>of multi-factor authenticatio</w:t>
      </w:r>
      <w:r>
        <w:t xml:space="preserve">n of </w:t>
      </w:r>
      <w:r w:rsidR="00B41983">
        <w:t xml:space="preserve">the </w:t>
      </w:r>
      <w:r>
        <w:t>system that simplified the process of external threat factors accessing internal email accounts</w:t>
      </w:r>
      <w:r w:rsidR="00D54258">
        <w:t xml:space="preserve">, without any </w:t>
      </w:r>
      <w:r w:rsidR="00D54258">
        <w:t>response plan</w:t>
      </w:r>
      <w:r w:rsidR="004C7B96">
        <w:t xml:space="preserve">, </w:t>
      </w:r>
      <w:r w:rsidR="00B02DFC">
        <w:t xml:space="preserve">lacking awareness of </w:t>
      </w:r>
      <w:r w:rsidR="00B41983">
        <w:t xml:space="preserve">a </w:t>
      </w:r>
      <w:r w:rsidR="004C7B96" w:rsidRPr="004C7B96">
        <w:t>large-scale data breach</w:t>
      </w:r>
      <w:r w:rsidR="004C7B96">
        <w:t xml:space="preserve"> and cri</w:t>
      </w:r>
      <w:r w:rsidR="00B41983">
        <w:t>s</w:t>
      </w:r>
      <w:r w:rsidR="004C7B96">
        <w:t>is management</w:t>
      </w:r>
      <w:r>
        <w:t>. While it was hard to not check or respon</w:t>
      </w:r>
      <w:r w:rsidR="00B41983">
        <w:t>d</w:t>
      </w:r>
      <w:r>
        <w:t xml:space="preserve"> to </w:t>
      </w:r>
      <w:r w:rsidR="00D54258">
        <w:t>email</w:t>
      </w:r>
      <w:r w:rsidR="00B41983">
        <w:t>s</w:t>
      </w:r>
      <w:r w:rsidR="00D54258">
        <w:t>, including suspicious ones</w:t>
      </w:r>
      <w:r>
        <w:t>, the action phishing email could be prevented by the second security protection layer that re-validate</w:t>
      </w:r>
      <w:r w:rsidR="00B41983">
        <w:t>s</w:t>
      </w:r>
      <w:r>
        <w:t xml:space="preserve"> the authorisation and authentication step before officially gaining access to the system.</w:t>
      </w:r>
      <w:r w:rsidR="004C7B96">
        <w:t xml:space="preserve"> The risks of not having </w:t>
      </w:r>
      <w:r w:rsidR="004C7B96" w:rsidRPr="00514306">
        <w:t>multi-factor authenticatio</w:t>
      </w:r>
      <w:r w:rsidR="004C7B96">
        <w:t>n</w:t>
      </w:r>
      <w:r w:rsidR="004C7B96">
        <w:t xml:space="preserve"> within the system w</w:t>
      </w:r>
      <w:r w:rsidR="00B41983">
        <w:t>ere</w:t>
      </w:r>
      <w:r w:rsidR="004C7B96">
        <w:t xml:space="preserve"> identified by June 2019 but w</w:t>
      </w:r>
      <w:r w:rsidR="00B41983">
        <w:t>ere</w:t>
      </w:r>
      <w:r w:rsidR="004C7B96">
        <w:t xml:space="preserve"> not </w:t>
      </w:r>
      <w:r w:rsidR="00B41983">
        <w:t>implemented until the breach occurred and damaged the system.</w:t>
      </w:r>
    </w:p>
    <w:p w14:paraId="3CA8FA1E" w14:textId="338DE851" w:rsidR="00B41983" w:rsidRPr="00B41983" w:rsidRDefault="00B41983" w:rsidP="00B41983">
      <w:pPr>
        <w:rPr>
          <w:rFonts w:ascii="Calibri" w:hAnsi="Calibri" w:cs="Calibri"/>
          <w:sz w:val="24"/>
          <w:szCs w:val="24"/>
        </w:rPr>
      </w:pPr>
      <w:r>
        <w:t xml:space="preserve">Moreover, the </w:t>
      </w:r>
      <w:r w:rsidRPr="00B41983">
        <w:t>unharmonious</w:t>
      </w:r>
      <w:r w:rsidRPr="00B41983">
        <w:t xml:space="preserve"> </w:t>
      </w:r>
      <w:r>
        <w:t xml:space="preserve">of cyber security teams in the civil system within SNSW had also contributed to the cyber attack crisis of </w:t>
      </w:r>
      <w:r>
        <w:t>SNSW</w:t>
      </w:r>
      <w:r>
        <w:t xml:space="preserve">. It is recorded that there was no existence of </w:t>
      </w:r>
      <w:r>
        <w:t>a data breach response plan across NSW Government including</w:t>
      </w:r>
      <w:r>
        <w:t xml:space="preserve"> </w:t>
      </w:r>
      <w:r>
        <w:t>DCS/SNSW</w:t>
      </w:r>
      <w:r>
        <w:t xml:space="preserve">, along with lack of connection and balance between </w:t>
      </w:r>
      <w:r>
        <w:t>DCS Cluster Cyber and SNSW</w:t>
      </w:r>
      <w:r>
        <w:t xml:space="preserve"> </w:t>
      </w:r>
      <w:r>
        <w:t>Cyber</w:t>
      </w:r>
      <w:r>
        <w:t xml:space="preserve"> about </w:t>
      </w:r>
      <w:r w:rsidRPr="00B41983">
        <w:t>corporate policy and procedures</w:t>
      </w:r>
      <w:r>
        <w:t xml:space="preserve"> in </w:t>
      </w:r>
      <w:r>
        <w:t>handling</w:t>
      </w:r>
      <w:r>
        <w:t xml:space="preserve"> the crisis caused the unalignment between </w:t>
      </w:r>
      <w:r w:rsidRPr="00B41983">
        <w:t xml:space="preserve">DCS/SNSW Security Incident Response </w:t>
      </w:r>
      <w:r>
        <w:t xml:space="preserve">Plan and </w:t>
      </w:r>
      <w:r w:rsidRPr="00B41983">
        <w:rPr>
          <w:rFonts w:ascii="Calibri" w:hAnsi="Calibri" w:cs="Calibri"/>
          <w:color w:val="000000"/>
        </w:rPr>
        <w:t>NSW Cyber Incident Response Plan</w:t>
      </w:r>
      <w:r w:rsidRPr="00B41983">
        <w:rPr>
          <w:rFonts w:ascii="Calibri" w:hAnsi="Calibri" w:cs="Calibri"/>
          <w:color w:val="000000"/>
        </w:rPr>
        <w:t xml:space="preserve"> (ie different framework)</w:t>
      </w:r>
      <w:r>
        <w:rPr>
          <w:rFonts w:ascii="Calibri" w:hAnsi="Calibri" w:cs="Calibri"/>
          <w:color w:val="000000"/>
        </w:rPr>
        <w:t xml:space="preserve"> without any s</w:t>
      </w:r>
      <w:r w:rsidRPr="00B41983">
        <w:rPr>
          <w:rFonts w:ascii="Calibri" w:hAnsi="Calibri" w:cs="Calibri"/>
          <w:color w:val="000000"/>
        </w:rPr>
        <w:t>pecific partner engagement maps or contacts</w:t>
      </w:r>
      <w:r>
        <w:rPr>
          <w:rFonts w:ascii="Calibri" w:hAnsi="Calibri" w:cs="Calibri"/>
          <w:color w:val="000000"/>
        </w:rPr>
        <w:t xml:space="preserve"> during the incident. </w:t>
      </w:r>
    </w:p>
    <w:p w14:paraId="44DB8F67" w14:textId="27672FFE" w:rsidR="00514306" w:rsidRPr="00B41983" w:rsidRDefault="00514306" w:rsidP="00B41983">
      <w:r>
        <w:t xml:space="preserve">Last but not least, there is a shortage of proper cyber security in the protection of SNSW’s database, despite </w:t>
      </w:r>
      <w:r w:rsidR="00B41983">
        <w:t>a</w:t>
      </w:r>
      <w:r>
        <w:t xml:space="preserve"> large amount of data (over four million residents’ personal information).  This would cause the high risk of the personal information stored in SNSW’s database can be accessed and </w:t>
      </w:r>
      <w:r w:rsidRPr="00B51EE3">
        <w:rPr>
          <w:rFonts w:ascii="Calibri" w:hAnsi="Calibri" w:cs="Calibri"/>
        </w:rPr>
        <w:t>infiltrat</w:t>
      </w:r>
      <w:r>
        <w:rPr>
          <w:rFonts w:ascii="Calibri" w:hAnsi="Calibri" w:cs="Calibri"/>
        </w:rPr>
        <w:t xml:space="preserve">ed by </w:t>
      </w:r>
      <w:r w:rsidRPr="00514306">
        <w:rPr>
          <w:rFonts w:ascii="Calibri" w:hAnsi="Calibri" w:cs="Calibri"/>
        </w:rPr>
        <w:t>unauthorised</w:t>
      </w:r>
      <w:r>
        <w:rPr>
          <w:rFonts w:ascii="Calibri" w:hAnsi="Calibri" w:cs="Calibri"/>
        </w:rPr>
        <w:t xml:space="preserve"> users.</w:t>
      </w:r>
      <w:r w:rsidR="00D54258">
        <w:rPr>
          <w:rFonts w:ascii="Calibri" w:hAnsi="Calibri" w:cs="Calibri"/>
        </w:rPr>
        <w:t xml:space="preserve"> </w:t>
      </w:r>
      <w:r w:rsidR="00D54258" w:rsidRPr="00D54258">
        <w:rPr>
          <w:rFonts w:ascii="Calibri" w:hAnsi="Calibri" w:cs="Calibri"/>
        </w:rPr>
        <w:t>SNSW</w:t>
      </w:r>
      <w:r w:rsidR="00D54258">
        <w:rPr>
          <w:rFonts w:ascii="Calibri" w:hAnsi="Calibri" w:cs="Calibri"/>
        </w:rPr>
        <w:t xml:space="preserve"> implemented a poor </w:t>
      </w:r>
      <w:r w:rsidR="004C7B96" w:rsidRPr="004C7B96">
        <w:rPr>
          <w:rFonts w:ascii="Calibri" w:hAnsi="Calibri" w:cs="Calibri"/>
        </w:rPr>
        <w:t>Salesforce Customer Relationship Management</w:t>
      </w:r>
      <w:r w:rsidR="00D54258" w:rsidRPr="00D54258">
        <w:rPr>
          <w:rFonts w:ascii="Calibri" w:hAnsi="Calibri" w:cs="Calibri"/>
        </w:rPr>
        <w:t xml:space="preserve"> </w:t>
      </w:r>
      <w:r w:rsidR="004C7B96">
        <w:rPr>
          <w:rFonts w:ascii="Calibri" w:hAnsi="Calibri" w:cs="Calibri"/>
        </w:rPr>
        <w:t>(</w:t>
      </w:r>
      <w:r w:rsidR="00D54258" w:rsidRPr="00D54258">
        <w:rPr>
          <w:rFonts w:ascii="Calibri" w:hAnsi="Calibri" w:cs="Calibri"/>
        </w:rPr>
        <w:t>CRM</w:t>
      </w:r>
      <w:r w:rsidR="004C7B96">
        <w:rPr>
          <w:rFonts w:ascii="Calibri" w:hAnsi="Calibri" w:cs="Calibri"/>
        </w:rPr>
        <w:t>)</w:t>
      </w:r>
      <w:r w:rsidR="00D54258" w:rsidRPr="00D54258">
        <w:rPr>
          <w:rFonts w:ascii="Calibri" w:hAnsi="Calibri" w:cs="Calibri"/>
        </w:rPr>
        <w:t xml:space="preserve"> system</w:t>
      </w:r>
      <w:r w:rsidR="00D54258">
        <w:rPr>
          <w:rFonts w:ascii="Calibri" w:hAnsi="Calibri" w:cs="Calibri"/>
        </w:rPr>
        <w:t xml:space="preserve"> in </w:t>
      </w:r>
      <w:r w:rsidR="00D54258" w:rsidRPr="00D54258">
        <w:rPr>
          <w:rFonts w:ascii="Calibri" w:hAnsi="Calibri" w:cs="Calibri"/>
        </w:rPr>
        <w:t>the general IT and security controls</w:t>
      </w:r>
      <w:r w:rsidR="00F80F96">
        <w:rPr>
          <w:rFonts w:ascii="Calibri" w:hAnsi="Calibri" w:cs="Calibri"/>
        </w:rPr>
        <w:t xml:space="preserve"> aspects as poor information handling process that </w:t>
      </w:r>
      <w:r w:rsidR="00B02DFC">
        <w:rPr>
          <w:rFonts w:ascii="Calibri" w:hAnsi="Calibri" w:cs="Calibri"/>
        </w:rPr>
        <w:t>enables</w:t>
      </w:r>
      <w:r w:rsidR="00F80F96">
        <w:rPr>
          <w:rFonts w:ascii="Calibri" w:hAnsi="Calibri" w:cs="Calibri"/>
        </w:rPr>
        <w:t xml:space="preserve"> sensitive or privilege</w:t>
      </w:r>
      <w:r w:rsidR="00B02DFC">
        <w:rPr>
          <w:rFonts w:ascii="Calibri" w:hAnsi="Calibri" w:cs="Calibri"/>
        </w:rPr>
        <w:t>d data to be accessed via email.</w:t>
      </w:r>
    </w:p>
    <w:p w14:paraId="0AF2B861" w14:textId="1C8FD542" w:rsidR="00514306" w:rsidRDefault="00514306" w:rsidP="00D33BFD"/>
    <w:p w14:paraId="264B10F1" w14:textId="77777777" w:rsidR="00B41983" w:rsidRDefault="00B41983" w:rsidP="00514306">
      <w:pPr>
        <w:pStyle w:val="Heading1"/>
      </w:pPr>
    </w:p>
    <w:p w14:paraId="3EFCF459" w14:textId="77777777" w:rsidR="007B2580" w:rsidRDefault="007B2580" w:rsidP="00514306">
      <w:pPr>
        <w:pStyle w:val="Heading1"/>
      </w:pPr>
    </w:p>
    <w:p w14:paraId="56AF9782" w14:textId="251202AA" w:rsidR="00514306" w:rsidRDefault="00514306" w:rsidP="00514306">
      <w:pPr>
        <w:pStyle w:val="Heading1"/>
      </w:pPr>
      <w:r>
        <w:t>REFERENCES</w:t>
      </w:r>
    </w:p>
    <w:p w14:paraId="3A89ADAF"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Australian Cyber Security Centre (2016a). </w:t>
      </w:r>
      <w:r w:rsidRPr="00514306">
        <w:rPr>
          <w:rFonts w:ascii="Calibri" w:hAnsi="Calibri" w:cs="Calibri"/>
          <w:i/>
          <w:iCs/>
          <w:color w:val="000000"/>
          <w:sz w:val="22"/>
          <w:szCs w:val="22"/>
        </w:rPr>
        <w:t>ACSC Annual Cyber Threat Report(2016)</w:t>
      </w:r>
      <w:r w:rsidRPr="00514306">
        <w:rPr>
          <w:rFonts w:ascii="Calibri" w:hAnsi="Calibri" w:cs="Calibri"/>
          <w:color w:val="000000"/>
          <w:sz w:val="22"/>
          <w:szCs w:val="22"/>
        </w:rPr>
        <w:t>.</w:t>
      </w:r>
    </w:p>
    <w:p w14:paraId="4ED8F062"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Australian Cyber Security Centre (2016b). </w:t>
      </w:r>
      <w:r w:rsidRPr="00514306">
        <w:rPr>
          <w:rFonts w:ascii="Calibri" w:hAnsi="Calibri" w:cs="Calibri"/>
          <w:i/>
          <w:iCs/>
          <w:color w:val="000000"/>
          <w:sz w:val="22"/>
          <w:szCs w:val="22"/>
        </w:rPr>
        <w:t>ACSC Threat Report, Commonwealth of Australia</w:t>
      </w:r>
      <w:r w:rsidRPr="00514306">
        <w:rPr>
          <w:rFonts w:ascii="Calibri" w:hAnsi="Calibri" w:cs="Calibri"/>
          <w:color w:val="000000"/>
          <w:sz w:val="22"/>
          <w:szCs w:val="22"/>
        </w:rPr>
        <w:t>.</w:t>
      </w:r>
    </w:p>
    <w:p w14:paraId="738AC953"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Australian Cyber Security Centre (2020). </w:t>
      </w:r>
      <w:r w:rsidRPr="00514306">
        <w:rPr>
          <w:rFonts w:ascii="Calibri" w:hAnsi="Calibri" w:cs="Calibri"/>
          <w:i/>
          <w:iCs/>
          <w:color w:val="000000"/>
          <w:sz w:val="22"/>
          <w:szCs w:val="22"/>
        </w:rPr>
        <w:t>ACSC Annual Cyber Threat Report, July 2019 to June 2020</w:t>
      </w:r>
      <w:r w:rsidRPr="00514306">
        <w:rPr>
          <w:rFonts w:ascii="Calibri" w:hAnsi="Calibri" w:cs="Calibri"/>
          <w:color w:val="000000"/>
          <w:sz w:val="22"/>
          <w:szCs w:val="22"/>
        </w:rPr>
        <w:t>.</w:t>
      </w:r>
    </w:p>
    <w:p w14:paraId="2E5A5A4F"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CISCO (2015). </w:t>
      </w:r>
      <w:r w:rsidRPr="00514306">
        <w:rPr>
          <w:rFonts w:ascii="Calibri" w:hAnsi="Calibri" w:cs="Calibri"/>
          <w:i/>
          <w:iCs/>
          <w:color w:val="000000"/>
          <w:sz w:val="22"/>
          <w:szCs w:val="22"/>
        </w:rPr>
        <w:t>Cisco Cyber Threat Defense v2.0, Design Guide</w:t>
      </w:r>
      <w:r w:rsidRPr="00514306">
        <w:rPr>
          <w:rFonts w:ascii="Calibri" w:hAnsi="Calibri" w:cs="Calibri"/>
          <w:color w:val="000000"/>
          <w:sz w:val="22"/>
          <w:szCs w:val="22"/>
        </w:rPr>
        <w:t>.</w:t>
      </w:r>
    </w:p>
    <w:p w14:paraId="5B474491"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helpnetsecurity.com (2017). </w:t>
      </w:r>
      <w:r w:rsidRPr="00514306">
        <w:rPr>
          <w:rFonts w:ascii="Calibri" w:hAnsi="Calibri" w:cs="Calibri"/>
          <w:i/>
          <w:iCs/>
          <w:color w:val="000000"/>
          <w:sz w:val="22"/>
          <w:szCs w:val="22"/>
        </w:rPr>
        <w:t>The six stages of a cyber attack lifecycle - Help Net Security</w:t>
      </w:r>
      <w:r w:rsidRPr="00514306">
        <w:rPr>
          <w:rFonts w:ascii="Calibri" w:hAnsi="Calibri" w:cs="Calibri"/>
          <w:color w:val="000000"/>
          <w:sz w:val="22"/>
          <w:szCs w:val="22"/>
        </w:rPr>
        <w:t>. [online] Help Net Security. Available at: https://www.helpnetsecurity.com/2017/03/06/cyber-attack-lifecycle/.</w:t>
      </w:r>
    </w:p>
    <w:p w14:paraId="581E4D89"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Hendry, J. (2020). </w:t>
      </w:r>
      <w:r w:rsidRPr="00514306">
        <w:rPr>
          <w:rFonts w:ascii="Calibri" w:hAnsi="Calibri" w:cs="Calibri"/>
          <w:i/>
          <w:iCs/>
          <w:color w:val="000000"/>
          <w:sz w:val="22"/>
          <w:szCs w:val="22"/>
        </w:rPr>
        <w:t>Service NSW told to urgently improve data handling after cyber attack</w:t>
      </w:r>
      <w:r w:rsidRPr="00514306">
        <w:rPr>
          <w:rFonts w:ascii="Calibri" w:hAnsi="Calibri" w:cs="Calibri"/>
          <w:color w:val="000000"/>
          <w:sz w:val="22"/>
          <w:szCs w:val="22"/>
        </w:rPr>
        <w:t>. [online] iTnews. Available at: https://www.itnews.com.au/news/service-nsw-told-to-urgently-improve-data-handling-after-cyber-attack-559244.</w:t>
      </w:r>
    </w:p>
    <w:p w14:paraId="1D9158F6"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Information Integrity Solutions Pty Ltd (2020). </w:t>
      </w:r>
      <w:r w:rsidRPr="00514306">
        <w:rPr>
          <w:rFonts w:ascii="Calibri" w:hAnsi="Calibri" w:cs="Calibri"/>
          <w:i/>
          <w:iCs/>
          <w:color w:val="000000"/>
          <w:sz w:val="22"/>
          <w:szCs w:val="22"/>
        </w:rPr>
        <w:t>SNSW Data Breach – Post Incident Report for NSW Department of Customer Service</w:t>
      </w:r>
      <w:r w:rsidRPr="00514306">
        <w:rPr>
          <w:rFonts w:ascii="Calibri" w:hAnsi="Calibri" w:cs="Calibri"/>
          <w:color w:val="000000"/>
          <w:sz w:val="22"/>
          <w:szCs w:val="22"/>
        </w:rPr>
        <w:t>.</w:t>
      </w:r>
    </w:p>
    <w:p w14:paraId="6C0EA730"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MITRE (2015). </w:t>
      </w:r>
      <w:r w:rsidRPr="00514306">
        <w:rPr>
          <w:rFonts w:ascii="Calibri" w:hAnsi="Calibri" w:cs="Calibri"/>
          <w:i/>
          <w:iCs/>
          <w:color w:val="000000"/>
          <w:sz w:val="22"/>
          <w:szCs w:val="22"/>
        </w:rPr>
        <w:t>MITRE ATT&amp;CK</w:t>
      </w:r>
      <w:r w:rsidRPr="00514306">
        <w:rPr>
          <w:rFonts w:ascii="Calibri" w:hAnsi="Calibri" w:cs="Calibri"/>
          <w:i/>
          <w:iCs/>
          <w:color w:val="000000"/>
          <w:sz w:val="22"/>
          <w:szCs w:val="22"/>
          <w:vertAlign w:val="superscript"/>
        </w:rPr>
        <w:t>TM</w:t>
      </w:r>
      <w:r w:rsidRPr="00514306">
        <w:rPr>
          <w:rFonts w:ascii="Calibri" w:hAnsi="Calibri" w:cs="Calibri"/>
          <w:color w:val="000000"/>
          <w:sz w:val="22"/>
          <w:szCs w:val="22"/>
        </w:rPr>
        <w:t>. [online] Mitre.org. Available at: https://attack.mitre.org/.</w:t>
      </w:r>
    </w:p>
    <w:p w14:paraId="0930C3C4"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NSW Auditor), A.O. of N.S.W. (2020). </w:t>
      </w:r>
      <w:r w:rsidRPr="00514306">
        <w:rPr>
          <w:rFonts w:ascii="Calibri" w:hAnsi="Calibri" w:cs="Calibri"/>
          <w:i/>
          <w:iCs/>
          <w:color w:val="000000"/>
          <w:sz w:val="22"/>
          <w:szCs w:val="22"/>
        </w:rPr>
        <w:t>General’s Report to Parliament, Service NSW’s handling of personal information</w:t>
      </w:r>
      <w:r w:rsidRPr="00514306">
        <w:rPr>
          <w:rFonts w:ascii="Calibri" w:hAnsi="Calibri" w:cs="Calibri"/>
          <w:color w:val="000000"/>
          <w:sz w:val="22"/>
          <w:szCs w:val="22"/>
        </w:rPr>
        <w:t>.</w:t>
      </w:r>
    </w:p>
    <w:p w14:paraId="2ED2FC43"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redscan.com (2021). </w:t>
      </w:r>
      <w:r w:rsidRPr="00514306">
        <w:rPr>
          <w:rFonts w:ascii="Calibri" w:hAnsi="Calibri" w:cs="Calibri"/>
          <w:i/>
          <w:iCs/>
          <w:color w:val="000000"/>
          <w:sz w:val="22"/>
          <w:szCs w:val="22"/>
        </w:rPr>
        <w:t>Preventing Phishing &amp; Business Email Compromise (BEC)</w:t>
      </w:r>
      <w:r w:rsidRPr="00514306">
        <w:rPr>
          <w:rFonts w:ascii="Calibri" w:hAnsi="Calibri" w:cs="Calibri"/>
          <w:color w:val="000000"/>
          <w:sz w:val="22"/>
          <w:szCs w:val="22"/>
        </w:rPr>
        <w:t>. [online] Redscan. Available at: https://www.redscan.com/solutions/preventing-phishing-bec-attacks/ [Accessed 2 Sep. 2021].</w:t>
      </w:r>
    </w:p>
    <w:p w14:paraId="6F2469CF" w14:textId="77777777" w:rsidR="00514306" w:rsidRPr="00514306" w:rsidRDefault="00514306" w:rsidP="00514306">
      <w:pPr>
        <w:pStyle w:val="NormalWeb"/>
        <w:numPr>
          <w:ilvl w:val="0"/>
          <w:numId w:val="7"/>
        </w:numPr>
        <w:shd w:val="clear" w:color="auto" w:fill="FFFFFF"/>
        <w:spacing w:before="0" w:beforeAutospacing="0" w:after="240" w:afterAutospacing="0" w:line="360" w:lineRule="atLeast"/>
        <w:rPr>
          <w:rFonts w:ascii="Calibri" w:hAnsi="Calibri" w:cs="Calibri"/>
          <w:color w:val="000000"/>
          <w:sz w:val="22"/>
          <w:szCs w:val="22"/>
        </w:rPr>
      </w:pPr>
      <w:r w:rsidRPr="00514306">
        <w:rPr>
          <w:rFonts w:ascii="Calibri" w:hAnsi="Calibri" w:cs="Calibri"/>
          <w:color w:val="000000"/>
          <w:sz w:val="22"/>
          <w:szCs w:val="22"/>
        </w:rPr>
        <w:t>servicenssw.gov (2021). </w:t>
      </w:r>
      <w:r w:rsidRPr="00514306">
        <w:rPr>
          <w:rFonts w:ascii="Calibri" w:hAnsi="Calibri" w:cs="Calibri"/>
          <w:i/>
          <w:iCs/>
          <w:color w:val="000000"/>
          <w:sz w:val="22"/>
          <w:szCs w:val="22"/>
        </w:rPr>
        <w:t>Service NSW cyber incident | Service NSW</w:t>
      </w:r>
      <w:r w:rsidRPr="00514306">
        <w:rPr>
          <w:rFonts w:ascii="Calibri" w:hAnsi="Calibri" w:cs="Calibri"/>
          <w:color w:val="000000"/>
          <w:sz w:val="22"/>
          <w:szCs w:val="22"/>
        </w:rPr>
        <w:t>. [online] www.service.nsw.gov.au. Available at: https://www.service.nsw.gov.au/cyber-incident.</w:t>
      </w:r>
    </w:p>
    <w:p w14:paraId="54F50437" w14:textId="77777777" w:rsidR="00514306" w:rsidRPr="00514306" w:rsidRDefault="00514306" w:rsidP="00D33BFD">
      <w:pPr>
        <w:rPr>
          <w:rFonts w:ascii="Calibri" w:hAnsi="Calibri" w:cs="Calibri"/>
        </w:rPr>
      </w:pPr>
    </w:p>
    <w:sectPr w:rsidR="00514306" w:rsidRPr="00514306" w:rsidSect="0051430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C64D" w14:textId="77777777" w:rsidR="00514306" w:rsidRDefault="00514306" w:rsidP="00514306">
      <w:pPr>
        <w:spacing w:after="0" w:line="240" w:lineRule="auto"/>
      </w:pPr>
      <w:r>
        <w:separator/>
      </w:r>
    </w:p>
  </w:endnote>
  <w:endnote w:type="continuationSeparator" w:id="0">
    <w:p w14:paraId="31DEAF48" w14:textId="77777777" w:rsidR="00514306" w:rsidRDefault="00514306" w:rsidP="0051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407647"/>
      <w:docPartObj>
        <w:docPartGallery w:val="Page Numbers (Bottom of Page)"/>
        <w:docPartUnique/>
      </w:docPartObj>
    </w:sdtPr>
    <w:sdtEndPr>
      <w:rPr>
        <w:color w:val="7F7F7F" w:themeColor="background1" w:themeShade="7F"/>
        <w:spacing w:val="60"/>
      </w:rPr>
    </w:sdtEndPr>
    <w:sdtContent>
      <w:p w14:paraId="4E8D118A" w14:textId="71C225BD" w:rsidR="00514306" w:rsidRDefault="005143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9AB195" w14:textId="28872158" w:rsidR="00B41983" w:rsidRDefault="00B41983">
    <w:pPr>
      <w:pStyle w:val="Footer"/>
    </w:pPr>
    <w:r>
      <w:t>SECURITY PRINCIPLES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3224" w14:textId="77777777" w:rsidR="00514306" w:rsidRDefault="00514306" w:rsidP="00514306">
      <w:pPr>
        <w:spacing w:after="0" w:line="240" w:lineRule="auto"/>
      </w:pPr>
      <w:r>
        <w:separator/>
      </w:r>
    </w:p>
  </w:footnote>
  <w:footnote w:type="continuationSeparator" w:id="0">
    <w:p w14:paraId="12571407" w14:textId="77777777" w:rsidR="00514306" w:rsidRDefault="00514306" w:rsidP="00514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704F" w14:textId="66CF568C" w:rsidR="00514306" w:rsidRDefault="00514306" w:rsidP="00514306">
    <w:pPr>
      <w:pStyle w:val="Header"/>
      <w:tabs>
        <w:tab w:val="clear" w:pos="4513"/>
      </w:tabs>
    </w:pPr>
    <w:r>
      <w:t>An Truong</w:t>
    </w:r>
    <w:r>
      <w:tab/>
      <w:t>truan004 - 110313636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873"/>
    <w:multiLevelType w:val="hybridMultilevel"/>
    <w:tmpl w:val="0302D9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CC4FF5"/>
    <w:multiLevelType w:val="hybridMultilevel"/>
    <w:tmpl w:val="5ABEB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BE7CFC"/>
    <w:multiLevelType w:val="multilevel"/>
    <w:tmpl w:val="651C6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56F79"/>
    <w:multiLevelType w:val="multilevel"/>
    <w:tmpl w:val="66A4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21419"/>
    <w:multiLevelType w:val="multilevel"/>
    <w:tmpl w:val="753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966F9"/>
    <w:multiLevelType w:val="hybridMultilevel"/>
    <w:tmpl w:val="B2E8E7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573570"/>
    <w:multiLevelType w:val="hybridMultilevel"/>
    <w:tmpl w:val="774C07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0tjQ0BkJTY1NLCyUdpeDU4uLM/DyQAtNaAAetOZAsAAAA"/>
  </w:docVars>
  <w:rsids>
    <w:rsidRoot w:val="00E27CE6"/>
    <w:rsid w:val="00112AD8"/>
    <w:rsid w:val="001221B0"/>
    <w:rsid w:val="00161331"/>
    <w:rsid w:val="00234705"/>
    <w:rsid w:val="003B3D6C"/>
    <w:rsid w:val="003C003D"/>
    <w:rsid w:val="003F4E45"/>
    <w:rsid w:val="004438FA"/>
    <w:rsid w:val="004467DE"/>
    <w:rsid w:val="004C7B96"/>
    <w:rsid w:val="004E08CB"/>
    <w:rsid w:val="00514306"/>
    <w:rsid w:val="005F17BB"/>
    <w:rsid w:val="00641AA3"/>
    <w:rsid w:val="007B2580"/>
    <w:rsid w:val="007B61A9"/>
    <w:rsid w:val="00820034"/>
    <w:rsid w:val="008A6150"/>
    <w:rsid w:val="009D4717"/>
    <w:rsid w:val="009D568E"/>
    <w:rsid w:val="00A448E7"/>
    <w:rsid w:val="00AC5ED6"/>
    <w:rsid w:val="00B02DFC"/>
    <w:rsid w:val="00B124EB"/>
    <w:rsid w:val="00B41983"/>
    <w:rsid w:val="00B51EE3"/>
    <w:rsid w:val="00CB11F1"/>
    <w:rsid w:val="00CB68E1"/>
    <w:rsid w:val="00CD5624"/>
    <w:rsid w:val="00D07CC5"/>
    <w:rsid w:val="00D14CD4"/>
    <w:rsid w:val="00D33BFD"/>
    <w:rsid w:val="00D54258"/>
    <w:rsid w:val="00D6488B"/>
    <w:rsid w:val="00D67955"/>
    <w:rsid w:val="00E27CE6"/>
    <w:rsid w:val="00E320BB"/>
    <w:rsid w:val="00E4365A"/>
    <w:rsid w:val="00F4476B"/>
    <w:rsid w:val="00F80F96"/>
    <w:rsid w:val="00F86590"/>
    <w:rsid w:val="00FB7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C010"/>
  <w15:chartTrackingRefBased/>
  <w15:docId w15:val="{CB9349E6-641C-4D17-97F9-5D85FE07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3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tedusercontent">
    <w:name w:val="formattedusercontent"/>
    <w:basedOn w:val="DefaultParagraphFont"/>
    <w:rsid w:val="00CB68E1"/>
  </w:style>
  <w:style w:type="character" w:styleId="Strong">
    <w:name w:val="Strong"/>
    <w:basedOn w:val="DefaultParagraphFont"/>
    <w:uiPriority w:val="22"/>
    <w:qFormat/>
    <w:rsid w:val="00CB68E1"/>
    <w:rPr>
      <w:b/>
      <w:bCs/>
    </w:rPr>
  </w:style>
  <w:style w:type="paragraph" w:styleId="NormalWeb">
    <w:name w:val="Normal (Web)"/>
    <w:basedOn w:val="Normal"/>
    <w:uiPriority w:val="99"/>
    <w:semiHidden/>
    <w:unhideWhenUsed/>
    <w:rsid w:val="00CB68E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CB68E1"/>
    <w:rPr>
      <w:color w:val="0000FF"/>
      <w:u w:val="single"/>
    </w:rPr>
  </w:style>
  <w:style w:type="character" w:styleId="Emphasis">
    <w:name w:val="Emphasis"/>
    <w:basedOn w:val="DefaultParagraphFont"/>
    <w:uiPriority w:val="20"/>
    <w:qFormat/>
    <w:rsid w:val="00CB68E1"/>
    <w:rPr>
      <w:i/>
      <w:iCs/>
    </w:rPr>
  </w:style>
  <w:style w:type="paragraph" w:styleId="Title">
    <w:name w:val="Title"/>
    <w:basedOn w:val="Normal"/>
    <w:next w:val="Normal"/>
    <w:link w:val="TitleChar"/>
    <w:uiPriority w:val="10"/>
    <w:qFormat/>
    <w:rsid w:val="00CB6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A3"/>
    <w:pPr>
      <w:ind w:left="720"/>
      <w:contextualSpacing/>
    </w:pPr>
  </w:style>
  <w:style w:type="character" w:customStyle="1" w:styleId="fontstyle01">
    <w:name w:val="fontstyle01"/>
    <w:basedOn w:val="DefaultParagraphFont"/>
    <w:rsid w:val="00641AA3"/>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641AA3"/>
    <w:rPr>
      <w:color w:val="605E5C"/>
      <w:shd w:val="clear" w:color="auto" w:fill="E1DFDD"/>
    </w:rPr>
  </w:style>
  <w:style w:type="character" w:customStyle="1" w:styleId="Heading1Char">
    <w:name w:val="Heading 1 Char"/>
    <w:basedOn w:val="DefaultParagraphFont"/>
    <w:link w:val="Heading1"/>
    <w:uiPriority w:val="9"/>
    <w:rsid w:val="00B51E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E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5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865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F8659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51430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14306"/>
    <w:pPr>
      <w:outlineLvl w:val="9"/>
    </w:pPr>
    <w:rPr>
      <w:lang w:val="en-US"/>
    </w:rPr>
  </w:style>
  <w:style w:type="paragraph" w:styleId="TOC1">
    <w:name w:val="toc 1"/>
    <w:basedOn w:val="Normal"/>
    <w:next w:val="Normal"/>
    <w:autoRedefine/>
    <w:uiPriority w:val="39"/>
    <w:unhideWhenUsed/>
    <w:rsid w:val="00514306"/>
    <w:pPr>
      <w:spacing w:after="100"/>
    </w:pPr>
  </w:style>
  <w:style w:type="paragraph" w:styleId="TOC2">
    <w:name w:val="toc 2"/>
    <w:basedOn w:val="Normal"/>
    <w:next w:val="Normal"/>
    <w:autoRedefine/>
    <w:uiPriority w:val="39"/>
    <w:unhideWhenUsed/>
    <w:rsid w:val="00514306"/>
    <w:pPr>
      <w:spacing w:after="100"/>
      <w:ind w:left="220"/>
    </w:pPr>
  </w:style>
  <w:style w:type="paragraph" w:styleId="TOC3">
    <w:name w:val="toc 3"/>
    <w:basedOn w:val="Normal"/>
    <w:next w:val="Normal"/>
    <w:autoRedefine/>
    <w:uiPriority w:val="39"/>
    <w:unhideWhenUsed/>
    <w:rsid w:val="00514306"/>
    <w:pPr>
      <w:spacing w:after="100"/>
      <w:ind w:left="440"/>
    </w:pPr>
  </w:style>
  <w:style w:type="paragraph" w:styleId="Header">
    <w:name w:val="header"/>
    <w:basedOn w:val="Normal"/>
    <w:link w:val="HeaderChar"/>
    <w:uiPriority w:val="99"/>
    <w:unhideWhenUsed/>
    <w:rsid w:val="0051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06"/>
  </w:style>
  <w:style w:type="paragraph" w:styleId="Footer">
    <w:name w:val="footer"/>
    <w:basedOn w:val="Normal"/>
    <w:link w:val="FooterChar"/>
    <w:uiPriority w:val="99"/>
    <w:unhideWhenUsed/>
    <w:rsid w:val="0051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06"/>
  </w:style>
  <w:style w:type="paragraph" w:styleId="FootnoteText">
    <w:name w:val="footnote text"/>
    <w:basedOn w:val="Normal"/>
    <w:link w:val="FootnoteTextChar"/>
    <w:uiPriority w:val="99"/>
    <w:semiHidden/>
    <w:unhideWhenUsed/>
    <w:rsid w:val="005143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306"/>
    <w:rPr>
      <w:sz w:val="20"/>
      <w:szCs w:val="20"/>
    </w:rPr>
  </w:style>
  <w:style w:type="character" w:styleId="FootnoteReference">
    <w:name w:val="footnote reference"/>
    <w:basedOn w:val="DefaultParagraphFont"/>
    <w:uiPriority w:val="99"/>
    <w:semiHidden/>
    <w:unhideWhenUsed/>
    <w:rsid w:val="00514306"/>
    <w:rPr>
      <w:vertAlign w:val="superscript"/>
    </w:rPr>
  </w:style>
  <w:style w:type="table" w:styleId="ListTable3-Accent5">
    <w:name w:val="List Table 3 Accent 5"/>
    <w:basedOn w:val="TableNormal"/>
    <w:uiPriority w:val="48"/>
    <w:rsid w:val="007B258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5Dark-Accent5">
    <w:name w:val="List Table 5 Dark Accent 5"/>
    <w:basedOn w:val="TableNormal"/>
    <w:uiPriority w:val="50"/>
    <w:rsid w:val="007B2580"/>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82">
      <w:bodyDiv w:val="1"/>
      <w:marLeft w:val="0"/>
      <w:marRight w:val="0"/>
      <w:marTop w:val="0"/>
      <w:marBottom w:val="0"/>
      <w:divBdr>
        <w:top w:val="none" w:sz="0" w:space="0" w:color="auto"/>
        <w:left w:val="none" w:sz="0" w:space="0" w:color="auto"/>
        <w:bottom w:val="none" w:sz="0" w:space="0" w:color="auto"/>
        <w:right w:val="none" w:sz="0" w:space="0" w:color="auto"/>
      </w:divBdr>
    </w:div>
    <w:div w:id="33816580">
      <w:bodyDiv w:val="1"/>
      <w:marLeft w:val="0"/>
      <w:marRight w:val="0"/>
      <w:marTop w:val="0"/>
      <w:marBottom w:val="0"/>
      <w:divBdr>
        <w:top w:val="none" w:sz="0" w:space="0" w:color="auto"/>
        <w:left w:val="none" w:sz="0" w:space="0" w:color="auto"/>
        <w:bottom w:val="none" w:sz="0" w:space="0" w:color="auto"/>
        <w:right w:val="none" w:sz="0" w:space="0" w:color="auto"/>
      </w:divBdr>
    </w:div>
    <w:div w:id="58328936">
      <w:bodyDiv w:val="1"/>
      <w:marLeft w:val="0"/>
      <w:marRight w:val="0"/>
      <w:marTop w:val="0"/>
      <w:marBottom w:val="0"/>
      <w:divBdr>
        <w:top w:val="none" w:sz="0" w:space="0" w:color="auto"/>
        <w:left w:val="none" w:sz="0" w:space="0" w:color="auto"/>
        <w:bottom w:val="none" w:sz="0" w:space="0" w:color="auto"/>
        <w:right w:val="none" w:sz="0" w:space="0" w:color="auto"/>
      </w:divBdr>
    </w:div>
    <w:div w:id="68961299">
      <w:bodyDiv w:val="1"/>
      <w:marLeft w:val="0"/>
      <w:marRight w:val="0"/>
      <w:marTop w:val="0"/>
      <w:marBottom w:val="0"/>
      <w:divBdr>
        <w:top w:val="none" w:sz="0" w:space="0" w:color="auto"/>
        <w:left w:val="none" w:sz="0" w:space="0" w:color="auto"/>
        <w:bottom w:val="none" w:sz="0" w:space="0" w:color="auto"/>
        <w:right w:val="none" w:sz="0" w:space="0" w:color="auto"/>
      </w:divBdr>
    </w:div>
    <w:div w:id="223373224">
      <w:bodyDiv w:val="1"/>
      <w:marLeft w:val="0"/>
      <w:marRight w:val="0"/>
      <w:marTop w:val="0"/>
      <w:marBottom w:val="0"/>
      <w:divBdr>
        <w:top w:val="none" w:sz="0" w:space="0" w:color="auto"/>
        <w:left w:val="none" w:sz="0" w:space="0" w:color="auto"/>
        <w:bottom w:val="none" w:sz="0" w:space="0" w:color="auto"/>
        <w:right w:val="none" w:sz="0" w:space="0" w:color="auto"/>
      </w:divBdr>
    </w:div>
    <w:div w:id="450246313">
      <w:bodyDiv w:val="1"/>
      <w:marLeft w:val="0"/>
      <w:marRight w:val="0"/>
      <w:marTop w:val="0"/>
      <w:marBottom w:val="0"/>
      <w:divBdr>
        <w:top w:val="none" w:sz="0" w:space="0" w:color="auto"/>
        <w:left w:val="none" w:sz="0" w:space="0" w:color="auto"/>
        <w:bottom w:val="none" w:sz="0" w:space="0" w:color="auto"/>
        <w:right w:val="none" w:sz="0" w:space="0" w:color="auto"/>
      </w:divBdr>
    </w:div>
    <w:div w:id="526873039">
      <w:bodyDiv w:val="1"/>
      <w:marLeft w:val="0"/>
      <w:marRight w:val="0"/>
      <w:marTop w:val="0"/>
      <w:marBottom w:val="0"/>
      <w:divBdr>
        <w:top w:val="none" w:sz="0" w:space="0" w:color="auto"/>
        <w:left w:val="none" w:sz="0" w:space="0" w:color="auto"/>
        <w:bottom w:val="none" w:sz="0" w:space="0" w:color="auto"/>
        <w:right w:val="none" w:sz="0" w:space="0" w:color="auto"/>
      </w:divBdr>
    </w:div>
    <w:div w:id="670719594">
      <w:bodyDiv w:val="1"/>
      <w:marLeft w:val="0"/>
      <w:marRight w:val="0"/>
      <w:marTop w:val="0"/>
      <w:marBottom w:val="0"/>
      <w:divBdr>
        <w:top w:val="none" w:sz="0" w:space="0" w:color="auto"/>
        <w:left w:val="none" w:sz="0" w:space="0" w:color="auto"/>
        <w:bottom w:val="none" w:sz="0" w:space="0" w:color="auto"/>
        <w:right w:val="none" w:sz="0" w:space="0" w:color="auto"/>
      </w:divBdr>
    </w:div>
    <w:div w:id="729183957">
      <w:bodyDiv w:val="1"/>
      <w:marLeft w:val="0"/>
      <w:marRight w:val="0"/>
      <w:marTop w:val="0"/>
      <w:marBottom w:val="0"/>
      <w:divBdr>
        <w:top w:val="none" w:sz="0" w:space="0" w:color="auto"/>
        <w:left w:val="none" w:sz="0" w:space="0" w:color="auto"/>
        <w:bottom w:val="none" w:sz="0" w:space="0" w:color="auto"/>
        <w:right w:val="none" w:sz="0" w:space="0" w:color="auto"/>
      </w:divBdr>
    </w:div>
    <w:div w:id="794103694">
      <w:bodyDiv w:val="1"/>
      <w:marLeft w:val="0"/>
      <w:marRight w:val="0"/>
      <w:marTop w:val="0"/>
      <w:marBottom w:val="0"/>
      <w:divBdr>
        <w:top w:val="none" w:sz="0" w:space="0" w:color="auto"/>
        <w:left w:val="none" w:sz="0" w:space="0" w:color="auto"/>
        <w:bottom w:val="none" w:sz="0" w:space="0" w:color="auto"/>
        <w:right w:val="none" w:sz="0" w:space="0" w:color="auto"/>
      </w:divBdr>
    </w:div>
    <w:div w:id="796873610">
      <w:bodyDiv w:val="1"/>
      <w:marLeft w:val="0"/>
      <w:marRight w:val="0"/>
      <w:marTop w:val="0"/>
      <w:marBottom w:val="0"/>
      <w:divBdr>
        <w:top w:val="none" w:sz="0" w:space="0" w:color="auto"/>
        <w:left w:val="none" w:sz="0" w:space="0" w:color="auto"/>
        <w:bottom w:val="none" w:sz="0" w:space="0" w:color="auto"/>
        <w:right w:val="none" w:sz="0" w:space="0" w:color="auto"/>
      </w:divBdr>
    </w:div>
    <w:div w:id="815490478">
      <w:bodyDiv w:val="1"/>
      <w:marLeft w:val="0"/>
      <w:marRight w:val="0"/>
      <w:marTop w:val="0"/>
      <w:marBottom w:val="0"/>
      <w:divBdr>
        <w:top w:val="none" w:sz="0" w:space="0" w:color="auto"/>
        <w:left w:val="none" w:sz="0" w:space="0" w:color="auto"/>
        <w:bottom w:val="none" w:sz="0" w:space="0" w:color="auto"/>
        <w:right w:val="none" w:sz="0" w:space="0" w:color="auto"/>
      </w:divBdr>
    </w:div>
    <w:div w:id="886378858">
      <w:bodyDiv w:val="1"/>
      <w:marLeft w:val="0"/>
      <w:marRight w:val="0"/>
      <w:marTop w:val="0"/>
      <w:marBottom w:val="0"/>
      <w:divBdr>
        <w:top w:val="none" w:sz="0" w:space="0" w:color="auto"/>
        <w:left w:val="none" w:sz="0" w:space="0" w:color="auto"/>
        <w:bottom w:val="none" w:sz="0" w:space="0" w:color="auto"/>
        <w:right w:val="none" w:sz="0" w:space="0" w:color="auto"/>
      </w:divBdr>
      <w:divsChild>
        <w:div w:id="1423798862">
          <w:marLeft w:val="0"/>
          <w:marRight w:val="0"/>
          <w:marTop w:val="0"/>
          <w:marBottom w:val="0"/>
          <w:divBdr>
            <w:top w:val="none" w:sz="0" w:space="0" w:color="auto"/>
            <w:left w:val="none" w:sz="0" w:space="0" w:color="auto"/>
            <w:bottom w:val="none" w:sz="0" w:space="0" w:color="auto"/>
            <w:right w:val="none" w:sz="0" w:space="0" w:color="auto"/>
          </w:divBdr>
        </w:div>
      </w:divsChild>
    </w:div>
    <w:div w:id="969938689">
      <w:bodyDiv w:val="1"/>
      <w:marLeft w:val="0"/>
      <w:marRight w:val="0"/>
      <w:marTop w:val="0"/>
      <w:marBottom w:val="0"/>
      <w:divBdr>
        <w:top w:val="none" w:sz="0" w:space="0" w:color="auto"/>
        <w:left w:val="none" w:sz="0" w:space="0" w:color="auto"/>
        <w:bottom w:val="none" w:sz="0" w:space="0" w:color="auto"/>
        <w:right w:val="none" w:sz="0" w:space="0" w:color="auto"/>
      </w:divBdr>
    </w:div>
    <w:div w:id="1004866922">
      <w:bodyDiv w:val="1"/>
      <w:marLeft w:val="0"/>
      <w:marRight w:val="0"/>
      <w:marTop w:val="0"/>
      <w:marBottom w:val="0"/>
      <w:divBdr>
        <w:top w:val="none" w:sz="0" w:space="0" w:color="auto"/>
        <w:left w:val="none" w:sz="0" w:space="0" w:color="auto"/>
        <w:bottom w:val="none" w:sz="0" w:space="0" w:color="auto"/>
        <w:right w:val="none" w:sz="0" w:space="0" w:color="auto"/>
      </w:divBdr>
    </w:div>
    <w:div w:id="1021079996">
      <w:bodyDiv w:val="1"/>
      <w:marLeft w:val="0"/>
      <w:marRight w:val="0"/>
      <w:marTop w:val="0"/>
      <w:marBottom w:val="0"/>
      <w:divBdr>
        <w:top w:val="none" w:sz="0" w:space="0" w:color="auto"/>
        <w:left w:val="none" w:sz="0" w:space="0" w:color="auto"/>
        <w:bottom w:val="none" w:sz="0" w:space="0" w:color="auto"/>
        <w:right w:val="none" w:sz="0" w:space="0" w:color="auto"/>
      </w:divBdr>
    </w:div>
    <w:div w:id="1067385218">
      <w:bodyDiv w:val="1"/>
      <w:marLeft w:val="0"/>
      <w:marRight w:val="0"/>
      <w:marTop w:val="0"/>
      <w:marBottom w:val="0"/>
      <w:divBdr>
        <w:top w:val="none" w:sz="0" w:space="0" w:color="auto"/>
        <w:left w:val="none" w:sz="0" w:space="0" w:color="auto"/>
        <w:bottom w:val="none" w:sz="0" w:space="0" w:color="auto"/>
        <w:right w:val="none" w:sz="0" w:space="0" w:color="auto"/>
      </w:divBdr>
    </w:div>
    <w:div w:id="1257790824">
      <w:bodyDiv w:val="1"/>
      <w:marLeft w:val="0"/>
      <w:marRight w:val="0"/>
      <w:marTop w:val="0"/>
      <w:marBottom w:val="0"/>
      <w:divBdr>
        <w:top w:val="none" w:sz="0" w:space="0" w:color="auto"/>
        <w:left w:val="none" w:sz="0" w:space="0" w:color="auto"/>
        <w:bottom w:val="none" w:sz="0" w:space="0" w:color="auto"/>
        <w:right w:val="none" w:sz="0" w:space="0" w:color="auto"/>
      </w:divBdr>
    </w:div>
    <w:div w:id="1361008653">
      <w:bodyDiv w:val="1"/>
      <w:marLeft w:val="0"/>
      <w:marRight w:val="0"/>
      <w:marTop w:val="0"/>
      <w:marBottom w:val="0"/>
      <w:divBdr>
        <w:top w:val="none" w:sz="0" w:space="0" w:color="auto"/>
        <w:left w:val="none" w:sz="0" w:space="0" w:color="auto"/>
        <w:bottom w:val="none" w:sz="0" w:space="0" w:color="auto"/>
        <w:right w:val="none" w:sz="0" w:space="0" w:color="auto"/>
      </w:divBdr>
      <w:divsChild>
        <w:div w:id="636616943">
          <w:marLeft w:val="0"/>
          <w:marRight w:val="0"/>
          <w:marTop w:val="0"/>
          <w:marBottom w:val="0"/>
          <w:divBdr>
            <w:top w:val="none" w:sz="0" w:space="0" w:color="auto"/>
            <w:left w:val="none" w:sz="0" w:space="0" w:color="auto"/>
            <w:bottom w:val="none" w:sz="0" w:space="0" w:color="auto"/>
            <w:right w:val="none" w:sz="0" w:space="0" w:color="auto"/>
          </w:divBdr>
        </w:div>
      </w:divsChild>
    </w:div>
    <w:div w:id="1437678605">
      <w:bodyDiv w:val="1"/>
      <w:marLeft w:val="0"/>
      <w:marRight w:val="0"/>
      <w:marTop w:val="0"/>
      <w:marBottom w:val="0"/>
      <w:divBdr>
        <w:top w:val="none" w:sz="0" w:space="0" w:color="auto"/>
        <w:left w:val="none" w:sz="0" w:space="0" w:color="auto"/>
        <w:bottom w:val="none" w:sz="0" w:space="0" w:color="auto"/>
        <w:right w:val="none" w:sz="0" w:space="0" w:color="auto"/>
      </w:divBdr>
    </w:div>
    <w:div w:id="1467551373">
      <w:bodyDiv w:val="1"/>
      <w:marLeft w:val="0"/>
      <w:marRight w:val="0"/>
      <w:marTop w:val="0"/>
      <w:marBottom w:val="0"/>
      <w:divBdr>
        <w:top w:val="none" w:sz="0" w:space="0" w:color="auto"/>
        <w:left w:val="none" w:sz="0" w:space="0" w:color="auto"/>
        <w:bottom w:val="none" w:sz="0" w:space="0" w:color="auto"/>
        <w:right w:val="none" w:sz="0" w:space="0" w:color="auto"/>
      </w:divBdr>
    </w:div>
    <w:div w:id="1514147951">
      <w:bodyDiv w:val="1"/>
      <w:marLeft w:val="0"/>
      <w:marRight w:val="0"/>
      <w:marTop w:val="0"/>
      <w:marBottom w:val="0"/>
      <w:divBdr>
        <w:top w:val="none" w:sz="0" w:space="0" w:color="auto"/>
        <w:left w:val="none" w:sz="0" w:space="0" w:color="auto"/>
        <w:bottom w:val="none" w:sz="0" w:space="0" w:color="auto"/>
        <w:right w:val="none" w:sz="0" w:space="0" w:color="auto"/>
      </w:divBdr>
    </w:div>
    <w:div w:id="1534265013">
      <w:bodyDiv w:val="1"/>
      <w:marLeft w:val="0"/>
      <w:marRight w:val="0"/>
      <w:marTop w:val="0"/>
      <w:marBottom w:val="0"/>
      <w:divBdr>
        <w:top w:val="none" w:sz="0" w:space="0" w:color="auto"/>
        <w:left w:val="none" w:sz="0" w:space="0" w:color="auto"/>
        <w:bottom w:val="none" w:sz="0" w:space="0" w:color="auto"/>
        <w:right w:val="none" w:sz="0" w:space="0" w:color="auto"/>
      </w:divBdr>
    </w:div>
    <w:div w:id="1572614685">
      <w:bodyDiv w:val="1"/>
      <w:marLeft w:val="0"/>
      <w:marRight w:val="0"/>
      <w:marTop w:val="0"/>
      <w:marBottom w:val="0"/>
      <w:divBdr>
        <w:top w:val="none" w:sz="0" w:space="0" w:color="auto"/>
        <w:left w:val="none" w:sz="0" w:space="0" w:color="auto"/>
        <w:bottom w:val="none" w:sz="0" w:space="0" w:color="auto"/>
        <w:right w:val="none" w:sz="0" w:space="0" w:color="auto"/>
      </w:divBdr>
    </w:div>
    <w:div w:id="1609846995">
      <w:bodyDiv w:val="1"/>
      <w:marLeft w:val="0"/>
      <w:marRight w:val="0"/>
      <w:marTop w:val="0"/>
      <w:marBottom w:val="0"/>
      <w:divBdr>
        <w:top w:val="none" w:sz="0" w:space="0" w:color="auto"/>
        <w:left w:val="none" w:sz="0" w:space="0" w:color="auto"/>
        <w:bottom w:val="none" w:sz="0" w:space="0" w:color="auto"/>
        <w:right w:val="none" w:sz="0" w:space="0" w:color="auto"/>
      </w:divBdr>
    </w:div>
    <w:div w:id="1660108593">
      <w:bodyDiv w:val="1"/>
      <w:marLeft w:val="0"/>
      <w:marRight w:val="0"/>
      <w:marTop w:val="0"/>
      <w:marBottom w:val="0"/>
      <w:divBdr>
        <w:top w:val="none" w:sz="0" w:space="0" w:color="auto"/>
        <w:left w:val="none" w:sz="0" w:space="0" w:color="auto"/>
        <w:bottom w:val="none" w:sz="0" w:space="0" w:color="auto"/>
        <w:right w:val="none" w:sz="0" w:space="0" w:color="auto"/>
      </w:divBdr>
    </w:div>
    <w:div w:id="1731658636">
      <w:bodyDiv w:val="1"/>
      <w:marLeft w:val="0"/>
      <w:marRight w:val="0"/>
      <w:marTop w:val="0"/>
      <w:marBottom w:val="0"/>
      <w:divBdr>
        <w:top w:val="none" w:sz="0" w:space="0" w:color="auto"/>
        <w:left w:val="none" w:sz="0" w:space="0" w:color="auto"/>
        <w:bottom w:val="none" w:sz="0" w:space="0" w:color="auto"/>
        <w:right w:val="none" w:sz="0" w:space="0" w:color="auto"/>
      </w:divBdr>
    </w:div>
    <w:div w:id="1919902463">
      <w:bodyDiv w:val="1"/>
      <w:marLeft w:val="0"/>
      <w:marRight w:val="0"/>
      <w:marTop w:val="0"/>
      <w:marBottom w:val="0"/>
      <w:divBdr>
        <w:top w:val="none" w:sz="0" w:space="0" w:color="auto"/>
        <w:left w:val="none" w:sz="0" w:space="0" w:color="auto"/>
        <w:bottom w:val="none" w:sz="0" w:space="0" w:color="auto"/>
        <w:right w:val="none" w:sz="0" w:space="0" w:color="auto"/>
      </w:divBdr>
    </w:div>
    <w:div w:id="19807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9986-1353-4242-A19B-24E442E5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6</Pages>
  <Words>1782</Words>
  <Characters>10160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PART 1:</vt:lpstr>
      <vt:lpstr>    BACKGROUND</vt:lpstr>
      <vt:lpstr>    CYBER INCIDENT</vt:lpstr>
      <vt:lpstr>        Initial Foothold</vt:lpstr>
      <vt:lpstr>        Establish presence</vt:lpstr>
      <vt:lpstr>        Ensure persistence</vt:lpstr>
      <vt:lpstr>        Execute intent</vt:lpstr>
      <vt:lpstr/>
      <vt:lpstr/>
      <vt:lpstr/>
      <vt:lpstr/>
      <vt:lpstr/>
      <vt:lpstr/>
      <vt:lpstr/>
      <vt:lpstr>PART 2:</vt:lpstr>
      <vt:lpstr>PART 3:</vt:lpstr>
      <vt:lpstr>REFERENCES</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70</cp:revision>
  <dcterms:created xsi:type="dcterms:W3CDTF">2021-08-20T13:18:00Z</dcterms:created>
  <dcterms:modified xsi:type="dcterms:W3CDTF">2021-09-03T06:03:00Z</dcterms:modified>
</cp:coreProperties>
</file>