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85F4" w14:textId="6268437A" w:rsidR="005466EA" w:rsidRPr="005466EA" w:rsidRDefault="005466EA">
      <w:pPr>
        <w:rPr>
          <w:sz w:val="44"/>
          <w:szCs w:val="44"/>
        </w:rPr>
      </w:pPr>
      <w:r>
        <w:rPr>
          <w:sz w:val="44"/>
          <w:szCs w:val="44"/>
        </w:rPr>
        <w:t>ACTIVIDADES LPRL</w:t>
      </w:r>
    </w:p>
    <w:p w14:paraId="53564E90" w14:textId="77777777" w:rsidR="005466EA" w:rsidRDefault="005466EA">
      <w:pPr>
        <w:rPr>
          <w:color w:val="FF0000"/>
        </w:rPr>
      </w:pPr>
    </w:p>
    <w:p w14:paraId="38556191" w14:textId="54F19329" w:rsidR="000E0991" w:rsidRDefault="005466EA">
      <w:pPr>
        <w:rPr>
          <w:color w:val="FF0000"/>
        </w:rPr>
      </w:pPr>
      <w:r w:rsidRPr="005466EA">
        <w:rPr>
          <w:color w:val="FF0000"/>
        </w:rPr>
        <w:t>13.</w:t>
      </w:r>
    </w:p>
    <w:p w14:paraId="5AB2774A" w14:textId="2435BC9C" w:rsidR="005466EA" w:rsidRDefault="005466EA">
      <w:r>
        <w:t>Artículo 2</w:t>
      </w:r>
    </w:p>
    <w:p w14:paraId="6ADEB2D3" w14:textId="77777777" w:rsidR="005466EA" w:rsidRDefault="005466EA" w:rsidP="005466EA">
      <w:r>
        <w:t>Este texto establece las condiciones para acceder a ayudas por delitos graves relacionados con la violencia de género, violencia sexual, y homicidios derivados de estos delitos. Las principales ideas son:</w:t>
      </w:r>
    </w:p>
    <w:p w14:paraId="52A75EB1" w14:textId="1B87988F" w:rsidR="005466EA" w:rsidRDefault="005466EA" w:rsidP="005466EA">
      <w:pPr>
        <w:pStyle w:val="Prrafodelista"/>
        <w:numPr>
          <w:ilvl w:val="0"/>
          <w:numId w:val="1"/>
        </w:numPr>
      </w:pPr>
      <w:r>
        <w:t>Requisitos de acceso</w:t>
      </w:r>
    </w:p>
    <w:p w14:paraId="706E16CE" w14:textId="52D6F526" w:rsidR="005466EA" w:rsidRDefault="005466EA" w:rsidP="005466EA">
      <w:pPr>
        <w:pStyle w:val="Prrafodelista"/>
        <w:numPr>
          <w:ilvl w:val="0"/>
          <w:numId w:val="1"/>
        </w:numPr>
      </w:pPr>
      <w:r w:rsidRPr="005466EA">
        <w:t>Acreditación de la condición de víctima</w:t>
      </w:r>
    </w:p>
    <w:p w14:paraId="5BE479E7" w14:textId="4B568FC9" w:rsidR="005466EA" w:rsidRDefault="005466EA" w:rsidP="005466EA">
      <w:pPr>
        <w:pStyle w:val="Prrafodelista"/>
        <w:numPr>
          <w:ilvl w:val="0"/>
          <w:numId w:val="1"/>
        </w:numPr>
      </w:pPr>
      <w:r w:rsidRPr="005466EA">
        <w:t>Víctimas directas</w:t>
      </w:r>
    </w:p>
    <w:p w14:paraId="6FD46EFD" w14:textId="7327723D" w:rsidR="005466EA" w:rsidRDefault="005466EA" w:rsidP="005466EA">
      <w:pPr>
        <w:pStyle w:val="Prrafodelista"/>
        <w:numPr>
          <w:ilvl w:val="0"/>
          <w:numId w:val="1"/>
        </w:numPr>
      </w:pPr>
      <w:r>
        <w:t>Víctimas indirectas</w:t>
      </w:r>
    </w:p>
    <w:p w14:paraId="0AABA2C3" w14:textId="70152149" w:rsidR="005466EA" w:rsidRDefault="005466EA" w:rsidP="005466EA">
      <w:pPr>
        <w:pStyle w:val="Prrafodelista"/>
        <w:numPr>
          <w:ilvl w:val="0"/>
          <w:numId w:val="1"/>
        </w:numPr>
      </w:pPr>
      <w:r w:rsidRPr="005466EA">
        <w:t>Distribución de las ayudas</w:t>
      </w:r>
    </w:p>
    <w:p w14:paraId="68C1B001" w14:textId="08CACD2B" w:rsidR="005466EA" w:rsidRDefault="005466EA" w:rsidP="005466EA">
      <w:pPr>
        <w:pStyle w:val="Prrafodelista"/>
        <w:numPr>
          <w:ilvl w:val="0"/>
          <w:numId w:val="1"/>
        </w:numPr>
      </w:pPr>
      <w:r w:rsidRPr="005466EA">
        <w:t>Menores fallecidos</w:t>
      </w:r>
    </w:p>
    <w:p w14:paraId="672D9ED8" w14:textId="59625C22" w:rsidR="005466EA" w:rsidRDefault="005466EA" w:rsidP="005466EA">
      <w:r>
        <w:t>Artículo 3</w:t>
      </w:r>
    </w:p>
    <w:p w14:paraId="7D75A6D1" w14:textId="258D9950" w:rsidR="00026F46" w:rsidRDefault="00026F46" w:rsidP="005466EA">
      <w:r>
        <w:t>Aplicación, se aplica a todos los trabajadores</w:t>
      </w:r>
    </w:p>
    <w:p w14:paraId="3F009E32" w14:textId="10A08E05" w:rsidR="005466EA" w:rsidRDefault="005466EA" w:rsidP="005466EA">
      <w:pPr>
        <w:pStyle w:val="Prrafodelista"/>
        <w:numPr>
          <w:ilvl w:val="0"/>
          <w:numId w:val="2"/>
        </w:numPr>
      </w:pPr>
      <w:r w:rsidRPr="005466EA">
        <w:t>Denegación o reducción de la ayuda:</w:t>
      </w:r>
    </w:p>
    <w:p w14:paraId="7A7512A8" w14:textId="569323A9" w:rsidR="005466EA" w:rsidRPr="005466EA" w:rsidRDefault="005466EA" w:rsidP="005466EA">
      <w:pPr>
        <w:pStyle w:val="Prrafodelista"/>
        <w:numPr>
          <w:ilvl w:val="0"/>
          <w:numId w:val="2"/>
        </w:numPr>
      </w:pPr>
      <w:r w:rsidRPr="005466EA">
        <w:t>Beneficiarios indirectos</w:t>
      </w:r>
    </w:p>
    <w:p w14:paraId="0A77A970" w14:textId="35E41A33" w:rsidR="005466EA" w:rsidRDefault="005466EA">
      <w:pPr>
        <w:rPr>
          <w:color w:val="FF0000"/>
        </w:rPr>
      </w:pPr>
      <w:r>
        <w:rPr>
          <w:color w:val="FF0000"/>
        </w:rPr>
        <w:t>15.</w:t>
      </w:r>
    </w:p>
    <w:p w14:paraId="38E42F4A" w14:textId="13D8E145" w:rsidR="005466EA" w:rsidRDefault="005466EA">
      <w:r>
        <w:t>a) Principio de adaptación del trabajo a la persona</w:t>
      </w:r>
    </w:p>
    <w:p w14:paraId="77F1D72D" w14:textId="6BFB9D44" w:rsidR="005466EA" w:rsidRDefault="005466EA">
      <w:r>
        <w:t>b) Principio de evitar los riesgos</w:t>
      </w:r>
    </w:p>
    <w:p w14:paraId="2ECD2886" w14:textId="13E3A022" w:rsidR="005466EA" w:rsidRDefault="005466EA">
      <w:r>
        <w:t>c)</w:t>
      </w:r>
      <w:r w:rsidRPr="005466EA">
        <w:t xml:space="preserve"> Principio de</w:t>
      </w:r>
      <w:r w:rsidR="00026F46">
        <w:t xml:space="preserve"> evitar los riesgos</w:t>
      </w:r>
    </w:p>
    <w:p w14:paraId="19177CD0" w14:textId="43AB37D7" w:rsidR="005466EA" w:rsidRDefault="005466EA">
      <w:r>
        <w:t xml:space="preserve">d) </w:t>
      </w:r>
      <w:r w:rsidRPr="005466EA">
        <w:t>Principio de formación e información.</w:t>
      </w:r>
    </w:p>
    <w:p w14:paraId="1A8A1DA8" w14:textId="37B6814A" w:rsidR="005466EA" w:rsidRDefault="005466EA">
      <w:r>
        <w:t>e)</w:t>
      </w:r>
      <w:r w:rsidRPr="005466EA">
        <w:t xml:space="preserve"> Principio de </w:t>
      </w:r>
      <w:r w:rsidR="00E602C8">
        <w:t>s</w:t>
      </w:r>
      <w:r w:rsidR="00E602C8">
        <w:t xml:space="preserve">ustituir lo peligroso por lo que entrañe poco o ningún </w:t>
      </w:r>
      <w:proofErr w:type="gramStart"/>
      <w:r w:rsidR="00E602C8">
        <w:t>peligro.</w:t>
      </w:r>
      <w:r w:rsidRPr="005466EA">
        <w:t>.</w:t>
      </w:r>
      <w:proofErr w:type="gramEnd"/>
    </w:p>
    <w:p w14:paraId="0E4A40CE" w14:textId="77777777" w:rsidR="00E602C8" w:rsidRDefault="005466EA">
      <w:r>
        <w:t>f)</w:t>
      </w:r>
      <w:r w:rsidRPr="005466EA">
        <w:t xml:space="preserve"> Principio de </w:t>
      </w:r>
      <w:r w:rsidR="00E602C8">
        <w:t>te</w:t>
      </w:r>
      <w:r w:rsidR="00E602C8">
        <w:t>ner en cuenta la evolución de la técnica</w:t>
      </w:r>
    </w:p>
    <w:p w14:paraId="2040E468" w14:textId="711A054D" w:rsidR="005466EA" w:rsidRDefault="005466EA">
      <w:pPr>
        <w:rPr>
          <w:color w:val="FF0000"/>
        </w:rPr>
      </w:pPr>
      <w:r w:rsidRPr="005466EA">
        <w:rPr>
          <w:color w:val="FF0000"/>
        </w:rPr>
        <w:t>1</w:t>
      </w:r>
      <w:r>
        <w:rPr>
          <w:color w:val="FF0000"/>
        </w:rPr>
        <w:t>6</w:t>
      </w:r>
      <w:r w:rsidRPr="005466EA">
        <w:rPr>
          <w:color w:val="FF0000"/>
        </w:rPr>
        <w:t>.</w:t>
      </w:r>
    </w:p>
    <w:p w14:paraId="2F1C4762" w14:textId="78E280AC" w:rsidR="005466EA" w:rsidRDefault="005466EA">
      <w:pPr>
        <w:rPr>
          <w:color w:val="FF0000"/>
        </w:rPr>
      </w:pPr>
      <w:r w:rsidRPr="005466EA">
        <w:rPr>
          <w:noProof/>
          <w:color w:val="FF0000"/>
        </w:rPr>
        <w:lastRenderedPageBreak/>
        <w:drawing>
          <wp:inline distT="0" distB="0" distL="0" distR="0" wp14:anchorId="38DCBFD5" wp14:editId="72671D78">
            <wp:extent cx="1118642" cy="252222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1177" cy="2527936"/>
                    </a:xfrm>
                    <a:prstGeom prst="rect">
                      <a:avLst/>
                    </a:prstGeom>
                  </pic:spPr>
                </pic:pic>
              </a:graphicData>
            </a:graphic>
          </wp:inline>
        </w:drawing>
      </w:r>
    </w:p>
    <w:p w14:paraId="246F3EE5" w14:textId="77777777" w:rsidR="005466EA" w:rsidRPr="005466EA" w:rsidRDefault="005466EA">
      <w:pPr>
        <w:rPr>
          <w:color w:val="FF0000"/>
        </w:rPr>
      </w:pPr>
    </w:p>
    <w:p w14:paraId="7B5342A5" w14:textId="7D9E436B" w:rsidR="005466EA" w:rsidRDefault="005466EA">
      <w:pPr>
        <w:rPr>
          <w:color w:val="FF0000"/>
        </w:rPr>
      </w:pPr>
      <w:r w:rsidRPr="005466EA">
        <w:rPr>
          <w:color w:val="FF0000"/>
        </w:rPr>
        <w:t>17.</w:t>
      </w:r>
    </w:p>
    <w:p w14:paraId="52AF3631" w14:textId="0EC57355" w:rsidR="005466EA" w:rsidRPr="005466EA" w:rsidRDefault="005466EA" w:rsidP="005466EA">
      <w:r w:rsidRPr="005466EA">
        <w:t>Responsabilidad de la Empresa:</w:t>
      </w:r>
    </w:p>
    <w:p w14:paraId="26BEE033" w14:textId="77777777" w:rsidR="005466EA" w:rsidRPr="005466EA" w:rsidRDefault="005466EA" w:rsidP="005466EA">
      <w:r w:rsidRPr="005466EA">
        <w:t>La empresa tiene la responsabilidad principal en la prevención de riesgos laborales, y debe cumplir con una serie de obligaciones clave:</w:t>
      </w:r>
    </w:p>
    <w:p w14:paraId="73171279" w14:textId="2621E1BD" w:rsidR="005466EA" w:rsidRPr="005466EA" w:rsidRDefault="005466EA" w:rsidP="005466EA">
      <w:r w:rsidRPr="005466EA">
        <w:t>Garantizar la seguridad y salud de los trabajadore</w:t>
      </w:r>
      <w:r w:rsidR="00156B5A">
        <w:t>s</w:t>
      </w:r>
    </w:p>
    <w:p w14:paraId="6700BC36" w14:textId="7CDDD950" w:rsidR="005466EA" w:rsidRPr="005466EA" w:rsidRDefault="005466EA" w:rsidP="005466EA">
      <w:r w:rsidRPr="005466EA">
        <w:t>Integrar la prevención en la empresa</w:t>
      </w:r>
    </w:p>
    <w:p w14:paraId="3C8EDB4A" w14:textId="476D9B7F" w:rsidR="005466EA" w:rsidRPr="005466EA" w:rsidRDefault="005466EA" w:rsidP="005466EA">
      <w:r w:rsidRPr="005466EA">
        <w:t>Formación e información</w:t>
      </w:r>
    </w:p>
    <w:p w14:paraId="6614F341" w14:textId="2C294CA2" w:rsidR="005466EA" w:rsidRPr="005466EA" w:rsidRDefault="005466EA" w:rsidP="005466EA">
      <w:r w:rsidRPr="005466EA">
        <w:t>Proveer de equipos de protección</w:t>
      </w:r>
    </w:p>
    <w:p w14:paraId="37C7B79D" w14:textId="65E6C11B" w:rsidR="005466EA" w:rsidRPr="005466EA" w:rsidRDefault="005466EA" w:rsidP="005466EA">
      <w:r w:rsidRPr="005466EA">
        <w:t>Vigilancia de la salud</w:t>
      </w:r>
    </w:p>
    <w:p w14:paraId="03DBE219" w14:textId="77777777" w:rsidR="005466EA" w:rsidRPr="005466EA" w:rsidRDefault="005466EA" w:rsidP="005466EA"/>
    <w:p w14:paraId="257D8751" w14:textId="0F498C48" w:rsidR="005466EA" w:rsidRPr="005466EA" w:rsidRDefault="005466EA" w:rsidP="005466EA">
      <w:r w:rsidRPr="005466EA">
        <w:t>Responsabilidad del Trabajador o Trabajadora:</w:t>
      </w:r>
    </w:p>
    <w:p w14:paraId="5BBCE4AC" w14:textId="77777777" w:rsidR="005466EA" w:rsidRPr="005466EA" w:rsidRDefault="005466EA" w:rsidP="005466EA">
      <w:r w:rsidRPr="005466EA">
        <w:t>Los trabajadores también tienen una serie de responsabilidades en materia de prevención de riesgos, derivadas de su obligación de colaborar con la empresa en la mejora de las condiciones de seguridad:</w:t>
      </w:r>
    </w:p>
    <w:p w14:paraId="30C6B4C4" w14:textId="79B3429A" w:rsidR="005466EA" w:rsidRPr="005466EA" w:rsidRDefault="005466EA" w:rsidP="005466EA">
      <w:r w:rsidRPr="005466EA">
        <w:t>Usar correctamente los equipos y medios de protección</w:t>
      </w:r>
    </w:p>
    <w:p w14:paraId="52118DAE" w14:textId="6D0F0F45" w:rsidR="005466EA" w:rsidRPr="005466EA" w:rsidRDefault="005466EA" w:rsidP="005466EA">
      <w:r w:rsidRPr="005466EA">
        <w:t>Cumplir con las instrucciones y procedimientos</w:t>
      </w:r>
    </w:p>
    <w:p w14:paraId="5A6C2DEC" w14:textId="75C9B7AF" w:rsidR="005466EA" w:rsidRPr="005466EA" w:rsidRDefault="005466EA" w:rsidP="005466EA">
      <w:r w:rsidRPr="005466EA">
        <w:t>Informar de situaciones de riesgo</w:t>
      </w:r>
    </w:p>
    <w:p w14:paraId="3B8D4925" w14:textId="5698AAE3" w:rsidR="005466EA" w:rsidRPr="005466EA" w:rsidRDefault="005466EA" w:rsidP="005466EA">
      <w:r w:rsidRPr="005466EA">
        <w:t>Cooperar con la empresa</w:t>
      </w:r>
    </w:p>
    <w:sectPr w:rsidR="005466EA" w:rsidRPr="00546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E7A17"/>
    <w:multiLevelType w:val="hybridMultilevel"/>
    <w:tmpl w:val="4134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CB5B63"/>
    <w:multiLevelType w:val="hybridMultilevel"/>
    <w:tmpl w:val="52944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EA"/>
    <w:rsid w:val="00026F46"/>
    <w:rsid w:val="000E0991"/>
    <w:rsid w:val="00156B5A"/>
    <w:rsid w:val="005466EA"/>
    <w:rsid w:val="00AD34E0"/>
    <w:rsid w:val="00E60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1380"/>
  <w15:chartTrackingRefBased/>
  <w15:docId w15:val="{2A6E9F50-1152-4AAC-BF89-98615754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6EA"/>
    <w:pPr>
      <w:ind w:left="720"/>
      <w:contextualSpacing/>
    </w:pPr>
  </w:style>
  <w:style w:type="character" w:styleId="Textoennegrita">
    <w:name w:val="Strong"/>
    <w:basedOn w:val="Fuentedeprrafopredeter"/>
    <w:uiPriority w:val="22"/>
    <w:qFormat/>
    <w:rsid w:val="00546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122673">
      <w:bodyDiv w:val="1"/>
      <w:marLeft w:val="0"/>
      <w:marRight w:val="0"/>
      <w:marTop w:val="0"/>
      <w:marBottom w:val="0"/>
      <w:divBdr>
        <w:top w:val="none" w:sz="0" w:space="0" w:color="auto"/>
        <w:left w:val="none" w:sz="0" w:space="0" w:color="auto"/>
        <w:bottom w:val="none" w:sz="0" w:space="0" w:color="auto"/>
        <w:right w:val="none" w:sz="0" w:space="0" w:color="auto"/>
      </w:divBdr>
    </w:div>
    <w:div w:id="12802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Serrano</dc:creator>
  <cp:keywords/>
  <dc:description/>
  <cp:lastModifiedBy>Antonio Serrano</cp:lastModifiedBy>
  <cp:revision>3</cp:revision>
  <dcterms:created xsi:type="dcterms:W3CDTF">2024-10-01T16:57:00Z</dcterms:created>
  <dcterms:modified xsi:type="dcterms:W3CDTF">2024-10-07T13:35:00Z</dcterms:modified>
</cp:coreProperties>
</file>