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Decisiones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mi7r90xtlud5" w:id="2"/>
      <w:bookmarkEnd w:id="2"/>
      <w:r w:rsidDel="00000000" w:rsidR="00000000" w:rsidRPr="00000000">
        <w:rPr>
          <w:rtl w:val="0"/>
        </w:rPr>
        <w:t xml:space="preserve">Registro de decisiones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3030"/>
        <w:gridCol w:w="6225"/>
        <w:tblGridChange w:id="0">
          <w:tblGrid>
            <w:gridCol w:w="1545"/>
            <w:gridCol w:w="3030"/>
            <w:gridCol w:w="62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Decisión de eliminar la métrica sobre calidad del código, errores y seguridad del Plan de Gestión de la Calidad.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hemos podido encontrar ninguna herramienta gratuita para la revisión de la calidad del código, errores y seguridad por lo que decidimos eliminar esta métrica de nuestra Plan de Gestión de la Calidad.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DECISIONES</w:t>
    </w:r>
  </w:p>
  <w:p w:rsidR="00000000" w:rsidDel="00000000" w:rsidP="00000000" w:rsidRDefault="00000000" w:rsidRPr="00000000" w14:paraId="0000003D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7OjXzBpl3C7imURgFizWMhJ65w==">CgMxLjAyDmguNzc5ZGVqeW04bGtsMg5oLjk1eHRxMWNmdmpkbDIOaC5taTdyOTB4dGx1ZDU4AHIhMVZESzlaNS1MT1ozd3ExallvenRyZjZMbjR1bzMzUVFQ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