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rtl w:val="0"/>
        </w:rPr>
      </w:r>
    </w:p>
    <w:p w:rsidR="00000000" w:rsidDel="00000000" w:rsidP="00000000" w:rsidRDefault="00000000" w:rsidRPr="00000000" w14:paraId="00000005">
      <w:pPr>
        <w:spacing w:after="0" w:lineRule="auto"/>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EDT</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27/10/2023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03/11/2023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Corrección de errores</w:t>
            </w:r>
          </w:p>
        </w:tc>
      </w:tr>
    </w:tbl>
    <w:p w:rsidR="00000000" w:rsidDel="00000000" w:rsidP="00000000" w:rsidRDefault="00000000" w:rsidRPr="00000000" w14:paraId="00000033">
      <w:pP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after="28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280" w:lineRule="auto"/>
        <w:rPr/>
      </w:pPr>
      <w:bookmarkStart w:colFirst="0" w:colLast="0" w:name="_heading=h.rw8uafsicsa0" w:id="2"/>
      <w:bookmarkEnd w:id="2"/>
      <w:r w:rsidDel="00000000" w:rsidR="00000000" w:rsidRPr="00000000">
        <w:rPr>
          <w:rtl w:val="0"/>
        </w:rPr>
        <w:t xml:space="preserve">Diagrama Elementos de Desglose de Trabajo (EDT)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8959449" cy="1264863"/>
            <wp:effectExtent b="0" l="0" r="0" t="0"/>
            <wp:docPr id="13" name="image1.png"/>
            <a:graphic>
              <a:graphicData uri="http://schemas.openxmlformats.org/drawingml/2006/picture">
                <pic:pic>
                  <pic:nvPicPr>
                    <pic:cNvPr id="0" name="image1.png"/>
                    <pic:cNvPicPr preferRelativeResize="0"/>
                  </pic:nvPicPr>
                  <pic:blipFill>
                    <a:blip r:embed="rId12"/>
                    <a:srcRect b="0" l="0" r="8229" t="0"/>
                    <a:stretch>
                      <a:fillRect/>
                    </a:stretch>
                  </pic:blipFill>
                  <pic:spPr>
                    <a:xfrm>
                      <a:off x="0" y="0"/>
                      <a:ext cx="8959449" cy="12648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7200900</wp:posOffset>
            </wp:positionH>
            <wp:positionV relativeFrom="paragraph">
              <wp:posOffset>1543050</wp:posOffset>
            </wp:positionV>
            <wp:extent cx="1604963" cy="341194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04963" cy="3411948"/>
                    </a:xfrm>
                    <a:prstGeom prst="rect"/>
                    <a:ln/>
                  </pic:spPr>
                </pic:pic>
              </a:graphicData>
            </a:graphic>
          </wp:anchor>
        </w:drawing>
      </w:r>
    </w:p>
    <w:p w:rsidR="00000000" w:rsidDel="00000000" w:rsidP="00000000" w:rsidRDefault="00000000" w:rsidRPr="00000000" w14:paraId="00000039">
      <w:pPr>
        <w:spacing w:after="28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Para ver claramente cada uno de los elementos según su nivel los identificamos por colores según la leyenda adjunta. Llegamos hasta el nivel de paquete de trabajo ya que el desglose por actividades se verá más adelante.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 continuación vamos a desglosar cada una de las cuentas de control.</w:t>
      </w:r>
    </w:p>
    <w:p w:rsidR="00000000" w:rsidDel="00000000" w:rsidP="00000000" w:rsidRDefault="00000000" w:rsidRPr="00000000" w14:paraId="0000003D">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1"/>
        </w:numPr>
        <w:ind w:left="720" w:hanging="360"/>
        <w:rPr>
          <w:u w:val="none"/>
        </w:rPr>
      </w:pPr>
      <w:bookmarkStart w:colFirst="0" w:colLast="0" w:name="_heading=h.1rv9xh5qf94f" w:id="3"/>
      <w:bookmarkEnd w:id="3"/>
      <w:r w:rsidDel="00000000" w:rsidR="00000000" w:rsidRPr="00000000">
        <w:rPr>
          <w:rtl w:val="0"/>
        </w:rPr>
        <w:t xml:space="preserve">Inicio</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010025" cy="18192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100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720" w:firstLine="0"/>
        <w:rPr/>
      </w:pPr>
      <w:bookmarkStart w:colFirst="0" w:colLast="0" w:name="_heading=h.14of6a2p2dv9"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numPr>
          <w:ilvl w:val="0"/>
          <w:numId w:val="1"/>
        </w:numPr>
        <w:ind w:left="720" w:hanging="360"/>
        <w:rPr>
          <w:u w:val="none"/>
        </w:rPr>
      </w:pPr>
      <w:bookmarkStart w:colFirst="0" w:colLast="0" w:name="_heading=h.g6fy1z2cp284" w:id="5"/>
      <w:bookmarkEnd w:id="5"/>
      <w:r w:rsidDel="00000000" w:rsidR="00000000" w:rsidRPr="00000000">
        <w:rPr>
          <w:rtl w:val="0"/>
        </w:rPr>
        <w:t xml:space="preserve">Planificación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8391525" cy="181927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83915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ind w:left="720" w:firstLine="0"/>
        <w:rPr/>
      </w:pPr>
      <w:bookmarkStart w:colFirst="0" w:colLast="0" w:name="_heading=h.pf2naycgiphx" w:id="6"/>
      <w:bookmarkEnd w:id="6"/>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numPr>
          <w:ilvl w:val="0"/>
          <w:numId w:val="1"/>
        </w:numPr>
        <w:ind w:left="720" w:hanging="360"/>
        <w:rPr>
          <w:u w:val="none"/>
        </w:rPr>
      </w:pPr>
      <w:bookmarkStart w:colFirst="0" w:colLast="0" w:name="_heading=h.z1lzkoluym3t" w:id="7"/>
      <w:bookmarkEnd w:id="7"/>
      <w:r w:rsidDel="00000000" w:rsidR="00000000" w:rsidRPr="00000000">
        <w:rPr>
          <w:rtl w:val="0"/>
        </w:rPr>
        <w:t xml:space="preserve">Ejecución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8815388" cy="2286491"/>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815388" cy="22864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pStyle w:val="Heading2"/>
        <w:ind w:left="720" w:firstLine="0"/>
        <w:rPr/>
      </w:pPr>
      <w:bookmarkStart w:colFirst="0" w:colLast="0" w:name="_heading=h.xlkttfjq978u" w:id="8"/>
      <w:bookmarkEnd w:id="8"/>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u w:val="none"/>
        </w:rPr>
      </w:pPr>
      <w:bookmarkStart w:colFirst="0" w:colLast="0" w:name="_heading=h.evaqdmbaxj10" w:id="9"/>
      <w:bookmarkEnd w:id="9"/>
      <w:r w:rsidDel="00000000" w:rsidR="00000000" w:rsidRPr="00000000">
        <w:rPr>
          <w:rtl w:val="0"/>
        </w:rPr>
        <w:t xml:space="preserve">Seguimiento y control</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jc w:val="center"/>
        <w:rPr/>
      </w:pPr>
      <w:r w:rsidDel="00000000" w:rsidR="00000000" w:rsidRPr="00000000">
        <w:rPr/>
        <w:drawing>
          <wp:inline distB="114300" distT="114300" distL="114300" distR="114300">
            <wp:extent cx="6877050" cy="18288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877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ind w:left="720" w:firstLine="0"/>
        <w:rPr/>
      </w:pPr>
      <w:bookmarkStart w:colFirst="0" w:colLast="0" w:name="_heading=h.axcsygnygf0g" w:id="10"/>
      <w:bookmarkEnd w:id="10"/>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rPr>
          <w:u w:val="none"/>
        </w:rPr>
      </w:pPr>
      <w:bookmarkStart w:colFirst="0" w:colLast="0" w:name="_heading=h.y49cwk5d45b7" w:id="11"/>
      <w:bookmarkEnd w:id="11"/>
      <w:r w:rsidDel="00000000" w:rsidR="00000000" w:rsidRPr="00000000">
        <w:rPr>
          <w:rtl w:val="0"/>
        </w:rPr>
        <w:t xml:space="preserve">Cierre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5543550" cy="18288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43550" cy="1828800"/>
                    </a:xfrm>
                    <a:prstGeom prst="rect"/>
                    <a:ln/>
                  </pic:spPr>
                </pic:pic>
              </a:graphicData>
            </a:graphic>
          </wp:inline>
        </w:drawing>
      </w: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before="120" w:lin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EDT</w:t>
    </w:r>
  </w:p>
  <w:p w:rsidR="00000000" w:rsidDel="00000000" w:rsidP="00000000" w:rsidRDefault="00000000" w:rsidRPr="00000000" w14:paraId="00000059">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zt/f9Gl6zKoK6nKpWrP1JukyAg==">AMUW2mVOYHcnY4ES3B2s9Olvx5umkU0TdlouWEZ/KCFyLOdzy7VyQP8TIsPj+oQ7CeV5iTDkib3wLBJkL0fSIpkcH19tlOTf6qEamy4NtF6uddJUaZVnkcU+feAlK5oHD/EASRmFbp4jKp2tpBcrxCWTnPW7cLAarL2fe2WXOVK36Nc1Y/ph6B1j3WPM6mDd8fwNKXOIxwAa4T8qUAYdV66nYcA0Q3LM5HS6PWDZ+N72VyRxRst/qtaC5ASbCVesmW15ItP3MoyF/Ls1eIWqWOanlzRR23TZAay5/bNL71Ssh8QXIhb9YXy5rX9ahK8zEZ6Tl40fNUwiXFQn/E3GaQJSSBRm4tpAnFn0Td/mKVQfkQOtXzYBG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