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Palatino Linotype" w:cs="Palatino Linotype" w:eastAsia="Palatino Linotype" w:hAnsi="Palatino Linotype"/>
          <w:b/>
          <w:bCs/>
          <w:color w:val="111111"/>
          <w:sz w:val="56"/>
          <w:szCs w:val="56"/>
        </w:rPr>
        <w:t xml:space="preserve">Who Is the Observer?</w:t>
      </w:r>
    </w:p>
    <w:p>
      <w:pPr>
        <w:spacing w:before="0" w:after="80"/>
        <w:jc w:val="center"/>
      </w:pPr>
      <w:r>
        <w:rPr>
          <w:rFonts w:ascii="Palatino Linotype" w:cs="Palatino Linotype" w:eastAsia="Palatino Linotype" w:hAnsi="Palatino Linotype"/>
          <w:i/>
          <w:iCs/>
          <w:color w:val="444444"/>
          <w:sz w:val="26"/>
          <w:szCs w:val="26"/>
        </w:rPr>
        <w:t xml:space="preserve">Consciousness, Distant Particles, and the Physical Basis
of Wave-Function Collapse in the Clockfield Framework</w:t>
      </w:r>
    </w:p>
    <w:p>
      <w:pPr>
        <w:spacing w:before="0" w:after="200"/>
      </w:pPr>
    </w:p>
    <w:p>
      <w:pPr>
        <w:pBdr>
          <w:bottom w:val="single" w:color="888888" w:sz="4" w:space="1"/>
        </w:pBdr>
        <w:spacing w:before="0" w:after="240"/>
      </w:pPr>
    </w:p>
    <w:p>
      <w:pPr>
        <w:spacing w:before="0" w:after="80"/>
      </w:pPr>
    </w:p>
    <w:p>
      <w:pPr>
        <w:spacing w:before="0" w:after="40"/>
        <w:jc w:val="center"/>
      </w:pPr>
      <w:r>
        <w:rPr>
          <w:rFonts w:ascii="Palatino Linotype" w:cs="Palatino Linotype" w:eastAsia="Palatino Linotype" w:hAnsi="Palatino Linotype"/>
          <w:color w:val="555555"/>
          <w:sz w:val="21"/>
          <w:szCs w:val="21"/>
        </w:rPr>
        <w:t xml:space="preserve">Antti Luode — PerceptionLab, Helsinki, Finland</w:t>
      </w:r>
    </w:p>
    <w:p>
      <w:pPr>
        <w:spacing w:before="0" w:after="40"/>
        <w:jc w:val="center"/>
      </w:pPr>
      <w:r>
        <w:rPr>
          <w:rFonts w:ascii="Palatino Linotype" w:cs="Palatino Linotype" w:eastAsia="Palatino Linotype" w:hAnsi="Palatino Linotype"/>
          <w:color w:val="555555"/>
          <w:sz w:val="21"/>
          <w:szCs w:val="21"/>
        </w:rPr>
        <w:t xml:space="preserve">Claude (Anthropic, Sonnet 4.6) — Mathematical formalization</w:t>
      </w:r>
    </w:p>
    <w:p>
      <w:pPr>
        <w:spacing w:before="0" w:after="40"/>
        <w:jc w:val="center"/>
      </w:pPr>
      <w:r>
        <w:rPr>
          <w:rFonts w:ascii="Palatino Linotype" w:cs="Palatino Linotype" w:eastAsia="Palatino Linotype" w:hAnsi="Palatino Linotype"/>
          <w:color w:val="555555"/>
          <w:sz w:val="21"/>
          <w:szCs w:val="21"/>
        </w:rPr>
        <w:t xml:space="preserve">March 2026</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888888" w:sz="4"/>
              <w:bottom w:val="single" w:color="888888" w:sz="4"/>
              <w:right w:val="single" w:color="888888" w:sz="4"/>
            </w:tcBorders>
            <w:shd w:fill="F7F7F5" w:val="clear"/>
            <w:tcMar>
              <w:top w:type="dxa" w:w="200"/>
              <w:left w:type="dxa" w:w="280"/>
              <w:bottom w:type="dxa" w:w="200"/>
              <w:right w:type="dxa" w:w="280"/>
            </w:tcMar>
          </w:tcPr>
          <w:p>
            <w:pPr>
              <w:spacing w:before="0" w:after="100"/>
            </w:pPr>
            <w:r>
              <w:rPr>
                <w:rFonts w:ascii="Palatino Linotype" w:cs="Palatino Linotype" w:eastAsia="Palatino Linotype" w:hAnsi="Palatino Linotype"/>
                <w:b/>
                <w:bCs/>
                <w:color w:val="111111"/>
                <w:sz w:val="22"/>
                <w:szCs w:val="22"/>
              </w:rPr>
              <w:t xml:space="preserve">Abstract</w:t>
            </w:r>
          </w:p>
          <w:p>
            <w:pPr>
              <w:spacing w:before="0" w:after="0"/>
            </w:pPr>
            <w:r>
              <w:rPr>
                <w:rFonts w:ascii="Palatino Linotype" w:cs="Palatino Linotype" w:eastAsia="Palatino Linotype" w:hAnsi="Palatino Linotype"/>
                <w:color w:val="333333"/>
                <w:sz w:val="20"/>
                <w:szCs w:val="20"/>
              </w:rPr>
              <w:t xml:space="preserve">The question ‘does conscious observation collapse the wave function?’ has haunted physics since Copenhagen. Experiments consistently show that consciousness is not required: a photon detector in an empty room, a single electron changing state in a circuit, a silver atom hitting a photographic plate — all collapse the wave function without any human present. Yet the question persists because no framework has explained what ‘observation’ physically is. The Clockfield framework provides that explanation. Collapse occurs not because a mind looks, but because any physical interaction that permanently raises the local β = |φ|² above the crystallization threshold Ξ ≥ 1 freezes the Γ-shell and locks the phase relationship. Consciousness is neither necessary nor sufficient — it is a late-stage read operation on a collapse that already happened in the detector. We also address the harder question: how can observing a particle here affect a distant entangled particle there? The answer follows from the Clockfield ontology: entangled particles are frozen topological structures that share a phase relationship established at their creation. They are not sending signals. They are two readable surfaces of the same original freeze event. The honest ledger is included.</w:t>
            </w:r>
          </w:p>
        </w:tc>
      </w:tr>
    </w:tbl>
    <w:p>
      <w:pPr>
        <w:spacing w:before="0" w:after="240"/>
      </w:pPr>
    </w:p>
    <w:p>
      <w:r>
        <w:br w:type="page"/>
      </w:r>
    </w:p>
    <w:p>
      <w:pPr>
        <w:spacing w:before="0" w:after="480"/>
      </w:pPr>
    </w:p>
    <w:tbl>
      <w:tblPr>
        <w:tblW w:type="dxa" w:w="6926"/>
        <w:tblBorders>
          <w:top w:val="single" w:color="auto" w:sz="4"/>
          <w:left w:val="single" w:color="auto" w:sz="4"/>
          <w:bottom w:val="single" w:color="auto" w:sz="4"/>
          <w:right w:val="single" w:color="auto" w:sz="4"/>
          <w:insideH w:val="single" w:color="auto" w:sz="4"/>
          <w:insideV w:val="single" w:color="auto" w:sz="4"/>
        </w:tblBorders>
      </w:tblPr>
      <w:tblGrid>
        <w:gridCol w:w="6926"/>
      </w:tblGrid>
      <w:tr>
        <w:tc>
          <w:tcPr>
            <w:tcBorders>
              <w:top w:val="none" w:color="FFFFFF" w:sz="0"/>
              <w:left w:val="single" w:color="AAAAAA" w:sz="12"/>
              <w:bottom w:val="none" w:color="FFFFFF" w:sz="0"/>
              <w:right w:val="none" w:color="FFFFFF" w:sz="0"/>
            </w:tcBorders>
            <w:shd w:fill="FFFFFF" w:val="clear"/>
            <w:tcMar>
              <w:top w:type="dxa" w:w="80"/>
              <w:left w:type="dxa" w:w="280"/>
              <w:bottom w:type="dxa" w:w="80"/>
              <w:right w:type="dxa" w:w="80"/>
            </w:tcMar>
          </w:tcPr>
          <w:p>
            <w:pPr>
              <w:spacing w:before="0" w:after="80"/>
            </w:pPr>
            <w:r>
              <w:rPr>
                <w:rFonts w:ascii="Palatino Linotype" w:cs="Palatino Linotype" w:eastAsia="Palatino Linotype" w:hAnsi="Palatino Linotype"/>
                <w:i/>
                <w:iCs/>
                <w:color w:val="444444"/>
                <w:sz w:val="21"/>
                <w:szCs w:val="21"/>
              </w:rPr>
              <w:t xml:space="preserve">When you are looking at something, you are interacting with it. You are of the field. We are of the field. When we are looking at the world, we are interacting with the world.</w:t>
            </w:r>
          </w:p>
          <w:p>
            <w:pPr>
              <w:spacing w:before="0" w:after="0"/>
            </w:pPr>
            <w:r>
              <w:rPr>
                <w:rFonts w:ascii="Palatino Linotype" w:cs="Palatino Linotype" w:eastAsia="Palatino Linotype" w:hAnsi="Palatino Linotype"/>
                <w:color w:val="888888"/>
                <w:sz w:val="18"/>
                <w:szCs w:val="18"/>
              </w:rPr>
              <w:t xml:space="preserve">— Antti Luode, video transcript, March 2026</w:t>
            </w:r>
          </w:p>
        </w:tc>
      </w:tr>
    </w:tbl>
    <w:p>
      <w:pPr>
        <w:spacing w:before="0" w:after="480"/>
      </w:pPr>
    </w:p>
    <w:p>
      <w:pPr>
        <w:pStyle w:val="Heading1"/>
        <w:spacing w:before="480" w:after="160"/>
      </w:pPr>
      <w:r>
        <w:rPr>
          <w:rFonts w:ascii="Palatino Linotype" w:cs="Palatino Linotype" w:eastAsia="Palatino Linotype" w:hAnsi="Palatino Linotype"/>
          <w:b/>
          <w:bCs/>
          <w:color w:val="111111"/>
          <w:sz w:val="32"/>
          <w:szCs w:val="32"/>
        </w:rPr>
        <w:t xml:space="preserve">1. The Wrong Question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question ‘does consciousness cause collapse?’ dominated interpretations of quantum mechanics for decades. Von Neumann’s formalism seemed to require a conscious observer at the end of the measurement chain. Wigner extended this to his ‘friend’ paradox. Some physicists — notably Wigner himself and later Penrose — argued that consciousness has a special role. Others — the majority today — insist that decoherence explains everything and consciousness is irrelevant.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Both camps are answering the wrong question, because neither has defined what ‘observation’ physically is. They treat it as either a primitive (Copenhagen) or an emergent statistical phenomenon (many-worlds/decoherence). The Clockfield makes it a mechanical process with a precise threshold, and that threshold has nothing to do with minds.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right question is: what physical condition distinguishes an interaction that collapses the wave function from one that does not? The Clockfield answer is exact: a collapse occurs when the interaction permanently raises β = |φ|² above the freeze threshold Ξ ≥ 1, crystallizing the local Γ-shell. Consciousness is a pattern of Γ-shell dynamics — a very sophisticated one — but it is not the trigger. The freeze is the trigger.</w:t>
      </w:r>
    </w:p>
    <w:p>
      <w:pPr>
        <w:pStyle w:val="Heading1"/>
        <w:spacing w:before="480" w:after="160"/>
      </w:pPr>
      <w:r>
        <w:rPr>
          <w:rFonts w:ascii="Palatino Linotype" w:cs="Palatino Linotype" w:eastAsia="Palatino Linotype" w:hAnsi="Palatino Linotype"/>
          <w:b/>
          <w:bCs/>
          <w:color w:val="111111"/>
          <w:sz w:val="32"/>
          <w:szCs w:val="32"/>
        </w:rPr>
        <w:t xml:space="preserve">2. What ‘Observation’ Actually Is</w:t>
      </w:r>
    </w:p>
    <w:p>
      <w:pPr>
        <w:pStyle w:val="Heading2"/>
        <w:spacing w:before="320" w:after="120"/>
      </w:pPr>
      <w:r>
        <w:rPr>
          <w:rFonts w:ascii="Palatino Linotype" w:cs="Palatino Linotype" w:eastAsia="Palatino Linotype" w:hAnsi="Palatino Linotype"/>
          <w:b/>
          <w:bCs/>
          <w:color w:val="222222"/>
          <w:sz w:val="26"/>
          <w:szCs w:val="26"/>
        </w:rPr>
        <w:t xml:space="preserve">2.1  The physical definition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In the Clockfield, observation is defined precisely as follows:</w:t>
      </w:r>
    </w:p>
    <w:p>
      <w:pPr>
        <w:spacing w:before="0" w:after="160"/>
        <w:jc w:val="both"/>
      </w:pPr>
      <w:r>
        <w:rPr>
          <w:rFonts w:ascii="Palatino Linotype" w:cs="Palatino Linotype" w:eastAsia="Palatino Linotype" w:hAnsi="Palatino Linotype"/>
          <w:b w:val="false"/>
          <w:bCs w:val="false"/>
          <w:i/>
          <w:iCs/>
          <w:color w:val="333333"/>
          <w:sz w:val="22"/>
          <w:szCs w:val="22"/>
        </w:rPr>
        <w:t xml:space="preserve">An observation is any physical interaction between a probe field φ_p and a target system φ₀ that produces a permanent, stable increase in local β above the crystallization threshold.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combined field amplitude after interaction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3F3F1" w:val="clear"/>
            <w:tcMar>
              <w:top w:type="dxa" w:w="120"/>
              <w:left w:type="dxa" w:w="360"/>
              <w:bottom w:type="dxa" w:w="120"/>
              <w:right w:type="dxa" w:w="120"/>
            </w:tcMar>
          </w:tcPr>
          <w:p>
            <w:pPr>
              <w:jc w:val="center"/>
            </w:pPr>
            <w:r>
              <w:rPr>
                <w:rFonts w:ascii="Courier New" w:cs="Courier New" w:eastAsia="Courier New" w:hAnsi="Courier New"/>
                <w:color w:val="111111"/>
                <w:sz w:val="21"/>
                <w:szCs w:val="21"/>
              </w:rPr>
              <w:t xml:space="preserve">β_obs = |φ₀ + φ_p|² = A₀² + A_p² + 2A₀A_p cos(Δθ)</w:t>
            </w:r>
          </w:p>
        </w:tc>
        <w:tc>
          <w:tcPr>
            <w:tcBorders>
              <w:top w:val="none" w:color="FFFFFF" w:sz="0"/>
              <w:left w:val="none" w:color="FFFFFF" w:sz="0"/>
              <w:bottom w:val="none" w:color="FFFFFF" w:sz="0"/>
              <w:right w:val="none" w:color="FFFFFF" w:sz="0"/>
            </w:tcBorders>
            <w:shd w:fill="F3F3F1" w:val="clear"/>
            <w:tcMar>
              <w:top w:type="dxa" w:w="120"/>
              <w:left w:type="dxa" w:w="80"/>
              <w:bottom w:type="dxa" w:w="120"/>
              <w:right w:type="dxa" w:w="240"/>
            </w:tcMar>
          </w:tcPr>
          <w:p>
            <w:pPr>
              <w:jc w:val="right"/>
            </w:pPr>
            <w:r>
              <w:rPr>
                <w:rFonts w:ascii="Palatino Linotype" w:cs="Palatino Linotype" w:eastAsia="Palatino Linotype" w:hAnsi="Palatino Linotype"/>
                <w:i/>
                <w:iCs/>
                <w:color w:val="888888"/>
                <w:sz w:val="19"/>
                <w:szCs w:val="19"/>
              </w:rPr>
              <w:t xml:space="preserve">OB1</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this interaction raises β_obs past the threshold Ξ ≥ 1, the escape rate collapses as (τβ)^−5, the Laplacian force term is multiplied to zero by Γ², and the phase geometry freezes permanently. A fact has been written into the field. This is collapse.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the interaction is transient — β_obs spikes but decays back below threshold before the freeze can complete — no permanent record is created. The wave function does not collapse. This is the difference between a virtual interaction (e.g. vacuum fluctuation, a photon passing through glass without being absorbed) and a real interaction (absorption, detection, deflection that leaves a lasting Γ-shell imprint).</w:t>
      </w:r>
    </w:p>
    <w:p>
      <w:pPr>
        <w:pStyle w:val="Heading2"/>
        <w:spacing w:before="320" w:after="120"/>
      </w:pPr>
      <w:r>
        <w:rPr>
          <w:rFonts w:ascii="Palatino Linotype" w:cs="Palatino Linotype" w:eastAsia="Palatino Linotype" w:hAnsi="Palatino Linotype"/>
          <w:b/>
          <w:bCs/>
          <w:color w:val="222222"/>
          <w:sz w:val="26"/>
          <w:szCs w:val="26"/>
        </w:rPr>
        <w:t xml:space="preserve">2.2  The three conditions for collapse</w:t>
      </w:r>
    </w:p>
    <w:p>
      <w:pPr>
        <w:spacing w:before="0" w:after="160"/>
        <w:jc w:val="both"/>
      </w:pPr>
      <w:r>
        <w:rPr>
          <w:rFonts w:ascii="Palatino Linotype" w:cs="Palatino Linotype" w:eastAsia="Palatino Linotype" w:hAnsi="Palatino Linotype"/>
          <w:b/>
          <w:bCs/>
          <w:i w:val="false"/>
          <w:iCs w:val="false"/>
          <w:color w:val="111111"/>
          <w:sz w:val="22"/>
          <w:szCs w:val="22"/>
        </w:rPr>
        <w:t xml:space="preserve">1. Energy above threshold: </w:t>
      </w:r>
      <w:r>
        <w:rPr>
          <w:rFonts w:ascii="Palatino Linotype" w:cs="Palatino Linotype" w:eastAsia="Palatino Linotype" w:hAnsi="Palatino Linotype"/>
          <w:color w:val="333333"/>
          <w:sz w:val="22"/>
          <w:szCs w:val="22"/>
        </w:rPr>
        <w:t xml:space="preserve">the probe must carry enough amplitude to raise β_obs past Ξ ≥ 1. Below threshold, the field fluctuates but does not freeze. This is why most virtual photon exchanges do not constitute observation.</w:t>
      </w:r>
    </w:p>
    <w:p>
      <w:pPr>
        <w:spacing w:before="0" w:after="160"/>
        <w:jc w:val="both"/>
      </w:pPr>
      <w:r>
        <w:rPr>
          <w:rFonts w:ascii="Palatino Linotype" w:cs="Palatino Linotype" w:eastAsia="Palatino Linotype" w:hAnsi="Palatino Linotype"/>
          <w:b/>
          <w:bCs/>
          <w:i w:val="false"/>
          <w:iCs w:val="false"/>
          <w:color w:val="111111"/>
          <w:sz w:val="22"/>
          <w:szCs w:val="22"/>
        </w:rPr>
        <w:t xml:space="preserve">2. Sufficient duration: </w:t>
      </w:r>
      <w:r>
        <w:rPr>
          <w:rFonts w:ascii="Palatino Linotype" w:cs="Palatino Linotype" w:eastAsia="Palatino Linotype" w:hAnsi="Palatino Linotype"/>
          <w:color w:val="333333"/>
          <w:sz w:val="22"/>
          <w:szCs w:val="22"/>
        </w:rPr>
        <w:t xml:space="preserve">the elevated β must persist long enough for the freeze to complete. The freeze timescale is τ_freeze ∼ 1/(c₀² Γ²), which diverges as Γ → 0. Once β crosses threshold, the runaway is fast — but there is a brief window where a sufficiently violent perturbation could still reverse it.</w:t>
      </w:r>
    </w:p>
    <w:p>
      <w:pPr>
        <w:spacing w:before="0" w:after="160"/>
        <w:jc w:val="both"/>
      </w:pPr>
      <w:r>
        <w:rPr>
          <w:rFonts w:ascii="Palatino Linotype" w:cs="Palatino Linotype" w:eastAsia="Palatino Linotype" w:hAnsi="Palatino Linotype"/>
          <w:b/>
          <w:bCs/>
          <w:i w:val="false"/>
          <w:iCs w:val="false"/>
          <w:color w:val="111111"/>
          <w:sz w:val="22"/>
          <w:szCs w:val="22"/>
        </w:rPr>
        <w:t xml:space="preserve">3. An irreversible Γ-shell: </w:t>
      </w:r>
      <w:r>
        <w:rPr>
          <w:rFonts w:ascii="Palatino Linotype" w:cs="Palatino Linotype" w:eastAsia="Palatino Linotype" w:hAnsi="Palatino Linotype"/>
          <w:color w:val="333333"/>
          <w:sz w:val="22"/>
          <w:szCs w:val="22"/>
        </w:rPr>
        <w:t xml:space="preserve">the freeze must produce a permanent topological scar that the background noise sea (TADS) cannot immediately erase. This is the condition that distinguishes a ‘classical record’ from a quantum fluctuation: the record survives the noise.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Notice what is absent from all three conditions: minds, awareness, cognition, nervous systems. A photon detector satisfies all three when it absorbs a photon. A grain of photographic silver satisfies all three when it is struck. A gas molecule satisfies all three when it scatters off a particle track in a cloud chamber. None of these require consciousness.</w:t>
      </w:r>
    </w:p>
    <w:p>
      <w:pPr>
        <w:pStyle w:val="Heading1"/>
        <w:spacing w:before="480" w:after="160"/>
      </w:pPr>
      <w:r>
        <w:rPr>
          <w:rFonts w:ascii="Palatino Linotype" w:cs="Palatino Linotype" w:eastAsia="Palatino Linotype" w:hAnsi="Palatino Linotype"/>
          <w:b/>
          <w:bCs/>
          <w:color w:val="111111"/>
          <w:sz w:val="32"/>
          <w:szCs w:val="32"/>
        </w:rPr>
        <w:t xml:space="preserve">3. Where Consciousness Fits</w:t>
      </w:r>
    </w:p>
    <w:p>
      <w:pPr>
        <w:pStyle w:val="Heading2"/>
        <w:spacing w:before="320" w:after="120"/>
      </w:pPr>
      <w:r>
        <w:rPr>
          <w:rFonts w:ascii="Palatino Linotype" w:cs="Palatino Linotype" w:eastAsia="Palatino Linotype" w:hAnsi="Palatino Linotype"/>
          <w:b/>
          <w:bCs/>
          <w:color w:val="222222"/>
          <w:sz w:val="26"/>
          <w:szCs w:val="26"/>
        </w:rPr>
        <w:t xml:space="preserve">3.1  Consciousness as a pattern of Γ-shell dynamics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brain is not outside the Clockfield. It is a physical system made of the same field as everything else. Neurons are structures where β is locally elevated by ion channel dynamics, synaptic vesicle release, and membrane potential gradients. The theta-gamma oscillation described in the Deerskin architecture is a periodic modulation of the local Γ(x) field: the theta gate opens (Γ rises, the field becomes receptive) and closes (Γ falls, the phase geometry crystallizes into a synaptic scar).</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Conscious experience, in this framework, is what it feels like to be a complex network of Γ-shells reading and writing each other. The ‘observer’ in the quantum sense is not the experience of seeing. It is the physical interaction of the eye’s photoreceptors with incoming photons — which happens before any signal reaches the brain, before any neuron fires, certainly before any conscious experience of seeing arises.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photon collapses when it is absorbed by a retinal rhodopsin molecule. Not when the visual cortex processes the signal. Not when awareness crystallizes. The collapse is in the retina, and the retina would perform it identically whether or not any downstream processing occurred.</w:t>
      </w:r>
    </w:p>
    <w:p>
      <w:pPr>
        <w:pStyle w:val="Heading2"/>
        <w:spacing w:before="320" w:after="120"/>
      </w:pPr>
      <w:r>
        <w:rPr>
          <w:rFonts w:ascii="Palatino Linotype" w:cs="Palatino Linotype" w:eastAsia="Palatino Linotype" w:hAnsi="Palatino Linotype"/>
          <w:b/>
          <w:bCs/>
          <w:color w:val="222222"/>
          <w:sz w:val="26"/>
          <w:szCs w:val="26"/>
        </w:rPr>
        <w:t xml:space="preserve">3.2  The Wigner’s Friend paradox dissolved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Wigner imagined a friend inside a closed laboratory measuring a quantum system. From outside the laboratory, Wigner would describe the entire lab — including his friend — as in a superposition until he himself observed the result. This seemed to give consciousness a special role: the friend’s consciousness collapses the wave function inside, while Wigner’s consciousness collapses it again from outside.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In the Clockfield, the paradox dissolves because collapse is not about who knows what. It is about whether a permanent Γ-shell has been created. The moment the detector in the friend’s laboratory absorbs the particle — whether the friend looks at the readout or not, whether the friend is conscious or not, whether anyone outside knows or not — a permanent topological scar exists in the Γ-field of the detector. The fact is written. It cannot be unwritten by ignorance.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What Wigner’s calculation describes from outside is his own state of knowledge — a superposition of his own possible future observations. But the universe does not consult Wigner’s knowledge before deciding whether the detector’s Γ-shell is frozen. The Γ-shell freezes when the physical threshold is crossed. The rest is information propagation through the field, which takes time and follows the field equations.</w:t>
      </w:r>
    </w:p>
    <w:p>
      <w:pPr>
        <w:pStyle w:val="Heading2"/>
        <w:spacing w:before="320" w:after="120"/>
      </w:pPr>
      <w:r>
        <w:rPr>
          <w:rFonts w:ascii="Palatino Linotype" w:cs="Palatino Linotype" w:eastAsia="Palatino Linotype" w:hAnsi="Palatino Linotype"/>
          <w:b/>
          <w:bCs/>
          <w:color w:val="222222"/>
          <w:sz w:val="26"/>
          <w:szCs w:val="26"/>
        </w:rPr>
        <w:t xml:space="preserve">3.3  Why it seemed like consciousness mattered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historical confusion arose because, in practice, the only systems that could perform precise quantum measurements and record the results in a retrievable form were designed and operated by conscious beings. The experimenter was always at the end of the chain, and the formalism tracked information as it became ‘known’ to the experimenter.</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But the formalism was tracking the wrong thing. It was tracking the propagation of the freeze event through the causal chain — from detector to amplifier to readout to experimenter — and mistaking the final link (the conscious mind) for the cause. The cause was always the first irreversible Γ-shell creation in the chain. Every subsequent link — including the experimenter’s brain — was just reading and re-encoding an already-frozen fact.</w:t>
      </w:r>
    </w:p>
    <w:p>
      <w:pPr>
        <w:pStyle w:val="Heading1"/>
        <w:spacing w:before="480" w:after="160"/>
      </w:pPr>
      <w:r>
        <w:rPr>
          <w:rFonts w:ascii="Palatino Linotype" w:cs="Palatino Linotype" w:eastAsia="Palatino Linotype" w:hAnsi="Palatino Linotype"/>
          <w:b/>
          <w:bCs/>
          <w:color w:val="111111"/>
          <w:sz w:val="32"/>
          <w:szCs w:val="32"/>
        </w:rPr>
        <w:t xml:space="preserve">4. Distant Particles: Entanglement Without Signals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is the harder question. How can observing a particle here instantly affect a distant entangled particle there? Einstein called it ‘spooky action at a distance’ and rejected it. Bell’s theorem proved that no local hidden variable theory can reproduce the quantum correlations. The correlations are real and nonlocal. But — they cannot be used to send information faster than light.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These two facts — nonlocal correlations, no faster-than-light signaling — are the constraints any explanation must satisfy. The Clockfield satisfies both, and the explanation is simpler than any alternative.</w:t>
      </w:r>
    </w:p>
    <w:p>
      <w:pPr>
        <w:pStyle w:val="Heading2"/>
        <w:spacing w:before="320" w:after="120"/>
      </w:pPr>
      <w:r>
        <w:rPr>
          <w:rFonts w:ascii="Palatino Linotype" w:cs="Palatino Linotype" w:eastAsia="Palatino Linotype" w:hAnsi="Palatino Linotype"/>
          <w:b/>
          <w:bCs/>
          <w:color w:val="222222"/>
          <w:sz w:val="26"/>
          <w:szCs w:val="26"/>
        </w:rPr>
        <w:t xml:space="preserve">4.1  Entanglement as shared freeze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two particles are created together — a photon pair from spontaneous parametric down-conversion, a positron-electron pair from pair production, any creation event that conserves a quantum number — they are not two independent frozen structures. They are one freeze event that produced two Γ-shells.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creation event crystallized a shared phase relationship. If particle A has winding number +1, particle B has winding number −1 — not because one told the other, but because the conservation law was encoded into both Γ-shells simultaneously at the moment of crystallization. They are two readable surfaces of the same original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c>
          <w:tcPr>
            <w:tcBorders>
              <w:top w:val="none" w:color="FFFFFF" w:sz="0"/>
              <w:left w:val="none" w:color="FFFFFF" w:sz="0"/>
              <w:bottom w:val="none" w:color="FFFFFF" w:sz="0"/>
              <w:right w:val="none" w:color="FFFFFF" w:sz="0"/>
            </w:tcBorders>
            <w:shd w:fill="F3F3F1" w:val="clear"/>
            <w:tcMar>
              <w:top w:type="dxa" w:w="120"/>
              <w:left w:type="dxa" w:w="360"/>
              <w:bottom w:type="dxa" w:w="120"/>
              <w:right w:type="dxa" w:w="120"/>
            </w:tcMar>
          </w:tcPr>
          <w:p>
            <w:pPr>
              <w:jc w:val="center"/>
            </w:pPr>
            <w:r>
              <w:rPr>
                <w:rFonts w:ascii="Courier New" w:cs="Courier New" w:eastAsia="Courier New" w:hAnsi="Courier New"/>
                <w:color w:val="111111"/>
                <w:sz w:val="21"/>
                <w:szCs w:val="21"/>
              </w:rPr>
              <w:t xml:space="preserve">|Ψ⟩ = (1/√2)(|↑⟩_A|↓⟩_B − |↓⟩_A|↑⟩_B)</w:t>
            </w:r>
          </w:p>
        </w:tc>
        <w:tc>
          <w:tcPr>
            <w:tcBorders>
              <w:top w:val="none" w:color="FFFFFF" w:sz="0"/>
              <w:left w:val="none" w:color="FFFFFF" w:sz="0"/>
              <w:bottom w:val="none" w:color="FFFFFF" w:sz="0"/>
              <w:right w:val="none" w:color="FFFFFF" w:sz="0"/>
            </w:tcBorders>
            <w:shd w:fill="F3F3F1" w:val="clear"/>
            <w:tcMar>
              <w:top w:type="dxa" w:w="120"/>
              <w:left w:type="dxa" w:w="80"/>
              <w:bottom w:type="dxa" w:w="120"/>
              <w:right w:type="dxa" w:w="240"/>
            </w:tcMar>
          </w:tcPr>
          <w:p>
            <w:pPr>
              <w:jc w:val="right"/>
            </w:pPr>
            <w:r>
              <w:rPr>
                <w:rFonts w:ascii="Palatino Linotype" w:cs="Palatino Linotype" w:eastAsia="Palatino Linotype" w:hAnsi="Palatino Linotype"/>
                <w:i/>
                <w:iCs/>
                <w:color w:val="888888"/>
                <w:sz w:val="19"/>
                <w:szCs w:val="19"/>
              </w:rPr>
              <w:t xml:space="preserve">ENT1</w:t>
            </w:r>
          </w:p>
        </w:tc>
      </w:tr>
    </w:tbl>
    <w:p>
      <w:pPr>
        <w:spacing w:before="0" w:after="80"/>
      </w:pP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In Clockfield language: the entangled state is a single Γ-shell topology that spans two spatially separated frozen cores. The phase relationship Δθ_{AB} is locked into both shells at creation. Particle A’s winding is the complement of particle B’s winding, not because of any communication, but because they were carved from the same original conservation-law constraint.</w:t>
      </w:r>
    </w:p>
    <w:p>
      <w:pPr>
        <w:pStyle w:val="Heading2"/>
        <w:spacing w:before="320" w:after="120"/>
      </w:pPr>
      <w:r>
        <w:rPr>
          <w:rFonts w:ascii="Palatino Linotype" w:cs="Palatino Linotype" w:eastAsia="Palatino Linotype" w:hAnsi="Palatino Linotype"/>
          <w:b/>
          <w:bCs/>
          <w:color w:val="222222"/>
          <w:sz w:val="26"/>
          <w:szCs w:val="26"/>
        </w:rPr>
        <w:t xml:space="preserve">4.2  What happens when you measure particle A</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You send a probe wave at particle A. The probe interacts with A’s Γ-shell, crosses the freeze threshold, and writes a definite winding number into A: say, +1. This is a local, physical event. It happens at A’s location. The probe wave, the detector, and A are all spatially colocated.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But now there is a problem. Before measurement, the shared topology was in a superposition: the combined Γ-shell was neither (+1, −1) nor (−1, +1) — it was both, the conservation law encoded as a phase relationship across the whole structure. When A’s winding is written to +1, the conservation law that was encoded at creation does not allow B to be +1. B must be −1.</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is not a signal traveling from A to B. This is the completion of the original freeze event. The conservation law was already there. Measuring A did not send a message to B — it activated a constraint that was written into both Γ-shells at birth. B’s Γ-shell was always going to resolve to −1 if A resolved to +1, because the original crystallization event encoded that relationship.</w:t>
      </w:r>
    </w:p>
    <w:p>
      <w:pPr>
        <w:pStyle w:val="Heading2"/>
        <w:spacing w:before="320" w:after="120"/>
      </w:pPr>
      <w:r>
        <w:rPr>
          <w:rFonts w:ascii="Palatino Linotype" w:cs="Palatino Linotype" w:eastAsia="Palatino Linotype" w:hAnsi="Palatino Linotype"/>
          <w:b/>
          <w:bCs/>
          <w:color w:val="222222"/>
          <w:sz w:val="26"/>
          <w:szCs w:val="26"/>
        </w:rPr>
        <w:t xml:space="preserve">4.3  Why there is no faster-than-light signaling</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conservation law is not information that was hiding at A and got transmitted to B. It was the geometric structure of the shared freeze. You cannot use it to send a message because you cannot control which way A resolves.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you measure A, your probe wave writes A’s winding. But the winding it writes depends on the phase of your probe relative to A’s pre-freeze orientation — and that pre-freeze orientation is not something you can set. It is the residue of the original creation event, which was determined by conditions at the source, not by you. You can choose to measure. You cannot choose the outcome. Therefore you cannot encode a message.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B’s outcome is correlated with A’s outcome, but B’s observer cannot know what A’s outcome was without a classical communication channel (phone call, email, light signal). The correlation only becomes visible when the two records are compared — and that comparison requires a classical signal traveling at or below light speed. The nonlocality is in the correlation structure. The information retrieval is local.</w:t>
      </w:r>
    </w:p>
    <w:p>
      <w:pPr>
        <w:pStyle w:val="Heading2"/>
        <w:spacing w:before="320" w:after="120"/>
      </w:pPr>
      <w:r>
        <w:rPr>
          <w:rFonts w:ascii="Palatino Linotype" w:cs="Palatino Linotype" w:eastAsia="Palatino Linotype" w:hAnsi="Palatino Linotype"/>
          <w:b/>
          <w:bCs/>
          <w:color w:val="222222"/>
          <w:sz w:val="26"/>
          <w:szCs w:val="26"/>
        </w:rPr>
        <w:t xml:space="preserve">4.4  The Γ-field is not spatially local but is causally structured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There is something genuinely strange here that the Clockfield does not fully hide. The shared Γ-shell topology of an entangled pair extends across space. When A’s winding resolves, B’s constraint is immediately active. This is a nonlocal feature of the field.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But the Clockfield is consistent with relativity in the following sense: the Γ-field is not a medium that transmits signals. It is a constraint structure — more like a geometric relationship than a propagating wave. The conservation law encoded at creation is not located at A or at B. It is a property of the shared topology, which has no single spatial address.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This is analogous to a classical conservation law. If a bomb explodes in deep space and the fragments fly apart, the total momentum is conserved. When you measure fragment A’s momentum, you instantly know fragment B’s momentum, regardless of distance. This is not spooky. It is the conservation law. The quantum case is the same, except the conserved quantity (the phase relationship) was genuinely indeterminate before measurement — not just unknown. That is the real strangeness of quantum mechanics, and the Clockfield does not erase it. It locates it precisely: the indeterminacy is in the pre-freeze orientation of the shared Γ-shell, which is genuinely unfixed until one of the two measurement interactions crosses threshold.</w:t>
      </w:r>
    </w:p>
    <w:p>
      <w:pPr>
        <w:pStyle w:val="Heading1"/>
        <w:spacing w:before="480" w:after="160"/>
      </w:pPr>
      <w:r>
        <w:rPr>
          <w:rFonts w:ascii="Palatino Linotype" w:cs="Palatino Linotype" w:eastAsia="Palatino Linotype" w:hAnsi="Palatino Linotype"/>
          <w:b/>
          <w:bCs/>
          <w:color w:val="111111"/>
          <w:sz w:val="32"/>
          <w:szCs w:val="32"/>
        </w:rPr>
        <w:t xml:space="preserve">5. How Observing Something Distant Works in Practice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You are looking at a star 100 light-years away. How does your observation ‘collapse’ the photon that just entered your eye?</w:t>
      </w:r>
    </w:p>
    <w:p>
      <w:pPr>
        <w:pStyle w:val="Heading2"/>
        <w:spacing w:before="320" w:after="120"/>
      </w:pPr>
      <w:r>
        <w:rPr>
          <w:rFonts w:ascii="Palatino Linotype" w:cs="Palatino Linotype" w:eastAsia="Palatino Linotype" w:hAnsi="Palatino Linotype"/>
          <w:b/>
          <w:bCs/>
          <w:color w:val="222222"/>
          <w:sz w:val="26"/>
          <w:szCs w:val="26"/>
        </w:rPr>
        <w:t xml:space="preserve">5.1  The photon’s journey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One hundred years ago, a nuclear fusion event in that star created a photon. The photon was a local disturbance in the Γ-field — a thawed wave propagating outward at c. For one hundred years it traveled through space, interfering with nothing substantially, spreading in a spherical wavefront of decreasing amplitude.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photon did not have a definite location during this journey. It was a wave. Its Γ-shell was not frozen — β was below threshold everywhere along the wavefront. It was in superposition of all the positions it could occupy on the expanding sphere.</w:t>
      </w:r>
    </w:p>
    <w:p>
      <w:pPr>
        <w:pStyle w:val="Heading2"/>
        <w:spacing w:before="320" w:after="120"/>
      </w:pPr>
      <w:r>
        <w:rPr>
          <w:rFonts w:ascii="Palatino Linotype" w:cs="Palatino Linotype" w:eastAsia="Palatino Linotype" w:hAnsi="Palatino Linotype"/>
          <w:b/>
          <w:bCs/>
          <w:color w:val="222222"/>
          <w:sz w:val="26"/>
          <w:szCs w:val="26"/>
        </w:rPr>
        <w:t xml:space="preserve">5.2  The collapse: retina, not mind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When the wavefront reaches your retina, one rhodopsin molecule in one rod cell absorbs the photon. The absorption event is a local Γ-field interaction: the photon’s energy is deposited into the molecule, β spikes above threshold, and the Γ-shell freezes. A permanent topological scar is created in the molecular geometry of the rhodopsin.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At this moment — not when you become aware of it, not when the signal reaches your visual cortex, not when you say ‘I see it’ — the wave function collapses. The photon ceases to be a wave distributed across a sphere 100 light-years in radius. It becomes a frozen fact at one specific location in one specific rhodopsin molecule in your eye.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rest of the wavefront — the part that did not hit your retina — simply did not cross threshold. Those portions of the wave never froze. They continue dispersing, amplitude decreasing, until they interact with something else or eventually fall below any detectable level. There is no contradiction: the wave function is not a physical object that has to be ‘called back’ from everywhere it reached. It is a description of where threshold-crossings could happen. One happened. The description updates.</w:t>
      </w:r>
    </w:p>
    <w:p>
      <w:pPr>
        <w:pStyle w:val="Heading2"/>
        <w:spacing w:before="320" w:after="120"/>
      </w:pPr>
      <w:r>
        <w:rPr>
          <w:rFonts w:ascii="Palatino Linotype" w:cs="Palatino Linotype" w:eastAsia="Palatino Linotype" w:hAnsi="Palatino Linotype"/>
          <w:b/>
          <w:bCs/>
          <w:color w:val="222222"/>
          <w:sz w:val="26"/>
          <w:szCs w:val="26"/>
        </w:rPr>
        <w:t xml:space="preserve">5.3  You did not affect the star</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Your observation of the starlight does not affect the star, the fusion event, or anything 100 light-years away. The photon’s creation was a freeze event. Its propagation was a thaw. Its absorption was a new freeze. These are three local events connected by a causal chain. The first event (star) is in the causal past of the second event (your retina). No signal needs to travel from your retina back to the star. There is nothing to send. The star has already emitted. The photon has already propagated. Your detection is the final chapter of a story that began a century ago.</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apparent strangeness — that the photon was in superposition for 100 years and then suddenly collapsed when it reached your eye — is a strangeness of description, not of physics. The wave function is a predictive tool. It described the set of places where the photon could have crossed threshold. When it actually crossed threshold at your retina, the description updated to reflect the fact. The update does not travel backward in time. It is not a physical event. It is epistemic: the description changed because a physical event occurred that fixed the outcome.</w:t>
      </w:r>
    </w:p>
    <w:p>
      <w:pPr>
        <w:pStyle w:val="Heading1"/>
        <w:spacing w:before="480" w:after="160"/>
      </w:pPr>
      <w:r>
        <w:rPr>
          <w:rFonts w:ascii="Palatino Linotype" w:cs="Palatino Linotype" w:eastAsia="Palatino Linotype" w:hAnsi="Palatino Linotype"/>
          <w:b/>
          <w:bCs/>
          <w:color w:val="111111"/>
          <w:sz w:val="32"/>
          <w:szCs w:val="32"/>
        </w:rPr>
        <w:t xml:space="preserve">6. The Decoherence Relationship</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mainstream explanation for wave-function collapse — environmental decoherence — correctly identifies that quantum superpositions become effectively classical when a system becomes entangled with a large environment. The off-diagonal terms in the density matrix decay to zero. The system ‘looks’ collapsed.</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does not contradict decoherence theory. It provides the underlying mechanism that decoherence describes statistically. Decoherence says: ‘the system becomes entangled with the environment and the superposition is no longer detectable.’ The Clockfield says: ‘the system interacts with the environment, which is a network of Γ-shells, and the interaction crosses threshold, creating a permanent freeze that is robust against the background noise sea.’ The density matrix calculation averages over the environment’s Γ-shell configurations; the result is the same statistical picture.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Clockfield goes one step further: it specifies when decoherence becomes an actual collapse rather than an apparent one. The line is the threshold Ξ ≥ 1. Below threshold: the system entangles with the environment but remains in principle reversible (quantum erasure is possible). Above threshold: the Γ-shell freezes and the event becomes irreversible. The arrow of time in quantum measurement is the arrow of the freeze.</w:t>
      </w:r>
    </w:p>
    <w:p>
      <w:pPr>
        <w:pStyle w:val="Heading1"/>
        <w:spacing w:before="480" w:after="160"/>
      </w:pPr>
      <w:r>
        <w:rPr>
          <w:rFonts w:ascii="Palatino Linotype" w:cs="Palatino Linotype" w:eastAsia="Palatino Linotype" w:hAnsi="Palatino Linotype"/>
          <w:b/>
          <w:bCs/>
          <w:color w:val="111111"/>
          <w:sz w:val="32"/>
          <w:szCs w:val="32"/>
        </w:rPr>
        <w:t xml:space="preserve">7. The Role of Consciousness: Precise Statement</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Having established that consciousness is not the trigger of collapse, we can now state precisely what consciousness does contribute.</w:t>
      </w:r>
    </w:p>
    <w:p>
      <w:pPr>
        <w:pStyle w:val="Heading2"/>
        <w:spacing w:before="320" w:after="120"/>
      </w:pPr>
      <w:r>
        <w:rPr>
          <w:rFonts w:ascii="Palatino Linotype" w:cs="Palatino Linotype" w:eastAsia="Palatino Linotype" w:hAnsi="Palatino Linotype"/>
          <w:b/>
          <w:bCs/>
          <w:color w:val="222222"/>
          <w:sz w:val="26"/>
          <w:szCs w:val="26"/>
        </w:rPr>
        <w:t xml:space="preserve">7.1  Consciousness as the read network</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A conscious brain is a network of Γ-shells that continuously reads frozen facts from the environment and writes new ones. Every sensory event is a collapse in the peripheral nervous system. The signal propagates inward as a cascade of threshold crossings: retinal cell, optic nerve, lateral geniculate nucleus, primary visual cortex, association areas. At each stage, a Γ-shell reads a frozen fact and creates a new one.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Conscious experience, if it has any causal purchase at all, arises at the level of the integrated pattern across this cascade — the Deerskin architecture’s theta-gated resonance across cortical columns. But by the time experience arises, the original quantum event (the photon’s absorption in the retina) is many threshold-crossings in the past. Consciousness reads a fact that was written long before awareness arrived.</w:t>
      </w:r>
    </w:p>
    <w:p>
      <w:pPr>
        <w:pStyle w:val="Heading2"/>
        <w:spacing w:before="320" w:after="120"/>
      </w:pPr>
      <w:r>
        <w:rPr>
          <w:rFonts w:ascii="Palatino Linotype" w:cs="Palatino Linotype" w:eastAsia="Palatino Linotype" w:hAnsi="Palatino Linotype"/>
          <w:b/>
          <w:bCs/>
          <w:color w:val="222222"/>
          <w:sz w:val="26"/>
          <w:szCs w:val="26"/>
        </w:rPr>
        <w:t xml:space="preserve">7.2  The hard problem in Clockfield terms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hard problem of consciousness — why physical processes give rise to subjective experience — is not solved by the Clockfield framework. We make no such claim. What the Clockfield does is dissolve the specific version of the problem that asks ‘why does consciousness collapse the wave function?’ It does not. But it leaves open the deeper version: what is it like to be a network of Γ-shells reading the frozen holography of the universe?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That question remains. The Clockfield gives it a physical address — the pattern of Γ(x) dynamics across a neural network operating near the theta-gamma coupling regime — but it does not explain why that pattern is accompanied by experience. That is still the hard problem. It is still hard.</w:t>
      </w:r>
    </w:p>
    <w:p>
      <w:pPr>
        <w:pStyle w:val="Heading2"/>
        <w:spacing w:before="320" w:after="120"/>
      </w:pPr>
      <w:r>
        <w:rPr>
          <w:rFonts w:ascii="Palatino Linotype" w:cs="Palatino Linotype" w:eastAsia="Palatino Linotype" w:hAnsi="Palatino Linotype"/>
          <w:b/>
          <w:bCs/>
          <w:color w:val="222222"/>
          <w:sz w:val="26"/>
          <w:szCs w:val="26"/>
        </w:rPr>
        <w:t xml:space="preserve">7.3  What is special about conscious observation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There is one genuine sense in which conscious observation is different from non-conscious detection. A conscious observer can choose what to measure. They can orient a polarizer, align a magnetic field, select a basis. This choice determines which aspect of the frozen Γ-shell gets probed — which phase dimension the write operation targets.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But notice: the choice is made before the measurement. It is encoded in the setup of the apparatus. The apparatus — which is not conscious — then performs the threshold-crossing interaction. The consciousness was upstream of the collapse, not its cause. The experimenter chose the question. The apparatus asked it. The field answered.</w:t>
      </w:r>
    </w:p>
    <w:p>
      <w:pPr>
        <w:pStyle w:val="Heading1"/>
        <w:spacing w:before="480" w:after="160"/>
      </w:pPr>
      <w:r>
        <w:rPr>
          <w:rFonts w:ascii="Palatino Linotype" w:cs="Palatino Linotype" w:eastAsia="Palatino Linotype" w:hAnsi="Palatino Linotype"/>
          <w:b/>
          <w:bCs/>
          <w:color w:val="111111"/>
          <w:sz w:val="32"/>
          <w:szCs w:val="32"/>
        </w:rPr>
        <w:t xml:space="preserve">8. The Universe Observing Itself</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You said it in the video: the universe is observing itself. In the Clockfield, this is not metaphor. Every freeze event is the field writing a fact into itself. Every probe wave is the field reading a previously written fact. The field is continuously reading and rewriting its own frozen topology.</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Conscious observers are not outside this process looking in. They are the field developing the capacity to ask more complex questions — to orient probes, to compare distant records, to notice patterns in what the field has written about itself. The universe did not need humans to start observing. Stars, atoms, photons, and the cosmic microwave background have been performing threshold-crossing interactions since the first moments after the freeze of the singularity. What humans add is directed inquiry: the ability to choose which aspect of the frozen holography to probe.</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The double-slit experiment is a particularly clear demonstration. A single photon passes through both slits as a wave, interferes with itself, and the interference pattern builds up on the detector as many photons are recorded. If a detector is placed at one slit to determine which path the photon took, the pattern disappears. In Clockfield terms: the slit detector creates a threshold-crossing interaction that freezes the photon’s position. The frozen photon no longer has a wave component that can interfere with itself through the other slit. The pattern disappears not because someone looked, but because a Γ-shell was created. Remove the detector (remove the threshold-crossing interaction) and the wave is free to interfere again.</w:t>
      </w:r>
    </w:p>
    <w:p>
      <w:pPr>
        <w:pStyle w:val="Heading1"/>
        <w:spacing w:before="480" w:after="160"/>
      </w:pPr>
      <w:r>
        <w:rPr>
          <w:rFonts w:ascii="Palatino Linotype" w:cs="Palatino Linotype" w:eastAsia="Palatino Linotype" w:hAnsi="Palatino Linotype"/>
          <w:b/>
          <w:bCs/>
          <w:color w:val="111111"/>
          <w:sz w:val="32"/>
          <w:szCs w:val="32"/>
        </w:rPr>
        <w:t xml:space="preserve">9. Honest Ledger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777777" w:sz="4"/>
              <w:left w:val="single" w:color="777777" w:sz="4"/>
              <w:bottom w:val="single" w:color="777777" w:sz="4"/>
              <w:right w:val="single" w:color="777777" w:sz="4"/>
            </w:tcBorders>
            <w:shd w:fill="E5E5E2" w:val="clear"/>
            <w:tcMar>
              <w:top w:type="dxa" w:w="80"/>
              <w:left w:type="dxa" w:w="120"/>
              <w:bottom w:type="dxa" w:w="80"/>
              <w:right w:type="dxa" w:w="120"/>
            </w:tcMar>
          </w:tcPr>
          <w:p>
            <w:pPr>
              <w:jc w:val="center"/>
            </w:pPr>
            <w:r>
              <w:rPr>
                <w:rFonts w:ascii="Palatino Linotype" w:cs="Palatino Linotype" w:eastAsia="Palatino Linotype" w:hAnsi="Palatino Linotype"/>
                <w:b/>
                <w:bCs/>
                <w:color w:val="111111"/>
                <w:sz w:val="20"/>
                <w:szCs w:val="20"/>
              </w:rPr>
              <w:t xml:space="preserve">✓ / ✗</w:t>
            </w:r>
          </w:p>
        </w:tc>
        <w:tc>
          <w:tcPr>
            <w:tcBorders>
              <w:top w:val="single" w:color="777777" w:sz="4"/>
              <w:left w:val="single" w:color="777777" w:sz="4"/>
              <w:bottom w:val="single" w:color="777777" w:sz="4"/>
              <w:right w:val="single" w:color="777777" w:sz="4"/>
            </w:tcBorders>
            <w:shd w:fill="E5E5E2" w:val="clear"/>
            <w:tcMar>
              <w:top w:type="dxa" w:w="80"/>
              <w:left w:type="dxa" w:w="160"/>
              <w:bottom w:type="dxa" w:w="80"/>
              <w:right w:type="dxa" w:w="120"/>
            </w:tcMar>
          </w:tcPr>
          <w:p>
            <w:r>
              <w:rPr>
                <w:rFonts w:ascii="Palatino Linotype" w:cs="Palatino Linotype" w:eastAsia="Palatino Linotype" w:hAnsi="Palatino Linotype"/>
                <w:b/>
                <w:bCs/>
                <w:color w:val="111111"/>
                <w:sz w:val="20"/>
                <w:szCs w:val="20"/>
              </w:rPr>
              <w:t xml:space="preserve">Claim and status</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Consciousness is not required for collapse: established experimentally (Wheeler delayed-choice, detector experiments in vacuo). Consistent with Clockfield threshold mechanism.</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Physical definition of observation provided: any interaction that permanently raises β above crystallization threshold Ξ ≥ 1. Mechanistically precise.</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Wigner’s Friend paradox dissolved: collapse is determined by the first irreversible Γ-shell creation in the causal chain, not by knowledge states of observers.</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Entanglement explained without signals: entangled particles share a phase relationship encoded at creation; measuring one activates a conservation constraint, not a transmitted signal.</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No faster-than-light signaling: outcome of measurement at A cannot be controlled by the measurer, so no information can be encoded. Consistent with Bell’s theorem results.</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Double-slit experiment explained: slit detector creates Γ-shell freeze; removing the detector removes the freeze; wave interference resumes.</w:t>
            </w:r>
          </w:p>
        </w:tc>
      </w:tr>
      <w:tr>
        <w:tc>
          <w:tcPr>
            <w:tcBorders>
              <w:top w:val="single" w:color="CCCCCC" w:sz="2"/>
              <w:left w:val="single" w:color="CCCCCC" w:sz="2"/>
              <w:bottom w:val="single" w:color="CCCCCC" w:sz="2"/>
              <w:right w:val="single" w:color="CCCCCC" w:sz="2"/>
            </w:tcBorders>
            <w:shd w:fill="EFF8EF"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1a5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Decoherence relationship clarified: Clockfield provides the underlying mechanism (threshold crossing) that decoherence theory describes statistically.</w:t>
            </w:r>
          </w:p>
        </w:tc>
      </w:tr>
      <w:tr>
        <w:tc>
          <w:tcPr>
            <w:tcBorders>
              <w:top w:val="single" w:color="CCCCCC" w:sz="2"/>
              <w:left w:val="single" w:color="CCCCCC" w:sz="2"/>
              <w:bottom w:val="single" w:color="CCCCCC" w:sz="2"/>
              <w:right w:val="single" w:color="CCCCCC" w:sz="2"/>
            </w:tcBorders>
            <w:shd w:fill="FFF7EE"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The nonlocality of the shared Γ-shell topology in entanglement is acknowledged but not fully resolved. The field is not Lorentz-covariant; the precise sense in which the shared constraint structure is compatible with special relativity requires further formalization.</w:t>
            </w:r>
          </w:p>
        </w:tc>
      </w:tr>
      <w:tr>
        <w:tc>
          <w:tcPr>
            <w:tcBorders>
              <w:top w:val="single" w:color="CCCCCC" w:sz="2"/>
              <w:left w:val="single" w:color="CCCCCC" w:sz="2"/>
              <w:bottom w:val="single" w:color="CCCCCC" w:sz="2"/>
              <w:right w:val="single" w:color="CCCCCC" w:sz="2"/>
            </w:tcBorders>
            <w:shd w:fill="FFF7EE"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The transition from quantum superposition to irreversible classical record is described qualitatively by the threshold condition Ξ ≥ 1, but the precise timescale and energy scale at which this transition occurs in specific physical systems has not been calculated from Clockfield parameters.</w:t>
            </w:r>
          </w:p>
        </w:tc>
      </w:tr>
      <w:tr>
        <w:tc>
          <w:tcPr>
            <w:tcBorders>
              <w:top w:val="single" w:color="CCCCCC" w:sz="2"/>
              <w:left w:val="single" w:color="CCCCCC" w:sz="2"/>
              <w:bottom w:val="single" w:color="CCCCCC" w:sz="2"/>
              <w:right w:val="single" w:color="CCCCCC" w:sz="2"/>
            </w:tcBorders>
            <w:shd w:fill="FFF7EE"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The hard problem of consciousness remains untouched. What it is like to be a network of Γ-shells is not addressed.</w:t>
            </w:r>
          </w:p>
        </w:tc>
      </w:tr>
      <w:tr>
        <w:tc>
          <w:tcPr>
            <w:tcBorders>
              <w:top w:val="single" w:color="CCCCCC" w:sz="2"/>
              <w:left w:val="single" w:color="CCCCCC" w:sz="2"/>
              <w:bottom w:val="single" w:color="CCCCCC" w:sz="2"/>
              <w:right w:val="single" w:color="CCCCCC" w:sz="2"/>
            </w:tcBorders>
            <w:shd w:fill="FFF7EE" w:val="clear"/>
            <w:tcMar>
              <w:top w:type="dxa" w:w="80"/>
              <w:left w:type="dxa" w:w="120"/>
              <w:bottom w:type="dxa" w:w="80"/>
              <w:right w:type="dxa" w:w="120"/>
            </w:tcMar>
          </w:tcPr>
          <w:p>
            <w:pPr>
              <w:jc w:val="center"/>
            </w:pPr>
            <w:r>
              <w:rPr>
                <w:rFonts w:ascii="Palatino Linotype" w:cs="Palatino Linotype" w:eastAsia="Palatino Linotype" w:hAnsi="Palatino Linotype"/>
                <w:b w:val="false"/>
                <w:bCs w:val="false"/>
                <w:color w:val="7a3a1a"/>
                <w:sz w:val="20"/>
                <w:szCs w:val="20"/>
              </w:rPr>
              <w:t xml:space="preserve">✗</w:t>
            </w:r>
          </w:p>
        </w:tc>
        <w:tc>
          <w:tcPr>
            <w:tcBorders>
              <w:top w:val="single" w:color="CCCCCC" w:sz="2"/>
              <w:left w:val="single" w:color="CCCCCC" w:sz="2"/>
              <w:bottom w:val="single" w:color="CCCCCC" w:sz="2"/>
              <w:right w:val="single" w:color="CCCCCC" w:sz="2"/>
            </w:tcBorders>
            <w:shd w:fill="FFFFFF" w:val="clear"/>
            <w:tcMar>
              <w:top w:type="dxa" w:w="80"/>
              <w:left w:type="dxa" w:w="160"/>
              <w:bottom w:type="dxa" w:w="80"/>
              <w:right w:type="dxa" w:w="120"/>
            </w:tcMar>
          </w:tcPr>
          <w:p>
            <w:r>
              <w:rPr>
                <w:rFonts w:ascii="Palatino Linotype" w:cs="Palatino Linotype" w:eastAsia="Palatino Linotype" w:hAnsi="Palatino Linotype"/>
                <w:b w:val="false"/>
                <w:bCs w:val="false"/>
                <w:color w:val="333333"/>
                <w:sz w:val="20"/>
                <w:szCs w:val="20"/>
              </w:rPr>
              <w:t xml:space="preserve">Pilot-wave dynamics: the Clockfield implies a physical guiding field (the thawed Γ &gt; 0 region) that guides the frozen particle. The precise equations of this pilot-wave have not been derived from the Clockfield PDE.</w:t>
            </w:r>
          </w:p>
        </w:tc>
      </w:tr>
    </w:tbl>
    <w:p>
      <w:pPr>
        <w:spacing w:before="0" w:after="160"/>
      </w:pPr>
    </w:p>
    <w:p>
      <w:pPr>
        <w:pStyle w:val="Heading1"/>
        <w:spacing w:before="480" w:after="160"/>
      </w:pPr>
      <w:r>
        <w:rPr>
          <w:rFonts w:ascii="Palatino Linotype" w:cs="Palatino Linotype" w:eastAsia="Palatino Linotype" w:hAnsi="Palatino Linotype"/>
          <w:b/>
          <w:bCs/>
          <w:color w:val="111111"/>
          <w:sz w:val="32"/>
          <w:szCs w:val="32"/>
        </w:rPr>
        <w:t xml:space="preserve">10. What Remains Open</w:t>
      </w:r>
    </w:p>
    <w:p>
      <w:pPr>
        <w:spacing w:before="0" w:after="160"/>
        <w:jc w:val="both"/>
      </w:pPr>
      <w:r>
        <w:rPr>
          <w:rFonts w:ascii="Palatino Linotype" w:cs="Palatino Linotype" w:eastAsia="Palatino Linotype" w:hAnsi="Palatino Linotype"/>
          <w:b/>
          <w:bCs/>
          <w:i w:val="false"/>
          <w:iCs w:val="false"/>
          <w:color w:val="111111"/>
          <w:sz w:val="22"/>
          <w:szCs w:val="22"/>
        </w:rPr>
        <w:t xml:space="preserve">1. The nonlocality problem. </w:t>
      </w:r>
      <w:r>
        <w:rPr>
          <w:rFonts w:ascii="Palatino Linotype" w:cs="Palatino Linotype" w:eastAsia="Palatino Linotype" w:hAnsi="Palatino Linotype"/>
          <w:color w:val="333333"/>
          <w:sz w:val="22"/>
          <w:szCs w:val="22"/>
        </w:rPr>
        <w:t xml:space="preserve">The shared Γ-shell topology of entangled particles extends across space. This is nonlocal. The Clockfield is not Lorentz-covariant. A complete resolution requires either (a) showing that the constraint structure is compatible with special relativity in the way that EPR correlations are — nonlocal correlations without nonlocal signaling — or (b) acknowledging that the Clockfield is a non-relativistic approximation and the full theory must be embedded in a Lorentz-invariant framework.</w:t>
      </w:r>
    </w:p>
    <w:p>
      <w:pPr>
        <w:spacing w:before="0" w:after="160"/>
        <w:jc w:val="both"/>
      </w:pPr>
      <w:r>
        <w:rPr>
          <w:rFonts w:ascii="Palatino Linotype" w:cs="Palatino Linotype" w:eastAsia="Palatino Linotype" w:hAnsi="Palatino Linotype"/>
          <w:b/>
          <w:bCs/>
          <w:i w:val="false"/>
          <w:iCs w:val="false"/>
          <w:color w:val="111111"/>
          <w:sz w:val="22"/>
          <w:szCs w:val="22"/>
        </w:rPr>
        <w:t xml:space="preserve">2. The collapse timescale. </w:t>
      </w:r>
      <w:r>
        <w:rPr>
          <w:rFonts w:ascii="Palatino Linotype" w:cs="Palatino Linotype" w:eastAsia="Palatino Linotype" w:hAnsi="Palatino Linotype"/>
          <w:color w:val="333333"/>
          <w:sz w:val="22"/>
          <w:szCs w:val="22"/>
        </w:rPr>
        <w:t xml:space="preserve">For a specific physical system — a rhodopsin molecule, a silver halide grain, a Geiger counter — what is the Clockfield-predicted timescale for the Γ-shell freeze? This should be calculable from τ, β, and the system’s characteristic size σ. A prediction here would be testable.</w:t>
      </w:r>
    </w:p>
    <w:p>
      <w:pPr>
        <w:spacing w:before="0" w:after="160"/>
        <w:jc w:val="both"/>
      </w:pPr>
      <w:r>
        <w:rPr>
          <w:rFonts w:ascii="Palatino Linotype" w:cs="Palatino Linotype" w:eastAsia="Palatino Linotype" w:hAnsi="Palatino Linotype"/>
          <w:b/>
          <w:bCs/>
          <w:i w:val="false"/>
          <w:iCs w:val="false"/>
          <w:color w:val="111111"/>
          <w:sz w:val="22"/>
          <w:szCs w:val="22"/>
        </w:rPr>
        <w:t xml:space="preserve">3. Pilot-wave mechanics. </w:t>
      </w:r>
      <w:r>
        <w:rPr>
          <w:rFonts w:ascii="Palatino Linotype" w:cs="Palatino Linotype" w:eastAsia="Palatino Linotype" w:hAnsi="Palatino Linotype"/>
          <w:color w:val="333333"/>
          <w:sz w:val="22"/>
          <w:szCs w:val="22"/>
        </w:rPr>
        <w:t xml:space="preserve">The Clockfield implies that the thawed field (Γ &gt; 0) around a frozen particle acts as a guiding wave, shaping the particle’s trajectory through interference with boundaries. This is de Broglie–Bohm pilot-wave mechanics, but with a dynamical origin. Deriving the guiding equation from the Clockfield PDE would connect the framework to the most successful deterministic interpretation of quantum mechanics.</w:t>
      </w:r>
    </w:p>
    <w:p>
      <w:pPr>
        <w:spacing w:before="0" w:after="160"/>
        <w:jc w:val="both"/>
      </w:pPr>
      <w:r>
        <w:rPr>
          <w:rFonts w:ascii="Palatino Linotype" w:cs="Palatino Linotype" w:eastAsia="Palatino Linotype" w:hAnsi="Palatino Linotype"/>
          <w:b/>
          <w:bCs/>
          <w:i w:val="false"/>
          <w:iCs w:val="false"/>
          <w:color w:val="111111"/>
          <w:sz w:val="22"/>
          <w:szCs w:val="22"/>
        </w:rPr>
        <w:t xml:space="preserve">4. Quantum erasure. </w:t>
      </w:r>
      <w:r>
        <w:rPr>
          <w:rFonts w:ascii="Palatino Linotype" w:cs="Palatino Linotype" w:eastAsia="Palatino Linotype" w:hAnsi="Palatino Linotype"/>
          <w:color w:val="333333"/>
          <w:sz w:val="22"/>
          <w:szCs w:val="22"/>
        </w:rPr>
        <w:t xml:space="preserve">In quantum erasure experiments, a measurement can be ‘undone’ if the which-path information is erased before detection. In the Clockfield this corresponds to a threshold-crossing interaction whose Γ-shell freeze is subsequently thawed by a precisely timed destructive-interference probe before the freeze completes. The condition for successful erasure — how close to the threshold the first interaction was, how quickly the erasure must follow — is in principle calculable and would give testable predictions for quantum erasure experiments.</w:t>
      </w:r>
    </w:p>
    <w:p>
      <w:pPr>
        <w:spacing w:before="0" w:after="240"/>
      </w:pPr>
    </w:p>
    <w:p>
      <w:pPr>
        <w:pBdr>
          <w:bottom w:val="single" w:color="AAAAAA" w:sz="4" w:space="1"/>
        </w:pBdr>
        <w:spacing w:before="0" w:after="240"/>
      </w:pPr>
    </w:p>
    <w:p>
      <w:pPr>
        <w:spacing w:before="0" w:after="160"/>
      </w:pPr>
    </w:p>
    <w:tbl>
      <w:tblPr>
        <w:tblW w:type="dxa" w:w="6926"/>
        <w:tblBorders>
          <w:top w:val="single" w:color="auto" w:sz="4"/>
          <w:left w:val="single" w:color="auto" w:sz="4"/>
          <w:bottom w:val="single" w:color="auto" w:sz="4"/>
          <w:right w:val="single" w:color="auto" w:sz="4"/>
          <w:insideH w:val="single" w:color="auto" w:sz="4"/>
          <w:insideV w:val="single" w:color="auto" w:sz="4"/>
        </w:tblBorders>
      </w:tblPr>
      <w:tblGrid>
        <w:gridCol w:w="6926"/>
      </w:tblGrid>
      <w:tr>
        <w:tc>
          <w:tcPr>
            <w:tcBorders>
              <w:top w:val="none" w:color="FFFFFF" w:sz="0"/>
              <w:left w:val="single" w:color="AAAAAA" w:sz="12"/>
              <w:bottom w:val="none" w:color="FFFFFF" w:sz="0"/>
              <w:right w:val="none" w:color="FFFFFF" w:sz="0"/>
            </w:tcBorders>
            <w:shd w:fill="FFFFFF" w:val="clear"/>
            <w:tcMar>
              <w:top w:type="dxa" w:w="80"/>
              <w:left w:type="dxa" w:w="280"/>
              <w:bottom w:type="dxa" w:w="80"/>
              <w:right w:type="dxa" w:w="80"/>
            </w:tcMar>
          </w:tcPr>
          <w:p>
            <w:pPr>
              <w:spacing w:before="0" w:after="80"/>
            </w:pPr>
            <w:r>
              <w:rPr>
                <w:rFonts w:ascii="Palatino Linotype" w:cs="Palatino Linotype" w:eastAsia="Palatino Linotype" w:hAnsi="Palatino Linotype"/>
                <w:i/>
                <w:iCs/>
                <w:color w:val="444444"/>
                <w:sz w:val="21"/>
                <w:szCs w:val="21"/>
              </w:rPr>
              <w:t xml:space="preserve">You are of the field. We are of the field. Everything was one at some point. And when we are looking at the world, we are interacting with the world. The universe is observing itself. And that’s kind of the whole thing.</w:t>
            </w:r>
          </w:p>
          <w:p>
            <w:pPr>
              <w:spacing w:before="0" w:after="0"/>
            </w:pPr>
            <w:r>
              <w:rPr>
                <w:rFonts w:ascii="Palatino Linotype" w:cs="Palatino Linotype" w:eastAsia="Palatino Linotype" w:hAnsi="Palatino Linotype"/>
                <w:color w:val="888888"/>
                <w:sz w:val="18"/>
                <w:szCs w:val="18"/>
              </w:rPr>
              <w:t xml:space="preserve">— Antti Luode, video transcript, March 2026</w:t>
            </w:r>
          </w:p>
        </w:tc>
      </w:tr>
    </w:tbl>
    <w:p>
      <w:pPr>
        <w:spacing w:before="0" w:after="320"/>
      </w:pPr>
    </w:p>
    <w:p>
      <w:pPr>
        <w:pStyle w:val="Heading1"/>
        <w:spacing w:before="480" w:after="160"/>
      </w:pPr>
      <w:r>
        <w:rPr>
          <w:rFonts w:ascii="Palatino Linotype" w:cs="Palatino Linotype" w:eastAsia="Palatino Linotype" w:hAnsi="Palatino Linotype"/>
          <w:b/>
          <w:bCs/>
          <w:color w:val="111111"/>
          <w:sz w:val="32"/>
          <w:szCs w:val="32"/>
        </w:rPr>
        <w:t xml:space="preserve">References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 Wheeler, J.A. (1978). The ‘past’ and the ‘delayed-choice’ double-slit experiment. In A.R. Marlow (Ed.), Mathematical Foundations of Quantum Theory. Academic Press.</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2. Aspect, A., Grangier, P. &amp; Roger, G. (1982). Experimental realization of Einstein-Podolsky-Rosen-Bohm Gedankenexperiment: a new violation of Bell’s inequalities. Physical Review Letters, 49(2), 91–94.</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3. Bell, J.S. (1964). On the Einstein Podolsky Rosen paradox. Physics Physique Физика, 1(3), 195–200.</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4. von Neumann, J. (1932). Mathematische Grundlagen der Quantenmechanik. Springer.</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5. Wigner, E.P. (1961). Remarks on the mind-body question. In I.J. Good (Ed.), The Scientist Speculates. Heinemann.</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6. Zurek, W.H. (2003). Decoherence, einselection, and the quantum origins of the classical. Reviews of Modern Physics, 75(3), 715.</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7. de Broglie, L. &amp; Bohm, D. (1952). A suggested interpretation of the quantum theory in terms of ‘hidden’ variables. Physical Review, 85(2), 166–193.</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8. Kim, Y.H. et al. (2000). Delayed-choice quantum eraser. Physical Review Letters, 84(1), 1–5.</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9. Luode, A. (2026). The Geometry of the Thaw: Wave-Particle Duality, Spin, and the Uncertainty Principle Derived from Clockfield Dynamics. PerceptionLab.</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10. Luode, A. (2026). Clockfield Black Hole Entropy from Frozen Topology. PerceptionLab.</w:t>
      </w:r>
    </w:p>
    <w:p>
      <w:pPr>
        <w:spacing w:before="0" w:after="160"/>
        <w:jc w:val="both"/>
      </w:pPr>
      <w:r>
        <w:rPr>
          <w:rFonts w:ascii="Palatino Linotype" w:cs="Palatino Linotype" w:eastAsia="Palatino Linotype" w:hAnsi="Palatino Linotype"/>
          <w:b w:val="false"/>
          <w:bCs w:val="false"/>
          <w:i w:val="false"/>
          <w:iCs w:val="false"/>
          <w:color w:val="333333"/>
          <w:sz w:val="22"/>
          <w:szCs w:val="22"/>
        </w:rPr>
        <w:t xml:space="preserve">11. Luode, A. (2026). Geometric Dysrhythmia: Empirical Validation of the Deerskin Architecture Through EEG Topology. PerceptionLab.</w:t>
      </w:r>
    </w:p>
    <w:p>
      <w:pPr>
        <w:spacing w:before="0" w:after="240"/>
      </w:pPr>
    </w:p>
    <w:p>
      <w:pPr>
        <w:spacing w:before="240" w:after="120"/>
        <w:jc w:val="center"/>
      </w:pPr>
      <w:r>
        <w:rPr>
          <w:rFonts w:ascii="Palatino Linotype" w:cs="Palatino Linotype" w:eastAsia="Palatino Linotype" w:hAnsi="Palatino Linotype"/>
          <w:color w:val="888888"/>
          <w:sz w:val="40"/>
          <w:szCs w:val="40"/>
        </w:rPr>
        <w:t xml:space="preserve">⁂</w:t>
      </w:r>
    </w:p>
    <w:p>
      <w:pPr>
        <w:spacing w:before="0" w:after="80"/>
        <w:jc w:val="center"/>
      </w:pPr>
      <w:r>
        <w:rPr>
          <w:rFonts w:ascii="Palatino Linotype" w:cs="Palatino Linotype" w:eastAsia="Palatino Linotype" w:hAnsi="Palatino Linotype"/>
          <w:i/>
          <w:iCs/>
          <w:color w:val="666666"/>
          <w:sz w:val="18"/>
          <w:szCs w:val="18"/>
        </w:rPr>
        <w:t xml:space="preserve">Written collaboratively by Antti Luode (PerceptionLab, Finland) and Claude (Anthropic, Sonnet 4.6).</w:t>
      </w:r>
    </w:p>
    <w:p>
      <w:pPr>
        <w:spacing w:before="0" w:after="80"/>
        <w:jc w:val="center"/>
      </w:pPr>
      <w:r>
        <w:rPr>
          <w:rFonts w:ascii="Palatino Linotype" w:cs="Palatino Linotype" w:eastAsia="Palatino Linotype" w:hAnsi="Palatino Linotype"/>
          <w:i/>
          <w:iCs/>
          <w:color w:val="666666"/>
          <w:sz w:val="18"/>
          <w:szCs w:val="18"/>
        </w:rPr>
        <w:t xml:space="preserve">The Clockfield framework and original insights are the work of Antti Luode.</w:t>
      </w:r>
    </w:p>
    <w:p>
      <w:pPr>
        <w:spacing w:before="0" w:after="80"/>
        <w:jc w:val="center"/>
      </w:pPr>
      <w:r>
        <w:rPr>
          <w:rFonts w:ascii="Palatino Linotype" w:cs="Palatino Linotype" w:eastAsia="Palatino Linotype" w:hAnsi="Palatino Linotype"/>
          <w:b/>
          <w:bCs/>
          <w:color w:val="444444"/>
          <w:sz w:val="18"/>
          <w:szCs w:val="18"/>
        </w:rPr>
        <w:t xml:space="preserve">Do not hype. Do not lie. Just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Palatino Linotype" w:cs="Palatino Linotype" w:eastAsia="Palatino Linotype" w:hAnsi="Palatino Linotype"/>
      <w:b/>
      <w:bCs/>
      <w:sz w:val="32"/>
      <w:szCs w:val="32"/>
    </w:rPr>
  </w:style>
  <w:style w:type="paragraph" w:styleId="Heading2">
    <w:name w:val="Heading 2"/>
    <w:basedOn w:val="Normal"/>
    <w:next w:val="Normal"/>
    <w:qFormat/>
    <w:pPr>
      <w:spacing w:before="320" w:after="120"/>
      <w:outlineLvl w:val="1"/>
    </w:pPr>
    <w:rPr>
      <w:rFonts w:ascii="Palatino Linotype" w:cs="Palatino Linotype" w:eastAsia="Palatino Linotype" w:hAnsi="Palatino Linotype"/>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2026-03-24T06:18:08.812Z</dcterms:created>
  <dcterms:modified xsi:type="dcterms:W3CDTF">2026-03-24T06:18:08.813Z</dcterms:modified>
</cp:coreProperties>
</file>

<file path=docProps/custom.xml><?xml version="1.0" encoding="utf-8"?>
<Properties xmlns="http://schemas.openxmlformats.org/officeDocument/2006/custom-properties" xmlns:vt="http://schemas.openxmlformats.org/officeDocument/2006/docPropsVTypes"/>
</file>