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Informational Spectra</w:t>
      </w:r>
    </w:p>
    <w:p>
      <w:pPr>
        <w:widowControl/>
        <w:spacing w:after="360"/>
      </w:pPr>
      <w:r>
        <w:rPr>
          <w:rFonts w:ascii="Aptos Display" w:hAnsi="Aptos Display"/>
          <w:color w:val="373737"/>
          <w:sz w:val="30"/>
        </w:rPr>
        <w:t>How transformations separate gist, identity, and detail across persistence scales</w:t>
      </w:r>
    </w:p>
    <w:p>
      <w:pPr>
        <w:widowControl/>
        <w:spacing w:after="360"/>
      </w:pPr>
      <w:r>
        <w:rPr>
          <w:b/>
        </w:rPr>
        <w:t>Concept paper  •  18 October 2026</w:t>
        <w:br/>
      </w:r>
      <w:r>
        <w:t>Grounded in the Sihti, Naula, SihtiResponseGraph, and GraphNN experimental lineage</w:t>
      </w:r>
    </w:p>
    <w:p>
      <w:pPr>
        <w:pStyle w:val="Heading1"/>
        <w:keepNext/>
      </w:pPr>
      <w:r>
        <w:t>Abstract</w:t>
      </w:r>
    </w:p>
    <w:p>
      <w:pPr>
        <w:pStyle w:val="Abstract"/>
      </w:pPr>
      <w:r>
        <w:t>This paper proposes informational spectra as a way to describe where task-relevant distinctions reside along a family of transformations. Ordinary frequency spectra decompose signal energy by oscillation rate. An informational spectrum instead asks how much information about a chosen question disappears, remains readable, or can be written at each transformation scale. The proposal grew from controlled experiments in which repeated purification separated image layout from texture, face identity collapsed within a narrow residue band, model-state content was visible to one lens but not another, and graph memories protected some rewrites better than equal-byte vector memories. Those experiments also supply the crucial negative result: information does not universally divide into a slow meaningful core and a fast disposable residue. In Naula, the nominal residue was more locally persistent than the J-space core. The spectrum is therefore relative to an operator, a question, and a reader. For a deterministic coarsening chain, one band's task information is the conditional mutual information available before, but absent after, that transformation. The bands are nonnegative and telescope to the total task information lost. Decoder-based accessibility and intervention-based writability form two additional spectra. Together they distinguish information that exists in a state, information that a reader can expose, and information that can be selectively changed. The framework connects multiresolution analysis, diffusion geometry, information bottlenecks, renormalization, efficient coding, spectral bias, predictive coding, and complementary memory systems, while differing from each. The paper ends with falsifiable experiments and possible uses in compression, model interpretability, continual memory, sensing, anomaly detection, and physical reservoir systems.</w:t>
      </w:r>
    </w:p>
    <w:p>
      <w:pPr>
        <w:pStyle w:val="Abstract"/>
      </w:pPr>
      <w:r>
        <w:rPr>
          <w:b/>
        </w:rPr>
        <w:t xml:space="preserve">Keywords  </w:t>
      </w:r>
      <w:r>
        <w:t>multiscale information, operator-relative frequency, persistence, readability, writability, residues, representation, memory</w:t>
      </w:r>
    </w:p>
    <w:p>
      <w:pPr>
        <w:pStyle w:val="Heading1"/>
        <w:keepNext/>
      </w:pPr>
      <w:r>
        <w:t>1  The proposal</w:t>
      </w:r>
    </w:p>
    <w:p>
      <w:r>
        <w:t>Information often appears to separate into broad, persistent structure and sharp, fragile correction. In images, low spatial frequencies commonly carry layout while higher frequencies carry edges and texture. In a dynamical system, slow eigenmodes survive repeated evolution while fast modes disappear. In memory, stable parameters coexist with rapidly changing activations. These parallels tempt a strong claim: meaning lives at low frequency and detail lives at high frequency. The evidence supports a more useful claim and rejects the universal one.</w:t>
      </w:r>
    </w:p>
    <w:p>
      <w:r>
        <w:t>The useful claim is that a transformation can sort distinctions by persistence, and that task information can be measured across the resulting scales. The rejected claim is that importance has a fixed address on a universal low-to-high axis. A face identity may depend on mid-frequency relations, a single high-frequency mark may determine the task label, and a reader may fail to expose information that remains physically present. The location of information is created jointly by the system dynamics, the question asked, and the means of observation.</w:t>
      </w:r>
    </w:p>
    <w:p>
      <w:r>
        <w:t>An informational spectrum is therefore not primarily a spectrum of energy. It is a spectrum of distinctions. It describes which transformation step removes a distinction relevant to a target; which steps a particular reader can access; and which steps an intervention can change without damaging others. The word frequency is used broadly: it may mean spatial oscillation, temporal rate, graph-Laplacian eigenvalue, relaxation time, depth in a diffusion, layer in a network, or another ordered family of transformations. The common variable is persistence under an operator.</w:t>
      </w:r>
    </w:p>
    <w:p>
      <w:pPr>
        <w:widowControl/>
      </w:pPr>
      <w:r>
        <w:drawing>
          <wp:inline xmlns:a="http://schemas.openxmlformats.org/drawingml/2006/main" xmlns:pic="http://schemas.openxmlformats.org/drawingml/2006/picture">
            <wp:extent cx="5806440" cy="2185316"/>
            <wp:docPr id="1" name="Picture 1"/>
            <wp:cNvGraphicFramePr>
              <a:graphicFrameLocks noChangeAspect="1"/>
            </wp:cNvGraphicFramePr>
            <a:graphic>
              <a:graphicData uri="http://schemas.openxmlformats.org/drawingml/2006/picture">
                <pic:pic>
                  <pic:nvPicPr>
                    <pic:cNvPr id="0" name="informational_spectra_schematic.png"/>
                    <pic:cNvPicPr/>
                  </pic:nvPicPr>
                  <pic:blipFill>
                    <a:blip r:embed="rId11"/>
                    <a:stretch>
                      <a:fillRect/>
                    </a:stretch>
                  </pic:blipFill>
                  <pic:spPr>
                    <a:xfrm>
                      <a:off x="0" y="0"/>
                      <a:ext cx="5806440" cy="2185316"/>
                    </a:xfrm>
                    <a:prstGeom prst="rect"/>
                  </pic:spPr>
                </pic:pic>
              </a:graphicData>
            </a:graphic>
          </wp:inline>
        </w:drawing>
      </w:r>
    </w:p>
    <w:p>
      <w:pPr>
        <w:spacing w:after="160"/>
        <w:jc w:val="center"/>
      </w:pPr>
      <w:r>
        <w:rPr>
          <w:b/>
          <w:sz w:val="18"/>
        </w:rPr>
        <w:t>Figure 1  Reader and question relative spectra</w:t>
      </w:r>
      <w:r>
        <w:rPr>
          <w:sz w:val="18"/>
        </w:rPr>
        <w:t xml:space="preserve">  The same transformed states may support different informational peaks for layout, identity, and anomaly questions. The curves are schematic, not experimental data.</w:t>
      </w:r>
    </w:p>
    <w:p>
      <w:pPr>
        <w:pStyle w:val="Heading1"/>
        <w:keepNext/>
      </w:pPr>
      <w:r>
        <w:t>2  What the experiments actually show</w:t>
      </w:r>
    </w:p>
    <w:p>
      <w:pPr>
        <w:pStyle w:val="Heading2"/>
        <w:keepNext/>
      </w:pPr>
      <w:r>
        <w:t>2.1  Sihti separates by the chosen operator</w:t>
      </w:r>
    </w:p>
    <w:p>
      <w:r>
        <w:t>Sihti begins with a telescoping identity. A state is repeatedly transformed, and whatever disappears between selected depths is stored as a residue. Adding the final core and all residues reconstructs the input to numerical precision. The identity itself is content-neutral. Its scientific value comes from changing the purifier while keeping the bookkeeping fixed [1].</w:t>
      </w:r>
    </w:p>
    <w:p>
      <w:r>
        <w:t>With a fixed Fourier equalizer, the residues are ordinary frequency bands in disguise; Sihti's Gate 1 showed that the slider settings create no genuinely new axis. With diffusion on a blank pixel lattice, the bands become spatial scales. With an image-conditioned graph whose conductances depend on local color similarity, the slow modes align more with object layout and the later residues less with object boundaries. On 198 held-out BSDS500 test images, core alignment was 0.325 for the image-conditioned operator and 0.127 for plain diffusion, while late-residue alignment was 0.017 versus 0.226. The lesson is precise: the sieve does not discover a unique natural spectrum. The operator decides what persistence means and therefore where a distinction goes.</w:t>
      </w:r>
    </w:p>
    <w:p>
      <w:pPr>
        <w:pStyle w:val="Heading2"/>
        <w:keepNext/>
      </w:pPr>
      <w:r>
        <w:t>2.2  Identity can occupy a narrow persistence band</w:t>
      </w:r>
    </w:p>
    <w:p>
      <w:r>
        <w:t>The eye-persistence experiment asked when a purified eye patch stopped matching its own original face. On 25 held-out faces, identity remained 25 of 25 through depth 16 and fell to 15 of 25 at depth 32 under the original image-conditioned purifier. Generic eye-likeness rose before identity disappeared. A residue ordering learned only on 18 training faces selected the 16→32 residue first, exactly where held-out identity collapsed. This saved 28 percent of the bytes relative to a naive deep-first residue order, although the whole method remained 6.3 times less storage-efficient than JPEG for this task [1].</w:t>
      </w:r>
    </w:p>
    <w:p>
      <w:r>
        <w:t>This is the motivating shape of an informational spectrum: not merely high versus low spatial frequency, but a task-specific concentration of identity information at one transformation interval. It also shows why visual resemblance and information are not interchangeable. A patch can become more eye-like in the generic sense while losing the distinctions that specify whose eye it is.</w:t>
      </w:r>
    </w:p>
    <w:p>
      <w:pPr>
        <w:pStyle w:val="Heading2"/>
        <w:keepNext/>
      </w:pPr>
      <w:r>
        <w:t>2.3  Naula supplies the necessary counterexample</w:t>
      </w:r>
    </w:p>
    <w:p>
      <w:r>
        <w:t>Naula tested six claims about a learned J-lens in Qwen2.5-0.5B-Instruct using precommitted verify-or-kill rules [2]. Two results support reader relativity. First, at a name token in early and middle layers, the J-lens identified the name with 97–100 percent accuracy while the ordinary logit lens achieved only 0–4 percent. The content was recoverable by one reader and almost invisible to another. Second, the stored color value was not punctuation, as one interpretation had claimed: the intended color won among four alternatives 83.9 percent of the time, although the top vocabulary tokens were generic color-like variants. A state can carry a distinction without presenting it in the reader's preferred vocabulary.</w:t>
      </w:r>
    </w:p>
    <w:p>
      <w:r>
        <w:t>More importantly, Naula killed the proposed 'slow core, fast residue' decomposition. At every measured layer, the activation remainder was more persistent across adjacent tokens than the J-space component. At layer 16, excess one-token persistence above a within-prompt shuffled null was 0.263 for the residue and 0.203 for the J-core. The J-core instead appeared more prompt-wide. Thus a semantically interpretable subspace need not be the locally slowest subspace, and geometric complement does not imply dynamical high frequency. Any theory that hard-codes meaning into the low end of a spectrum is already falsified by the lineage that inspired it.</w:t>
      </w:r>
    </w:p>
    <w:p>
      <w:pPr>
        <w:pStyle w:val="Heading2"/>
        <w:keepNext/>
      </w:pPr>
      <w:r>
        <w:t>2.4  Response graphs separate storage from exposure</w:t>
      </w:r>
    </w:p>
    <w:p>
      <w:r>
        <w:t>SihtiResponseGraph and GraphNN move from observing a spectrum to writing one. In SihtiResponseGraph, an image writes 896 byte-valued conductances; a later query launches fresh activity through the graph. A probe could recover the position of a small colored mark to 0.723 pixels even when the original RGB renderer largely failed to display it [3]. The information existed in the stored operator but was poorly exposed by the original reader.</w:t>
      </w:r>
    </w:p>
    <w:p>
      <w:r>
        <w:t>GraphNN then tested selective rewriting. A phase-only graph with 896 persistent bytes recovered both marks in 384 of 384 held-out A→B→A′ rewrite cases, while an equal-byte direct vector recovered 376 of 384. The graph also produced substantially less drift in the retained B memory. Yet the authors correctly restricted the claim: this was a narrow synthetic task, graph transport cost more computation, and the result did not establish a universal graph advantage [4]. The relevant observation for informational spectra is narrower. Information can be stored in response geometry, and its readability and susceptibility to overwrite can have different scale profiles.</w:t>
      </w:r>
    </w:p>
    <w:tbl>
      <w:tblPr>
        <w:tblW w:type="auto" w:w="0"/>
        <w:tblLayout w:type="fixed"/>
        <w:tblLook w:firstColumn="1" w:firstRow="1" w:lastColumn="0" w:lastRow="0" w:noHBand="0" w:noVBand="1" w:val="04A0"/>
      </w:tblPr>
      <w:tblGrid>
        <w:gridCol w:w="3192"/>
        <w:gridCol w:w="3192"/>
        <w:gridCol w:w="3192"/>
      </w:tblGrid>
      <w:tr>
        <w:trPr>
          <w:tblHeader w:val="true"/>
        </w:trPr>
        <w:tc>
          <w:tcPr>
            <w:tcW w:type="dxa" w:w="2304"/>
            <w:shd w:fill="1F4E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8"/>
              </w:rPr>
              <w:t>Observation</w:t>
            </w:r>
          </w:p>
        </w:tc>
        <w:tc>
          <w:tcPr>
            <w:tcW w:type="dxa" w:w="3528"/>
            <w:shd w:fill="1F4E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8"/>
              </w:rPr>
              <w:t>Supports</w:t>
            </w:r>
          </w:p>
        </w:tc>
        <w:tc>
          <w:tcPr>
            <w:tcW w:type="dxa" w:w="3672"/>
            <w:shd w:fill="1F4E79"/>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8"/>
              </w:rPr>
              <w:t>Does not establish</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7"/>
              </w:rPr>
              <w:t>Sihti operator swap</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7"/>
              </w:rPr>
              <w:t>Persistence bands depend on the transformation.</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7"/>
              </w:rPr>
              <w:t>A unique natural decomposition.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2F6FA"/>
          </w:tcPr>
          <w:p>
            <w:r>
              <w:rPr>
                <w:sz w:val="17"/>
              </w:rPr>
              <w:t>Eye identity collapse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2F6FA"/>
          </w:tcPr>
          <w:p>
            <w:r>
              <w:rPr>
                <w:sz w:val="17"/>
              </w:rPr>
              <w:t>Task information can concentrate in a narrow band.</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2F6FA"/>
          </w:tcPr>
          <w:p>
            <w:r>
              <w:rPr>
                <w:sz w:val="17"/>
              </w:rPr>
              <w:t>Efficient compression or semantic understanding.</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7"/>
              </w:rPr>
              <w:t>Naula J-lens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7"/>
              </w:rPr>
              <w:t>Readability depends on the reader.</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7"/>
              </w:rPr>
              <w:t>That interpretable content is the slowest state component.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2F6FA"/>
          </w:tcPr>
          <w:p>
            <w:r>
              <w:rPr>
                <w:sz w:val="17"/>
              </w:rPr>
              <w:t>Graph rewrite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2F6FA"/>
          </w:tcPr>
          <w:p>
            <w:r>
              <w:rPr>
                <w:sz w:val="17"/>
              </w:rPr>
              <w:t>Storage, exposure, and overwrite resistance can differ.</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2F6FA"/>
          </w:tcPr>
          <w:p>
            <w:r>
              <w:rPr>
                <w:sz w:val="17"/>
              </w:rPr>
              <w:t>General continual memory or biological equivalence.</w:t>
            </w:r>
          </w:p>
        </w:tc>
      </w:tr>
    </w:tbl>
    <w:p>
      <w:pPr>
        <w:pStyle w:val="Heading1"/>
        <w:keepNext/>
      </w:pPr>
      <w:r>
        <w:t>3  A formal definition</w:t>
      </w:r>
    </w:p>
    <w:p>
      <w:pPr>
        <w:pStyle w:val="Heading2"/>
        <w:keepNext/>
      </w:pPr>
      <w:r>
        <w:t>3.1  Transformation bands</w:t>
      </w:r>
    </w:p>
    <w:p>
      <w:r>
        <w:t>Let X be an observed state and let P be an ordered sequence of deterministic transformations. They may be repeated applications of one diffusion, different network layers, progressively stronger corruptions, or a controlled family of measurement operators. Define a chain of states and, when subtraction is meaningful, residue signals:</w:t>
      </w:r>
    </w:p>
    <w:tbl>
      <w:tblPr>
        <w:tblW w:type="auto" w:w="0"/>
        <w:tblLayout w:type="fixed"/>
        <w:tblLook w:firstColumn="1" w:firstRow="1" w:lastColumn="0" w:lastRow="0" w:noHBand="0" w:noVBand="1" w:val="04A0"/>
      </w:tblPr>
      <w:tblGrid>
        <w:gridCol w:w="8496"/>
        <w:gridCol w:w="648"/>
      </w:tblGrid>
      <w:tr>
        <w:tc>
          <w:tcPr>
            <w:tcW w:type="dxa" w:w="8496"/>
            <w:tcBorders>
              <w:top w:val="nil"/>
              <w:left w:val="nil"/>
              <w:bottom w:val="nil"/>
              <w:right w:val="nil"/>
              <w:insideH w:val="nil"/>
              <w:insideV w:val="nil"/>
            </w:tcBorders>
            <w:tcMar>
              <w:top w:w="40" w:type="dxa"/>
              <w:start w:w="40" w:type="dxa"/>
              <w:bottom w:w="40" w:type="dxa"/>
              <w:end w:w="40" w:type="dxa"/>
            </w:tcMar>
          </w:tcPr>
          <w:p>
            <w:pPr>
              <w:jc w:val="center"/>
            </w:pPr>
            <w:r>
              <w:rPr>
                <w:rFonts w:ascii="Cambria Math" w:hAnsi="Cambria Math"/>
                <w:sz w:val="21"/>
              </w:rPr>
              <w:t>Z₀ = X,     Zₖ₊₁ = Pₖ(Zₖ),     Rₖ = Zₖ − Zₖ₊₁</w:t>
            </w:r>
          </w:p>
        </w:tc>
        <w:tc>
          <w:tcPr>
            <w:tcW w:type="dxa" w:w="648"/>
            <w:tcBorders>
              <w:top w:val="nil"/>
              <w:left w:val="nil"/>
              <w:bottom w:val="nil"/>
              <w:right w:val="nil"/>
              <w:insideH w:val="nil"/>
              <w:insideV w:val="nil"/>
            </w:tcBorders>
            <w:tcMar>
              <w:top w:w="40" w:type="dxa"/>
              <w:start w:w="40" w:type="dxa"/>
              <w:bottom w:w="40" w:type="dxa"/>
              <w:end w:w="40" w:type="dxa"/>
            </w:tcMar>
          </w:tcPr>
          <w:p>
            <w:pPr>
              <w:jc w:val="right"/>
            </w:pPr>
            <w:r>
              <w:t>(1)</w:t>
            </w:r>
          </w:p>
        </w:tc>
      </w:tr>
    </w:tbl>
    <w:p>
      <w:pPr>
        <w:widowControl/>
        <w:spacing w:after="0"/>
      </w:pPr>
    </w:p>
    <w:p>
      <w:pPr>
        <w:widowControl/>
      </w:pPr>
      <w:r>
        <w:t>The residue identity is algebraic:</w:t>
      </w:r>
    </w:p>
    <w:tbl>
      <w:tblPr>
        <w:tblW w:type="auto" w:w="0"/>
        <w:tblLayout w:type="fixed"/>
        <w:tblLook w:firstColumn="1" w:firstRow="1" w:lastColumn="0" w:lastRow="0" w:noHBand="0" w:noVBand="1" w:val="04A0"/>
      </w:tblPr>
      <w:tblGrid>
        <w:gridCol w:w="8496"/>
        <w:gridCol w:w="648"/>
      </w:tblGrid>
      <w:tr>
        <w:tc>
          <w:tcPr>
            <w:tcW w:type="dxa" w:w="8496"/>
            <w:tcBorders>
              <w:top w:val="nil"/>
              <w:left w:val="nil"/>
              <w:bottom w:val="nil"/>
              <w:right w:val="nil"/>
              <w:insideH w:val="nil"/>
              <w:insideV w:val="nil"/>
            </w:tcBorders>
            <w:tcMar>
              <w:top w:w="40" w:type="dxa"/>
              <w:start w:w="40" w:type="dxa"/>
              <w:bottom w:w="40" w:type="dxa"/>
              <w:end w:w="40" w:type="dxa"/>
            </w:tcMar>
          </w:tcPr>
          <w:p>
            <w:pPr>
              <w:jc w:val="center"/>
            </w:pPr>
            <w:r>
              <w:rPr>
                <w:rFonts w:ascii="Cambria Math" w:hAnsi="Cambria Math"/>
                <w:sz w:val="21"/>
              </w:rPr>
              <w:t>X = Z_K + Σₖ₌₀ᴷ⁻¹ Rₖ</w:t>
            </w:r>
          </w:p>
        </w:tc>
        <w:tc>
          <w:tcPr>
            <w:tcW w:type="dxa" w:w="648"/>
            <w:tcBorders>
              <w:top w:val="nil"/>
              <w:left w:val="nil"/>
              <w:bottom w:val="nil"/>
              <w:right w:val="nil"/>
              <w:insideH w:val="nil"/>
              <w:insideV w:val="nil"/>
            </w:tcBorders>
            <w:tcMar>
              <w:top w:w="40" w:type="dxa"/>
              <w:start w:w="40" w:type="dxa"/>
              <w:bottom w:w="40" w:type="dxa"/>
              <w:end w:w="40" w:type="dxa"/>
            </w:tcMar>
          </w:tcPr>
          <w:p>
            <w:pPr>
              <w:jc w:val="right"/>
            </w:pPr>
            <w:r>
              <w:t>(2)</w:t>
            </w:r>
          </w:p>
        </w:tc>
      </w:tr>
    </w:tbl>
    <w:p>
      <w:pPr>
        <w:widowControl/>
        <w:spacing w:after="0"/>
      </w:pPr>
    </w:p>
    <w:p>
      <w:r>
        <w:t>Equation 2 guarantees reconstruction if all bands are retained, but it says nothing about meaning. Meaning enters only after choosing a target Y: a label, future event, identity, control objective, scientific quantity, or question whose answer matters.</w:t>
      </w:r>
    </w:p>
    <w:p>
      <w:pPr>
        <w:pStyle w:val="Heading2"/>
        <w:keepNext/>
      </w:pPr>
      <w:r>
        <w:t>3.2  The task information spectrum</w:t>
      </w:r>
    </w:p>
    <w:p>
      <w:pPr>
        <w:widowControl/>
      </w:pPr>
      <w:r>
        <w:t>The information removed by transformation step k is</w:t>
      </w:r>
    </w:p>
    <w:tbl>
      <w:tblPr>
        <w:tblW w:type="auto" w:w="0"/>
        <w:tblLayout w:type="fixed"/>
        <w:tblLook w:firstColumn="1" w:firstRow="1" w:lastColumn="0" w:lastRow="0" w:noHBand="0" w:noVBand="1" w:val="04A0"/>
      </w:tblPr>
      <w:tblGrid>
        <w:gridCol w:w="8496"/>
        <w:gridCol w:w="648"/>
      </w:tblGrid>
      <w:tr>
        <w:tc>
          <w:tcPr>
            <w:tcW w:type="dxa" w:w="8496"/>
            <w:tcBorders>
              <w:top w:val="nil"/>
              <w:left w:val="nil"/>
              <w:bottom w:val="nil"/>
              <w:right w:val="nil"/>
              <w:insideH w:val="nil"/>
              <w:insideV w:val="nil"/>
            </w:tcBorders>
            <w:tcMar>
              <w:top w:w="40" w:type="dxa"/>
              <w:start w:w="40" w:type="dxa"/>
              <w:bottom w:w="40" w:type="dxa"/>
              <w:end w:w="40" w:type="dxa"/>
            </w:tcMar>
          </w:tcPr>
          <w:p>
            <w:pPr>
              <w:jc w:val="center"/>
            </w:pPr>
            <w:r>
              <w:rPr>
                <w:rFonts w:ascii="Cambria Math" w:hAnsi="Cambria Math"/>
                <w:sz w:val="21"/>
              </w:rPr>
              <w:t>Sₖ(Y;P) = I(Y; Zₖ | Zₖ₊₁) = I(Y;Zₖ) − I(Y;Zₖ₊₁)</w:t>
            </w:r>
          </w:p>
        </w:tc>
        <w:tc>
          <w:tcPr>
            <w:tcW w:type="dxa" w:w="648"/>
            <w:tcBorders>
              <w:top w:val="nil"/>
              <w:left w:val="nil"/>
              <w:bottom w:val="nil"/>
              <w:right w:val="nil"/>
              <w:insideH w:val="nil"/>
              <w:insideV w:val="nil"/>
            </w:tcBorders>
            <w:tcMar>
              <w:top w:w="40" w:type="dxa"/>
              <w:start w:w="40" w:type="dxa"/>
              <w:bottom w:w="40" w:type="dxa"/>
              <w:end w:w="40" w:type="dxa"/>
            </w:tcMar>
          </w:tcPr>
          <w:p>
            <w:pPr>
              <w:jc w:val="right"/>
            </w:pPr>
            <w:r>
              <w:t>(3)</w:t>
            </w:r>
          </w:p>
        </w:tc>
      </w:tr>
    </w:tbl>
    <w:p>
      <w:pPr>
        <w:widowControl/>
        <w:spacing w:after="0"/>
      </w:pPr>
    </w:p>
    <w:p>
      <w:r>
        <w:t>The equality follows because each next state is a deterministic function of the preceding state. Each band is nonnegative by the data-processing inequality, and the bands telescope:</w:t>
      </w:r>
    </w:p>
    <w:tbl>
      <w:tblPr>
        <w:tblW w:type="auto" w:w="0"/>
        <w:tblLayout w:type="fixed"/>
        <w:tblLook w:firstColumn="1" w:firstRow="1" w:lastColumn="0" w:lastRow="0" w:noHBand="0" w:noVBand="1" w:val="04A0"/>
      </w:tblPr>
      <w:tblGrid>
        <w:gridCol w:w="8496"/>
        <w:gridCol w:w="648"/>
      </w:tblGrid>
      <w:tr>
        <w:tc>
          <w:tcPr>
            <w:tcW w:type="dxa" w:w="8496"/>
            <w:tcBorders>
              <w:top w:val="nil"/>
              <w:left w:val="nil"/>
              <w:bottom w:val="nil"/>
              <w:right w:val="nil"/>
              <w:insideH w:val="nil"/>
              <w:insideV w:val="nil"/>
            </w:tcBorders>
            <w:tcMar>
              <w:top w:w="40" w:type="dxa"/>
              <w:start w:w="40" w:type="dxa"/>
              <w:bottom w:w="40" w:type="dxa"/>
              <w:end w:w="40" w:type="dxa"/>
            </w:tcMar>
          </w:tcPr>
          <w:p>
            <w:pPr>
              <w:jc w:val="center"/>
            </w:pPr>
            <w:r>
              <w:rPr>
                <w:rFonts w:ascii="Cambria Math" w:hAnsi="Cambria Math"/>
                <w:sz w:val="21"/>
              </w:rPr>
              <w:t>Σₖ₌₀ᴷ⁻¹ Sₖ(Y;P) = I(Y;X) − I(Y;Z_K)</w:t>
            </w:r>
          </w:p>
        </w:tc>
        <w:tc>
          <w:tcPr>
            <w:tcW w:type="dxa" w:w="648"/>
            <w:tcBorders>
              <w:top w:val="nil"/>
              <w:left w:val="nil"/>
              <w:bottom w:val="nil"/>
              <w:right w:val="nil"/>
              <w:insideH w:val="nil"/>
              <w:insideV w:val="nil"/>
            </w:tcBorders>
            <w:tcMar>
              <w:top w:w="40" w:type="dxa"/>
              <w:start w:w="40" w:type="dxa"/>
              <w:bottom w:w="40" w:type="dxa"/>
              <w:end w:w="40" w:type="dxa"/>
            </w:tcMar>
          </w:tcPr>
          <w:p>
            <w:pPr>
              <w:jc w:val="right"/>
            </w:pPr>
            <w:r>
              <w:t>(4)</w:t>
            </w:r>
          </w:p>
        </w:tc>
      </w:tr>
    </w:tbl>
    <w:p>
      <w:pPr>
        <w:widowControl/>
        <w:spacing w:after="0"/>
      </w:pPr>
    </w:p>
    <w:p>
      <w:r>
        <w:t>Equation 3 is the core proposal. It converts an ordered transformation into a distribution of task information over persistence scales. A peak means that one step removes a large fraction of the distinctions needed to infer Y. If the deep core still carries task information, I(Y;Z_K) is reported separately rather than forced into a residue band. In practice, mutual information is difficult to estimate in high dimension. The operational substitute is a preregistered prediction task with held-out data and matched readers at every scale.</w:t>
      </w:r>
    </w:p>
    <w:p>
      <w:pPr>
        <w:pStyle w:val="Heading2"/>
        <w:keepNext/>
      </w:pPr>
      <w:r>
        <w:t>3.3  Existence, readability, and writability</w:t>
      </w:r>
    </w:p>
    <w:p>
      <w:r>
        <w:t>One spectrum is insufficient because information can exist without being exposed. The framework therefore separates three questions.</w:t>
      </w:r>
    </w:p>
    <w:p>
      <w:pPr>
        <w:pStyle w:val="ListBullet"/>
      </w:pPr>
      <w:r>
        <w:t>Existence spectrum. How much information about Y is removed at each transformation step? Equation 3 is reader-independent in principle, although its estimator is not.</w:t>
      </w:r>
    </w:p>
    <w:p>
      <w:pPr>
        <w:pStyle w:val="ListBullet"/>
      </w:pPr>
      <w:r>
        <w:t>Readability spectrum. How much does the held-out loss of a specified reader increase after a band is removed? A restricted linear probe, a biological readout, and a trained nonlinear decoder can yield different spectra.</w:t>
      </w:r>
    </w:p>
    <w:p>
      <w:pPr>
        <w:pStyle w:val="ListBullet"/>
      </w:pPr>
      <w:r>
        <w:t>Writability spectrum. How strongly and selectively can a controlled intervention alter task information at a band while leaving protected targets unchanged?</w:t>
      </w:r>
    </w:p>
    <w:p>
      <w:r>
        <w:t>For a reader family ℛ and task loss L_Y, define the accessible contribution of band k as the performance loss caused by advancing from Z_k to Z_{k+1}:</w:t>
      </w:r>
    </w:p>
    <w:tbl>
      <w:tblPr>
        <w:tblW w:type="auto" w:w="0"/>
        <w:tblLayout w:type="fixed"/>
        <w:tblLook w:firstColumn="1" w:firstRow="1" w:lastColumn="0" w:lastRow="0" w:noHBand="0" w:noVBand="1" w:val="04A0"/>
      </w:tblPr>
      <w:tblGrid>
        <w:gridCol w:w="8496"/>
        <w:gridCol w:w="648"/>
      </w:tblGrid>
      <w:tr>
        <w:tc>
          <w:tcPr>
            <w:tcW w:type="dxa" w:w="8496"/>
            <w:tcBorders>
              <w:top w:val="nil"/>
              <w:left w:val="nil"/>
              <w:bottom w:val="nil"/>
              <w:right w:val="nil"/>
              <w:insideH w:val="nil"/>
              <w:insideV w:val="nil"/>
            </w:tcBorders>
            <w:tcMar>
              <w:top w:w="40" w:type="dxa"/>
              <w:start w:w="40" w:type="dxa"/>
              <w:bottom w:w="40" w:type="dxa"/>
              <w:end w:w="40" w:type="dxa"/>
            </w:tcMar>
          </w:tcPr>
          <w:p>
            <w:pPr>
              <w:jc w:val="center"/>
            </w:pPr>
            <w:r>
              <w:rPr>
                <w:rFonts w:ascii="Cambria Math" w:hAnsi="Cambria Math"/>
                <w:sz w:val="21"/>
              </w:rPr>
              <w:t>Aₖ(Y;ℛ) = L_Y(ℛ*ₖ₊₁(Zₖ₊₁)) − L_Y(ℛ*ₖ(Zₖ))</w:t>
            </w:r>
          </w:p>
        </w:tc>
        <w:tc>
          <w:tcPr>
            <w:tcW w:type="dxa" w:w="648"/>
            <w:tcBorders>
              <w:top w:val="nil"/>
              <w:left w:val="nil"/>
              <w:bottom w:val="nil"/>
              <w:right w:val="nil"/>
              <w:insideH w:val="nil"/>
              <w:insideV w:val="nil"/>
            </w:tcBorders>
            <w:tcMar>
              <w:top w:w="40" w:type="dxa"/>
              <w:start w:w="40" w:type="dxa"/>
              <w:bottom w:w="40" w:type="dxa"/>
              <w:end w:w="40" w:type="dxa"/>
            </w:tcMar>
          </w:tcPr>
          <w:p>
            <w:pPr>
              <w:jc w:val="right"/>
            </w:pPr>
            <w:r>
              <w:t>(5)</w:t>
            </w:r>
          </w:p>
        </w:tc>
      </w:tr>
    </w:tbl>
    <w:p>
      <w:pPr>
        <w:widowControl/>
        <w:spacing w:after="0"/>
      </w:pPr>
    </w:p>
    <w:p>
      <w:r>
        <w:t>Here each ℛ* is trained under the same capacity and data budget. Positive A_k means the best matched reader became worse after the band was removed. With a fixed, mismatched reader the quantity may be negative or nonmonotonic; that behavior is itself evidence about exposure rather than existence. Writability can be measured through interventions Δ_k that target a band: desired task change divided by collateral change in protected variables. The earlier project language of persistence × writability × readability is therefore best understood as three measured axes, not as a literal scalar product.</w:t>
      </w:r>
    </w:p>
    <w:p>
      <w:pPr>
        <w:pStyle w:val="Heading2"/>
        <w:keepNext/>
      </w:pPr>
      <w:r>
        <w:t>3.4  Low and high informational frequency</w:t>
      </w:r>
    </w:p>
    <w:p>
      <w:r>
        <w:t>If P is linear with eigenvectors v_i and eigenvalues λ_i, repeated application gives P^t v_i = λ_i^t v_i. Modes with |λ_i| near one are slow and long-lived; modes with smaller magnitude vanish rapidly. This is the familiar bridge to frequency. For nonlinear or state-dependent operators, local Jacobians, empirical decay curves, or intervention-defined lifetimes can supply the ordering.</w:t>
      </w:r>
    </w:p>
    <w:p>
      <w:r>
        <w:t>Low informational frequency then means that task distinctions remain available under many transformation steps. High informational frequency means that they disappear quickly. This definition does not imply that low-frequency information is more valuable. Value belongs to Y. Nor does it imply that the bands align with Fourier frequency. An edge-aware graph may make an object boundary slow even though the boundary is spatially sharp; a language-model subspace may be prompt-wide without being locally smoother than its complement.</w:t>
      </w:r>
    </w:p>
    <w:p>
      <w:r>
        <w:t>The original intuition that information may separate toward low and high points can now be stated as a testable polarization hypothesis: for some learned operators and ecological tasks, the normalized mass p_k = S_k/Σ_j S_j may concentrate near long-lived anchors and short-lived corrections, leaving less task information at intermediate scales. This is plausible because stable context and rapid error signals play complementary roles. It is not assumed. A unimodal, middle-heavy, or flat spectrum would refute polarization for that operator and task.</w:t>
      </w:r>
    </w:p>
    <w:p>
      <w:pPr>
        <w:pStyle w:val="Heading1"/>
        <w:keepNext/>
      </w:pPr>
      <w:r>
        <w:t>4  Intellectual relatives and the boundary of the idea</w:t>
      </w:r>
    </w:p>
    <w:p>
      <w:r>
        <w:t>Informational spectra sit at an intersection of established fields. Most of the mathematics already exists. The proposed contribution is the joint framing of operator-relative persistence, question-relative information, reader-relative access, and intervention-relative writability.</w:t>
      </w:r>
    </w:p>
    <w:tbl>
      <w:tblPr>
        <w:tblW w:type="auto" w:w="0"/>
        <w:tblLayout w:type="fixed"/>
        <w:tblLook w:firstColumn="1" w:firstRow="1" w:lastColumn="0" w:lastRow="0" w:noHBand="0" w:noVBand="1" w:val="04A0"/>
      </w:tblPr>
      <w:tblGrid>
        <w:gridCol w:w="3192"/>
        <w:gridCol w:w="3192"/>
        <w:gridCol w:w="3192"/>
      </w:tblGrid>
      <w:tr>
        <w:trPr>
          <w:tblHeader w:val="true"/>
        </w:trPr>
        <w:tc>
          <w:tcPr>
            <w:tcW w:type="dxa" w:w="2232"/>
            <w:shd w:fill="3F3F3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Established relative</w:t>
            </w:r>
          </w:p>
        </w:tc>
        <w:tc>
          <w:tcPr>
            <w:tcW w:type="dxa" w:w="3384"/>
            <w:shd w:fill="3F3F3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Shared idea</w:t>
            </w:r>
          </w:p>
        </w:tc>
        <w:tc>
          <w:tcPr>
            <w:tcW w:type="dxa" w:w="3888"/>
            <w:shd w:fill="3F3F3F"/>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Pr>
                <w:b/>
                <w:color w:val="FFFFFF"/>
                <w:sz w:val="17"/>
              </w:rPr>
              <w:t>Difference in this proposal</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Fourier, wavelets, Laplacian pyramids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Signals split across spatial or temporal scales [5].</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Bands are scored by information about Y, and the operator need not be translation invariant.</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Diffusion geometry</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Operator eigenmodes define slow variables and multiscale graph bands [6].</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The spectrum measures task distinctions, accessibility, and causal writing, not only geometry.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Information bottleneck</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A representation should retain information relevant to Y while compressing X [7].</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Instead of one bottleneck point, information loss is localized across a transformation path.</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Renormalization</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Coarse-graining removes microscopic variables while retaining long-range relevance [8].</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The operator may be learned or state-dependent, and relevance is explicitly question-relative.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Spectral bias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Neural networks often fit lower Fourier frequencies earlier [9,10].</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Training order is only one possible axis; semantic importance is not equated with Fourier frequency.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Efficient and predictive coding</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Sensory systems reduce redundancy and transmit useful deviations [11,12].</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Residuals are not automatically prediction errors; the reader and intervention are separately measured.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Complementary memory systems</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Fast and slow learning systems trade episodic plasticity against stable abstraction [13].</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Pr>
                <w:sz w:val="16"/>
              </w:rPr>
              <w:t>The proposed spectrum is continuous and can be measured inside one state or operator.</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Partial information spectra</w:t>
            </w:r>
          </w:p>
        </w:tc>
        <w:tc>
          <w:tcPr>
            <w:tcW w:type="dxa" w:w="33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Information may distribute across redundant, unique, and synergistic orders [14].</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shd w:fill="F4F4F4"/>
          </w:tcPr>
          <w:p>
            <w:r>
              <w:rPr>
                <w:sz w:val="16"/>
              </w:rPr>
              <w:t>That axis is interaction order; this axis is persistence under transformation. The two can be combined.</w:t>
            </w:r>
          </w:p>
        </w:tc>
      </w:tr>
    </w:tbl>
    <w:p>
      <w:r>
        <w:t>A terminology warning is necessary. Information-spectrum methods in classical information theory, associated especially with Han and Verdú, analyze distributions of information density for general sources and channels. The bioinformatics phrase informational spectrum also names Fourier analyses of encoded protein sequences. The present use is different: it denotes task information distributed over an operator-defined persistence axis. Any formal publication should use a qualifier such as operator-relative informational spectrum to avoid claiming an unused name.</w:t>
      </w:r>
    </w:p>
    <w:p>
      <w:pPr>
        <w:pStyle w:val="Heading1"/>
        <w:keepNext/>
      </w:pPr>
      <w:r>
        <w:t>5  Consequences and possible uses</w:t>
      </w:r>
    </w:p>
    <w:p>
      <w:pPr>
        <w:pStyle w:val="Heading2"/>
        <w:keepNext/>
      </w:pPr>
      <w:r>
        <w:t>5.1  Compression that protects questions rather than pixels</w:t>
      </w:r>
    </w:p>
    <w:p>
      <w:r>
        <w:t>Conventional codecs optimize generic distortion measures. An informational-spectrum codec would allocate bits according to the future questions expected of the record. A medical image archive might preserve bands needed for lesion change while spending fewer bits on irrelevant texture; a personal image memory might preserve identity-bearing eye or garment relations; a robot might retain geometry needed for return navigation while discarding photometric detail. The eye experiment also supplies the warning: detecting a narrow identity band does not make the resulting code competitive. Every claim must be compared with strong codecs at equal bytes and with tasks not used to select the bands.</w:t>
      </w:r>
    </w:p>
    <w:p>
      <w:pPr>
        <w:pStyle w:val="Heading2"/>
        <w:keepNext/>
      </w:pPr>
      <w:r>
        <w:t>5.2  Interpretable memory in neural networks</w:t>
      </w:r>
    </w:p>
    <w:p>
      <w:r>
        <w:t>A model-state spectrum could be measured across layers, token lags, recurrent updates, or controlled corruptions. Separate probes would estimate what exists, what a linear or nonlinear reader can recover, and what an activation intervention can write. This would replace vague claims such as 'the model stores the concept here' with a three-part statement: the variable is decodable at these scales, causal intervention succeeds at these scales, and protected behavior changes by this amount. Naula shows why the distinction matters. A strong lens result need not imply local persistence, and a large intervention effect may reflect generic leakage rather than subject-specific routing.</w:t>
      </w:r>
    </w:p>
    <w:p>
      <w:pPr>
        <w:pStyle w:val="Heading2"/>
        <w:keepNext/>
      </w:pPr>
      <w:r>
        <w:t>5.3  Continual learning and selective rewriting</w:t>
      </w:r>
    </w:p>
    <w:p>
      <w:r>
        <w:t>Continual memory requires both plastic and protected components. Rather than hard-coding a fast store and a slow store, a system could measure the spectrum of each incoming event against predicted future queries. High-value distinctions that recur across contexts would migrate toward protected, long-lived operator modes; uncertain details would remain in rapidly writable bands; contradictions would reopen selected bands rather than overwrite the entire state. GraphNN's rewrite result is a toy example of the desired property: one memory changes while another drifts little. The next scientific question is whether the advantage survives many writes, natural data, matched compute, and adversarially overlapping memories.</w:t>
      </w:r>
    </w:p>
    <w:p>
      <w:pPr>
        <w:pStyle w:val="Heading2"/>
        <w:keepNext/>
      </w:pPr>
      <w:r>
        <w:t>5.4  Active sensing and measurement design</w:t>
      </w:r>
    </w:p>
    <w:p>
      <w:r>
        <w:t>A hidden distinction is useful only if some measurement makes it observable. An active sensor can choose a probe that moves target information into a readable band. In optics this might mean illumination angle or polarization; in materials it might mean excitation frequency; in a dendritic or neuromorphic system it might mean stimulation site and conductance state; in language models it might mean query position or a learned lens. The design objective is not merely maximum response energy. It is maximum task information after the system's response dynamics, under a cost constraint.</w:t>
      </w:r>
    </w:p>
    <w:p>
      <w:pPr>
        <w:pStyle w:val="Heading2"/>
        <w:keepNext/>
      </w:pPr>
      <w:r>
        <w:t>5.5  Anomaly detection and scientific instruments</w:t>
      </w:r>
    </w:p>
    <w:p>
      <w:r>
        <w:t>Stable structure often occupies long-lived modes, while anomalies appear as short-lived residuals. But a persistent fault or slow regime shift can reverse that pattern. An informational spectrum makes the choice explicit: define Y as the anomaly class or future failure, estimate the spectrum on held-out sequences, and test whether a small group of bands predicts Y beyond raw-history and matched-capacity controls. This approach could guide vibration monitoring, microscopy, climate signals, industrial processes, or neural recordings. It would be especially valuable where the same physical signal supports different questions at different timescales.</w:t>
      </w:r>
    </w:p>
    <w:p>
      <w:pPr>
        <w:pStyle w:val="Heading2"/>
        <w:keepNext/>
      </w:pPr>
      <w:r>
        <w:t>5.6  Physical reservoirs and matter as memory</w:t>
      </w:r>
    </w:p>
    <w:p>
      <w:r>
        <w:t>Any physical medium disturbed by an input retains some state. It becomes useful memory only when later operations can distinguish inputs reliably and when new writes do not destroy every old distinction. Informational spectra provide a measurement program for this 'box of matter' idea. Excite the medium with controlled inputs, observe it through a family of times or probes, estimate task information across response modes, and measure selective writability. A successful reservoir would not need its microscopic state to resemble the stored object. It would need reproducible, addressable response differences.</w:t>
      </w:r>
    </w:p>
    <w:p>
      <w:pPr>
        <w:pStyle w:val="Heading1"/>
        <w:keepNext/>
      </w:pPr>
      <w:r>
        <w:t>6  A falsifiable experimental program</w:t>
      </w:r>
    </w:p>
    <w:p>
      <w:r>
        <w:t>The concept becomes scientific only when it can lose. The following gates are deliberately designed to separate a useful spectrum from attractive relabeling.</w:t>
      </w:r>
    </w:p>
    <w:p>
      <w:pPr>
        <w:pStyle w:val="ListNumber"/>
      </w:pPr>
      <w:r>
        <w:t>Operator swap. Hold the data, task, reader capacity, and evaluation split fixed. Change only the transformation family. A real operator-relative spectrum should move predictably; a supposed universal spectrum should fail.</w:t>
      </w:r>
    </w:p>
    <w:p>
      <w:pPr>
        <w:pStyle w:val="ListNumber"/>
      </w:pPr>
      <w:r>
        <w:t>Reader ladder. At every scale compare a fixed linear probe, a matched nonlinear probe, and an oracle-style task metric where available. This distinguishes inaccessible information from absent information. Reader capacity and training examples must be identical across bands.</w:t>
      </w:r>
    </w:p>
    <w:p>
      <w:pPr>
        <w:pStyle w:val="ListNumber"/>
      </w:pPr>
      <w:r>
        <w:t>Conditional band test. Estimate the incremental value of each band after deeper states are supplied. Test individual residues, cumulative prefixes, and shuffled-band controls. This attacks redundancy and synergy that marginal scores can hide.</w:t>
      </w:r>
    </w:p>
    <w:p>
      <w:pPr>
        <w:pStyle w:val="ListNumber"/>
      </w:pPr>
      <w:r>
        <w:t>Causal write test. Insert a target distinction into one band, read it later, and measure collateral drift in protected variables. Decodability without intervention success is not writable memory.</w:t>
      </w:r>
    </w:p>
    <w:p>
      <w:pPr>
        <w:pStyle w:val="ListNumber"/>
      </w:pPr>
      <w:r>
        <w:t>Polarization test. Predefine endpoint regions and a concentration statistic before looking at results. Compare the observed task spectrum with shuffled labels, random operators, and matched smoothness controls. The theory must allow middle-heavy or flat outcomes.</w:t>
      </w:r>
    </w:p>
    <w:p>
      <w:pPr>
        <w:pStyle w:val="ListNumber"/>
      </w:pPr>
      <w:r>
        <w:t>Budget-matched utility. Convert any proposed advantage into bytes, joules, latency, or measurements. Compare with strong ordinary baselines. Sihti's eye study is the model: an informative band can be scientifically useful while losing the codec contest.</w:t>
      </w:r>
    </w:p>
    <w:p>
      <w:pPr>
        <w:pStyle w:val="ListNumber"/>
      </w:pPr>
      <w:r>
        <w:t>Transfer test. Select bands on one set of tasks or identities and evaluate on unseen tasks. A spectrum that only reflects the probe's training labels is not a property of the underlying system.</w:t>
      </w:r>
    </w:p>
    <w:p>
      <w:pPr>
        <w:pStyle w:val="ListNumber"/>
      </w:pPr>
      <w:r>
        <w:t>Null environments. Run noise, phase-scrambled inputs, random dictionaries, and substrate-only operators. Long-lived modes in noise demonstrate persistence, not objecthood or meaning.</w:t>
      </w:r>
    </w:p>
    <w:p>
      <w:pPr>
        <w:pStyle w:val="Heading1"/>
        <w:keepNext/>
      </w:pPr>
      <w:r>
        <w:t>7  Predictions</w:t>
      </w:r>
    </w:p>
    <w:p>
      <w:pPr>
        <w:widowControl/>
      </w:pPr>
      <w:r>
        <w:t>The framework makes several concrete predictions that can be wrong.</w:t>
      </w:r>
    </w:p>
    <w:p>
      <w:pPr>
        <w:pStyle w:val="ListBullet"/>
      </w:pPr>
      <w:r>
        <w:t>Spectral migration with learning. When a model learns a recurring task, its relevant distinctions should move toward modes that are more readable and more overwrite-resistant under the model's own dynamics, even if their Fourier frequency does not decrease.</w:t>
      </w:r>
    </w:p>
    <w:p>
      <w:pPr>
        <w:pStyle w:val="ListBullet"/>
      </w:pPr>
      <w:r>
        <w:t>Reader disagreement will be structured. Readers trained for different questions should disagree most at bands where conditional task information is high, rather than uniformly across the state.</w:t>
      </w:r>
    </w:p>
    <w:p>
      <w:pPr>
        <w:pStyle w:val="ListBullet"/>
      </w:pPr>
      <w:r>
        <w:t>Adaptive operators will outperform fixed spectra only when the adaptation is written by task-relevant history. A state-dependent operator without held-out causal benefit is additional machinery, not memory.</w:t>
      </w:r>
    </w:p>
    <w:p>
      <w:pPr>
        <w:pStyle w:val="ListBullet"/>
      </w:pPr>
      <w:r>
        <w:t>Useful systems will show asymmetric write protection. Repeated or predictive structure will become harder to perturb, while surprising corrections remain easier to write. Equal perturbation energy will not imply equal informational effect.</w:t>
      </w:r>
    </w:p>
    <w:p>
      <w:pPr>
        <w:pStyle w:val="ListBullet"/>
      </w:pPr>
      <w:r>
        <w:t>High-frequency detail will sometimes dominate. Fine marks, exact names, parity-like rules, and adversarial distinctions should create spectra concentrated in short-lived bands unless the operator explicitly protects them.</w:t>
      </w:r>
    </w:p>
    <w:p>
      <w:pPr>
        <w:pStyle w:val="ListBullet"/>
      </w:pPr>
      <w:r>
        <w:t>No single spectrum will rank all features. Changing Y from category to identity, emotion, geometry, or future action should move the peaks. Failure to move would suggest that the measurement is tracking signal energy rather than information relevance.</w:t>
      </w:r>
    </w:p>
    <w:p>
      <w:pPr>
        <w:pStyle w:val="Heading1"/>
        <w:keepNext/>
      </w:pPr>
      <w:r>
        <w:t>8  Limitations and nonclaims</w:t>
      </w:r>
    </w:p>
    <w:p>
      <w:r>
        <w:t>The present evidence is a set of small, controlled experiments, not a unified empirical validation. Sihti used low-resolution images and a hand-designed affinity. The eye result used 43 small faces. Naula examined one 0.5-billion-parameter language model and a particular lens. GraphNN used tiny procedural images. These systems establish mechanisms and counterexamples; they do not establish a general law of cognition or representation.</w:t>
      </w:r>
    </w:p>
    <w:p>
      <w:r>
        <w:t>Mutual information estimation is itself difficult. A decoder score is a lower bound on accessible information and is entangled with optimization, sample size, and architecture. A deterministic transform may preserve information in a code that the chosen estimator cannot discover. Synergistic information may exist only across multiple bands. Subtraction-defined residues may be meaningless for categorical or manifold-valued states, even when conditional-information bands remain well defined.</w:t>
      </w:r>
    </w:p>
    <w:p>
      <w:r>
        <w:t>The language of low and high frequency can mislead. In this paper it denotes a position along an operator-defined persistence order unless spatial or temporal Fourier frequency is stated explicitly. Slow does not mean semantic, compressed, causal, conscious, or valuable. Residue does not mean prediction error. A graph mode does not mean an object. An interpretable probe does not prove that the base system uses the same representation.</w:t>
      </w:r>
    </w:p>
    <w:p>
      <w:r>
        <w:t>Finally, the framework may turn out to be bookkeeping rather than a new theory. Its value would then lie in experimental discipline: forcing every claim to name the operator, target, reader, intervention, budget, and null. That would still be a useful result. The stronger claim—that learned systems systematically organize useful distinctions into characteristic spectral shapes—must earn its status through preregistered comparisons.</w:t>
      </w:r>
    </w:p>
    <w:p>
      <w:pPr>
        <w:pStyle w:val="Heading1"/>
        <w:keepNext/>
      </w:pPr>
      <w:r>
        <w:t>9  Conclusion</w:t>
      </w:r>
    </w:p>
    <w:p>
      <w:r>
        <w:t>The deepest idea is not that information has an intrinsic frequency. It is that transformations create a landscape of persistence, and questions turn that landscape into a spectrum of relevance. The same physical state may contain a slow layout, a narrow identity band, and a fast anomaly correction. Another reader may expose a different arrangement. Learning may change the state, the operator, the reader, or all three.</w:t>
      </w:r>
    </w:p>
    <w:p>
      <w:r>
        <w:t>Informational spectra give this intuition a disciplined form. The existence spectrum asks where task distinctions disappear. The readability spectrum asks where an observer can recover them. The writability spectrum asks where they can be changed selectively. Sihti demonstrates operator-dependent separation; the eye experiment shows a narrow identity lifetime; Naula proves that semantic readability and local slowness can diverge; response graphs show why storage and exposure must be separated. Together they suggest a research program, not a settled law.</w:t>
      </w:r>
    </w:p>
    <w:p>
      <w:r>
        <w:t>If the program succeeds, low and high frequency will cease to be merely properties of signals. They will become properties of relationships among a world, a transformation, a question, and an observer. If it fails, the failure modes are already visible and measurable. That is precisely what makes the concept worth testing.</w:t>
      </w:r>
    </w:p>
    <w:p>
      <w:pPr>
        <w:pStyle w:val="Heading1"/>
        <w:keepNext/>
      </w:pPr>
      <w:r>
        <w:t>References</w:t>
      </w:r>
    </w:p>
    <w:p>
      <w:pPr>
        <w:widowControl/>
        <w:spacing w:after="80"/>
        <w:ind w:hanging="312" w:left="312"/>
      </w:pPr>
      <w:r>
        <w:rPr>
          <w:sz w:val="17"/>
        </w:rPr>
        <w:t xml:space="preserve">[1] Luode, A. (2026). Sihti. Software repository and experimental ledger. </w:t>
      </w:r>
      <w:hyperlink r:id="rId12">
        <w:r>
          <w:rPr>
            <w:color w:val="1F4E79"/>
            <w:u w:val="single"/>
          </w:rPr>
          <w:t>https://github.com/anttiluode/Sihti</w:t>
        </w:r>
      </w:hyperlink>
    </w:p>
    <w:p>
      <w:pPr>
        <w:widowControl/>
        <w:spacing w:after="80"/>
        <w:ind w:hanging="312" w:left="312"/>
      </w:pPr>
      <w:r>
        <w:rPr>
          <w:sz w:val="17"/>
        </w:rPr>
        <w:t xml:space="preserve">[2] Luode, A. (2026). Naula. Software repository and preregistered claim ledger. </w:t>
      </w:r>
      <w:hyperlink r:id="rId13">
        <w:r>
          <w:rPr>
            <w:color w:val="1F4E79"/>
            <w:u w:val="single"/>
          </w:rPr>
          <w:t>https://github.com/anttiluode/Naula</w:t>
        </w:r>
      </w:hyperlink>
    </w:p>
    <w:p>
      <w:pPr>
        <w:widowControl/>
        <w:spacing w:after="80"/>
        <w:ind w:hanging="312" w:left="312"/>
      </w:pPr>
      <w:r>
        <w:rPr>
          <w:sz w:val="17"/>
        </w:rPr>
        <w:t xml:space="preserve">[3] Luode, A. (2026). SihtiResponseGraph. Software repository. </w:t>
      </w:r>
      <w:hyperlink r:id="rId14">
        <w:r>
          <w:rPr>
            <w:color w:val="1F4E79"/>
            <w:u w:val="single"/>
          </w:rPr>
          <w:t>https://github.com/anttiluode/SihtiResponseGraph</w:t>
        </w:r>
      </w:hyperlink>
    </w:p>
    <w:p>
      <w:pPr>
        <w:widowControl/>
        <w:spacing w:after="80"/>
        <w:ind w:hanging="312" w:left="312"/>
      </w:pPr>
      <w:r>
        <w:rPr>
          <w:sz w:val="17"/>
        </w:rPr>
        <w:t xml:space="preserve">[4] Luode, A. (2026). GraphNN. Software repository and rewrite-gate receipts. </w:t>
      </w:r>
      <w:hyperlink r:id="rId15">
        <w:r>
          <w:rPr>
            <w:color w:val="1F4E79"/>
            <w:u w:val="single"/>
          </w:rPr>
          <w:t>https://github.com/anttiluode/GraphNN</w:t>
        </w:r>
      </w:hyperlink>
    </w:p>
    <w:p>
      <w:pPr>
        <w:spacing w:after="80"/>
        <w:ind w:hanging="312" w:left="312"/>
      </w:pPr>
      <w:r>
        <w:rPr>
          <w:sz w:val="17"/>
        </w:rPr>
        <w:t xml:space="preserve">[5] Burt, P. J., &amp; Adelson, E. H. (1983). The Laplacian pyramid as a compact image code. IEEE Transactions on Communications, 31(4), 532–540. </w:t>
      </w:r>
      <w:hyperlink r:id="rId16">
        <w:r>
          <w:rPr>
            <w:color w:val="1F4E79"/>
            <w:u w:val="single"/>
          </w:rPr>
          <w:t>https://doi.org/10.1109/TCOM.1983.1095851</w:t>
        </w:r>
      </w:hyperlink>
    </w:p>
    <w:p>
      <w:pPr>
        <w:spacing w:after="80"/>
        <w:ind w:hanging="312" w:left="312"/>
      </w:pPr>
      <w:r>
        <w:rPr>
          <w:sz w:val="17"/>
        </w:rPr>
        <w:t xml:space="preserve">[6] Coifman, R. R., &amp; Maggioni, M. (2006). Diffusion wavelets. Applied and Computational Harmonic Analysis, 21(1), 53–94. </w:t>
      </w:r>
      <w:hyperlink r:id="rId17">
        <w:r>
          <w:rPr>
            <w:color w:val="1F4E79"/>
            <w:u w:val="single"/>
          </w:rPr>
          <w:t>https://doi.org/10.1016/j.acha.2006.04.004</w:t>
        </w:r>
      </w:hyperlink>
    </w:p>
    <w:p>
      <w:pPr>
        <w:spacing w:after="80"/>
        <w:ind w:hanging="312" w:left="312"/>
      </w:pPr>
      <w:r>
        <w:rPr>
          <w:sz w:val="17"/>
        </w:rPr>
        <w:t xml:space="preserve">[7] Tishby, N., Pereira, F. C., &amp; Bialek, W. (1999). The information bottleneck method. </w:t>
      </w:r>
      <w:hyperlink r:id="rId18">
        <w:r>
          <w:rPr>
            <w:color w:val="1F4E79"/>
            <w:u w:val="single"/>
          </w:rPr>
          <w:t>https://arxiv.org/abs/physics/0004057</w:t>
        </w:r>
      </w:hyperlink>
    </w:p>
    <w:p>
      <w:pPr>
        <w:spacing w:after="80"/>
        <w:ind w:hanging="312" w:left="312"/>
      </w:pPr>
      <w:r>
        <w:rPr>
          <w:sz w:val="17"/>
        </w:rPr>
        <w:t xml:space="preserve">[8] Koch-Janusz, M., &amp; Ringel, Z. (2018). Mutual information, neural networks and the renormalization group. Nature Physics, 14, 578–582. </w:t>
      </w:r>
      <w:hyperlink r:id="rId19">
        <w:r>
          <w:rPr>
            <w:color w:val="1F4E79"/>
            <w:u w:val="single"/>
          </w:rPr>
          <w:t>https://doi.org/10.1038/s41567-018-0081-4</w:t>
        </w:r>
      </w:hyperlink>
    </w:p>
    <w:p>
      <w:pPr>
        <w:spacing w:after="80"/>
        <w:ind w:hanging="312" w:left="312"/>
      </w:pPr>
      <w:r>
        <w:rPr>
          <w:sz w:val="17"/>
        </w:rPr>
        <w:t xml:space="preserve">[9] Rahaman, N., et al. (2019). On the spectral bias of neural networks. Proceedings of Machine Learning Research, 97, 5301–5310. </w:t>
      </w:r>
      <w:hyperlink r:id="rId20">
        <w:r>
          <w:rPr>
            <w:color w:val="1F4E79"/>
            <w:u w:val="single"/>
          </w:rPr>
          <w:t>https://proceedings.mlr.press/v97/rahaman19a.html</w:t>
        </w:r>
      </w:hyperlink>
    </w:p>
    <w:p>
      <w:pPr>
        <w:spacing w:after="80"/>
        <w:ind w:hanging="312" w:left="312"/>
      </w:pPr>
      <w:r>
        <w:rPr>
          <w:sz w:val="17"/>
        </w:rPr>
        <w:t xml:space="preserve">[10] Xu, Z.-Q. J., Zhang, Y., Luo, T., Xiao, Y., &amp; Ma, Z. (2020). Frequency principle: Fourier analysis sheds light on deep neural networks. Communications in Computational Physics, 28(5), 1746–1767. </w:t>
      </w:r>
      <w:hyperlink r:id="rId21">
        <w:r>
          <w:rPr>
            <w:color w:val="1F4E79"/>
            <w:u w:val="single"/>
          </w:rPr>
          <w:t>https://arxiv.org/abs/1901.06523</w:t>
        </w:r>
      </w:hyperlink>
    </w:p>
    <w:p>
      <w:pPr>
        <w:spacing w:after="80"/>
        <w:ind w:hanging="312" w:left="312"/>
      </w:pPr>
      <w:r>
        <w:rPr>
          <w:sz w:val="17"/>
        </w:rPr>
        <w:t xml:space="preserve">[11] Atick, J. J., &amp; Redlich, A. N. (1992). What does the retina know about natural scenes? Neural Computation, 4(2), 196–210. </w:t>
      </w:r>
      <w:hyperlink r:id="rId22">
        <w:r>
          <w:rPr>
            <w:color w:val="1F4E79"/>
            <w:u w:val="single"/>
          </w:rPr>
          <w:t>https://doi.org/10.1162/neco.1992.4.2.196</w:t>
        </w:r>
      </w:hyperlink>
    </w:p>
    <w:p>
      <w:pPr>
        <w:spacing w:after="80"/>
        <w:ind w:hanging="312" w:left="312"/>
      </w:pPr>
      <w:r>
        <w:rPr>
          <w:sz w:val="17"/>
        </w:rPr>
        <w:t xml:space="preserve">[12] Rao, R. P. N., &amp; Ballard, D. H. (1999). Predictive coding in the visual cortex. Nature Neuroscience, 2, 79–87. </w:t>
      </w:r>
      <w:hyperlink r:id="rId23">
        <w:r>
          <w:rPr>
            <w:color w:val="1F4E79"/>
            <w:u w:val="single"/>
          </w:rPr>
          <w:t>https://doi.org/10.1038/4580</w:t>
        </w:r>
      </w:hyperlink>
    </w:p>
    <w:p>
      <w:pPr>
        <w:spacing w:after="80"/>
        <w:ind w:hanging="312" w:left="312"/>
      </w:pPr>
      <w:r>
        <w:rPr>
          <w:sz w:val="17"/>
        </w:rPr>
        <w:t xml:space="preserve">[13] McClelland, J. L., McNaughton, B. L., &amp; O'Reilly, R. C. (1995). Why there are complementary learning systems in the hippocampus and neocortex. Psychological Review, 102(3), 419–457. </w:t>
      </w:r>
      <w:hyperlink r:id="rId24">
        <w:r>
          <w:rPr>
            <w:color w:val="1F4E79"/>
            <w:u w:val="single"/>
          </w:rPr>
          <w:t>https://doi.org/10.1037/0033-295X.102.3.419</w:t>
        </w:r>
      </w:hyperlink>
    </w:p>
    <w:p>
      <w:pPr>
        <w:spacing w:after="80"/>
        <w:ind w:hanging="312" w:left="312"/>
      </w:pPr>
      <w:r>
        <w:rPr>
          <w:sz w:val="17"/>
        </w:rPr>
        <w:t xml:space="preserve">[14] Varley, T. F., &amp; Hoel, E. (2022). Emergence as the conversion of information: a unifying theory. Philosophical Transactions of the Royal Society A, 380, 20210150. </w:t>
      </w:r>
      <w:hyperlink r:id="rId25">
        <w:r>
          <w:rPr>
            <w:color w:val="1F4E79"/>
            <w:u w:val="single"/>
          </w:rPr>
          <w:t>https://doi.org/10.1098/rsta.2021.0150</w:t>
        </w:r>
      </w:hyperlink>
    </w:p>
    <w:p>
      <w:pPr>
        <w:spacing w:after="80"/>
        <w:ind w:hanging="312" w:left="312"/>
      </w:pPr>
      <w:r>
        <w:rPr>
          <w:sz w:val="17"/>
        </w:rPr>
        <w:t xml:space="preserve">[15] Rotshtein, P., Vuilleumier, P., Winston, J., Driver, J., &amp; Dolan, R. (2007). Distinct and convergent visual processing of high and low spatial-frequency information in faces. Cerebral Cortex, 17(11), 2718–2728. </w:t>
      </w:r>
      <w:hyperlink r:id="rId26">
        <w:r>
          <w:rPr>
            <w:color w:val="1F4E79"/>
            <w:u w:val="single"/>
          </w:rPr>
          <w:t>https://pmc.ncbi.nlm.nih.gov/articles/PMC2600423/</w:t>
        </w:r>
      </w:hyperlink>
    </w:p>
    <w:p>
      <w:pPr>
        <w:spacing w:after="80"/>
        <w:ind w:hanging="312" w:left="312"/>
      </w:pPr>
      <w:r>
        <w:rPr>
          <w:sz w:val="17"/>
        </w:rPr>
        <w:t xml:space="preserve">[16] Mallat, S. (2012). Group invariant scattering. Communications on Pure and Applied Mathematics, 65(10), 1331–1398. </w:t>
      </w:r>
      <w:hyperlink r:id="rId27">
        <w:r>
          <w:rPr>
            <w:color w:val="1F4E79"/>
            <w:u w:val="single"/>
          </w:rPr>
          <w:t>https://doi.org/10.1002/cpa.21413</w:t>
        </w:r>
      </w:hyperlink>
    </w:p>
    <w:sectPr w:rsidR="00FC693F" w:rsidRPr="0006063C" w:rsidSect="00034616">
      <w:headerReference w:type="default" r:id="rId9"/>
      <w:footerReference w:type="default" r:id="rId10"/>
      <w:pgSz w:w="12240" w:h="15840"/>
      <w:pgMar w:top="1276" w:right="1332" w:bottom="1134" w:left="1332"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5A5A5A"/>
        <w:sz w:val="16"/>
      </w:rPr>
      <w:t>INFORMATIONAL SPECTRA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spacing w:after="120" w:line="259" w:lineRule="auto"/>
      <w:ind w:left="397" w:right="397"/>
    </w:pPr>
    <w:rPr>
      <w:rFonts w:ascii="Aptos" w:hAnsi="Aptos"/>
      <w:i w:val="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anttiluode/Sihti" TargetMode="External"/><Relationship Id="rId13" Type="http://schemas.openxmlformats.org/officeDocument/2006/relationships/hyperlink" Target="https://github.com/anttiluode/Naula" TargetMode="External"/><Relationship Id="rId14" Type="http://schemas.openxmlformats.org/officeDocument/2006/relationships/hyperlink" Target="https://github.com/anttiluode/SihtiResponseGraph" TargetMode="External"/><Relationship Id="rId15" Type="http://schemas.openxmlformats.org/officeDocument/2006/relationships/hyperlink" Target="https://github.com/anttiluode/GraphNN" TargetMode="External"/><Relationship Id="rId16" Type="http://schemas.openxmlformats.org/officeDocument/2006/relationships/hyperlink" Target="https://doi.org/10.1109/TCOM.1983.1095851" TargetMode="External"/><Relationship Id="rId17" Type="http://schemas.openxmlformats.org/officeDocument/2006/relationships/hyperlink" Target="https://doi.org/10.1016/j.acha.2006.04.004" TargetMode="External"/><Relationship Id="rId18" Type="http://schemas.openxmlformats.org/officeDocument/2006/relationships/hyperlink" Target="https://arxiv.org/abs/physics/0004057" TargetMode="External"/><Relationship Id="rId19" Type="http://schemas.openxmlformats.org/officeDocument/2006/relationships/hyperlink" Target="https://doi.org/10.1038/s41567-018-0081-4" TargetMode="External"/><Relationship Id="rId20" Type="http://schemas.openxmlformats.org/officeDocument/2006/relationships/hyperlink" Target="https://proceedings.mlr.press/v97/rahaman19a.html" TargetMode="External"/><Relationship Id="rId21" Type="http://schemas.openxmlformats.org/officeDocument/2006/relationships/hyperlink" Target="https://arxiv.org/abs/1901.06523" TargetMode="External"/><Relationship Id="rId22" Type="http://schemas.openxmlformats.org/officeDocument/2006/relationships/hyperlink" Target="https://doi.org/10.1162/neco.1992.4.2.196" TargetMode="External"/><Relationship Id="rId23" Type="http://schemas.openxmlformats.org/officeDocument/2006/relationships/hyperlink" Target="https://doi.org/10.1038/4580" TargetMode="External"/><Relationship Id="rId24" Type="http://schemas.openxmlformats.org/officeDocument/2006/relationships/hyperlink" Target="https://doi.org/10.1037/0033-295X.102.3.419" TargetMode="External"/><Relationship Id="rId25" Type="http://schemas.openxmlformats.org/officeDocument/2006/relationships/hyperlink" Target="https://doi.org/10.1098/rsta.2021.0150" TargetMode="External"/><Relationship Id="rId26" Type="http://schemas.openxmlformats.org/officeDocument/2006/relationships/hyperlink" Target="https://pmc.ncbi.nlm.nih.gov/articles/PMC2600423/" TargetMode="External"/><Relationship Id="rId27" Type="http://schemas.openxmlformats.org/officeDocument/2006/relationships/hyperlink" Target="https://doi.org/10.1002/cpa.214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Informational Spectra</dc:title>
  <dc:subject>Operator-relative spectra of task information, readability, and writability</dc:subject>
  <dc:creator>python-docx</dc:creator>
  <cp:keywords>informational spectra, Sihti, Naula, multiscale information, persistence</cp:keywords>
  <dc:description>Concept paper dated 18 October 2026</dc:description>
  <cp:lastModifiedBy/>
  <cp:revision>1</cp:revision>
  <dcterms:created xsi:type="dcterms:W3CDTF">2013-12-23T23:15:00Z</dcterms:created>
  <dcterms:modified xsi:type="dcterms:W3CDTF">2013-12-23T23:15:00Z</dcterms:modified>
  <cp:category/>
</cp:coreProperties>
</file>