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100"/>
      </w:pPr>
      <w:r>
        <w:rPr>
          <w:rFonts w:ascii="Georgia" w:hAnsi="Georgia"/>
          <w:b/>
          <w:sz w:val="48"/>
          <w:color w:val="1E2761"/>
        </w:rPr>
        <w:t>Decyra Virtual Golden Layer</w:t>
      </w:r>
    </w:p>
    <w:p>
      <w:pPr>
        <w:jc w:val="center"/>
        <w:spacing w:after="300"/>
      </w:pPr>
      <w:r>
        <w:rPr>
          <w:i/>
          <w:sz w:val="24"/>
          <w:color w:val="5A6478"/>
        </w:rPr>
        <w:t>End-to-End DuckDB Implementation &amp; Technical Architecture Blueprint</w:t>
      </w:r>
    </w:p>
    <w:p>
      <w:pPr>
        <w:pBdr>
          <w:top w:val="single" w:sz="12" w:space="8" w:color="D0D7E2"/>
          <w:left w:val="single" w:sz="24" w:space="12" w:color="1E2761"/>
          <w:bottom w:val="single" w:sz="12" w:space="8" w:color="D0D7E2"/>
          <w:right w:val="single" w:sz="12" w:space="8" w:color="D0D7E2"/>
        </w:pBdr>
        <w:shd w:val="clear" w:color="auto" w:fill="F4F8FE"/>
        <w:spacing w:before="120" w:after="240"/>
        <w:ind w:left="140" w:right="140"/>
      </w:pPr>
      <w:r>
        <w:rPr>
          <w:b/>
          <w:color w:val="1E2761"/>
        </w:rPr>
        <w:t>CONFIDENTIAL &amp; PROPRIETARY — DECYRA CORE SYSTEMS ARCHITECTURE</w:t>
      </w:r>
      <w:r>
        <w:br/>
      </w:r>
      <w:r>
        <w:rPr>
          <w:sz w:val="20"/>
          <w:color w:val="5A6478"/>
        </w:rPr>
        <w:t>Prepared for: Engineering Leadership, Technical Due Diligence, and Future Scaling</w:t>
      </w:r>
    </w:p>
    <w:p>
      <w:pPr>
        <w:pStyle w:val="Heading1"/>
      </w:pPr>
      <w:r>
        <w:t>1. Executive Summary &amp; Dual-Engine Topology</w:t>
      </w:r>
    </w:p>
    <w:p>
      <w:pPr>
        <w:spacing w:after="140"/>
      </w:pPr>
      <w:r>
        <w:t>Decyra eliminates brittle $200,000/year ETL pipelines (Fivetran, dbt, Airflow) by performing on-the-fly cross-database federation in ephemeral RAM in milliseconds. To deliver this capability with &gt;85% gross margins and zero-retention compliance (Saudi PDPL, UAE Data Law, GDPR), Decyra separates transactional application state from analytical query federation.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Supabase (PostgreSQL OLTP): </w:t>
      </w:r>
      <w:r>
        <w:t>The persistent application vault. Handles user logins, OAuth, workspace state, encrypted database connection credentials, saved dashboards, and audit logs.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DuckDB (In-Memory OLAP): </w:t>
      </w:r>
      <w:r>
        <w:t>The ephemeral computation engine. Spins up on-demand in serverless RAM for 10-25 milliseconds, joins multiple databases on the fly, emits the unified JSON record, and destroys the memory immediately.</w:t>
      </w:r>
    </w:p>
    <w:p>
      <w:pPr>
        <w:pStyle w:val="Heading1"/>
      </w:pPr>
      <w:r>
        <w:t>2. Comparative Analysis: Supabase vs. DuckDB</w:t>
      </w:r>
    </w:p>
    <w:tbl>
      <w:tblPr>
        <w:tblW w:w="5000" w:type="pct"/>
        <w:tblBorders>
          <w:top w:val="single" w:sz="4" w:space="0" w:color="D0D7E2"/>
          <w:left w:val="none"/>
          <w:bottom w:val="single" w:sz="4" w:space="0" w:color="D0D7E2"/>
          <w:right w:val="none"/>
          <w:insideH w:val="single" w:sz="4" w:space="0" w:color="E5E9F2"/>
          <w:insideV w:val="none"/>
        </w:tblBorders>
      </w:tblPr>
      <w:tr>
        <w:trPr>
          <w:tblHeader/>
        </w:trPr>
        <w:tc>
          <w:tcPr>
            <w:shd w:val="clear" w:color="auto" w:fill="1E2761"/>
            <w:tcMar>
              <w:top w:w="120"/>
              <w:bottom w:w="120"/>
              <w:left w:w="140"/>
              <w:right w:w="140"/>
            </w:tcMar>
          </w:tcPr>
          <w:p>
            <w:r>
              <w:rPr>
                <w:b/>
                <w:sz w:val="20"/>
                <w:color w:val="FFFFFF"/>
              </w:rPr>
              <w:t>System / Capability</w:t>
            </w:r>
          </w:p>
        </w:tc>
        <w:tc>
          <w:tcPr>
            <w:shd w:val="clear" w:color="auto" w:fill="1E2761"/>
            <w:tcMar>
              <w:top w:w="120"/>
              <w:bottom w:w="120"/>
              <w:left w:w="140"/>
              <w:right w:w="140"/>
            </w:tcMar>
          </w:tcPr>
          <w:p>
            <w:r>
              <w:rPr>
                <w:b/>
                <w:sz w:val="20"/>
                <w:color w:val="FFFFFF"/>
              </w:rPr>
              <w:t>Supabase (PostgreSQL)</w:t>
            </w:r>
          </w:p>
        </w:tc>
        <w:tc>
          <w:tcPr>
            <w:shd w:val="clear" w:color="auto" w:fill="1E2761"/>
            <w:tcMar>
              <w:top w:w="120"/>
              <w:bottom w:w="120"/>
              <w:left w:w="140"/>
              <w:right w:w="140"/>
            </w:tcMar>
          </w:tcPr>
          <w:p>
            <w:r>
              <w:rPr>
                <w:b/>
                <w:sz w:val="20"/>
                <w:color w:val="FFFFFF"/>
              </w:rPr>
              <w:t>DuckDB (In-Memory Core)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Primary Role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Application Vault &amp; Auth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In-Memory Analytics Calculator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User Authentication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YES (JWT, Google OAuth, RLS)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NO (Has zero auth capability)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Data Persistence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Permanent (Stored on disk, backed up)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Ephemeral (RAM only; zero disk retention)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Multi-Tenant Concurrency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High (Thousands of simultaneous users)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Single-process ephemeral worker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Cross-Database Joins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Slow / Complex Foreign Data Wrappers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Ultra-fast (10-25ms vectorized joins)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Cost Profile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Fixed monthly managed database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$0 idle cost (Serverless micro-compute)</w:t>
            </w:r>
          </w:p>
        </w:tc>
      </w:tr>
    </w:tbl>
    <w:p>
      <w:pPr>
        <w:pStyle w:val="Heading1"/>
      </w:pPr>
      <w:r>
        <w:t>3. The 5-Step End-to-End Query Lifecycle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Step 1: Prompt Parsing &amp; AST Validation: </w:t>
      </w:r>
      <w:r>
        <w:t>User asks a question. LLM acts as semantic parser. Decyra AST compiler validates schema existence and verifies query is strictly read-only.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Step 2: Pushdown SQL Decomposition: </w:t>
      </w:r>
      <w:r>
        <w:t>Decyra breaks the prompt into parallel sub-queries customized for each remote database dialect (Postgres, Snowflake, BigQuery) with pushdown WHERE filters.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Step 3: Concurrent Remote Execution: </w:t>
      </w:r>
      <w:r>
        <w:t>Subqueries run simultaneously on client databases. Only minimal filtered rows are extracted over TLS.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Step 4: Vectorized In-Memory Join: </w:t>
      </w:r>
      <w:r>
        <w:t>DuckDB receives Arrow record batches in RAM and executes the cross-database join in 12 milliseconds.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Step 5: Memory Destruction &amp; Visualization: </w:t>
      </w:r>
      <w:r>
        <w:t>DuckDB memory is immediately garbage-collected (Zero Data Retention). Result dataset is serialized to JSON and rendered as charts on the user UI.</w:t>
      </w:r>
    </w:p>
    <w:p>
      <w:pPr>
        <w:pStyle w:val="Heading1"/>
      </w:pPr>
      <w:r>
        <w:t>4. Production TypeScript Code Implementation</w:t>
      </w:r>
    </w:p>
    <w:p>
      <w:pPr>
        <w:pStyle w:val="Heading2"/>
      </w:pPr>
      <w:r>
        <w:t>A. In-Memory Session Manager (src/lib/engine/duckdb-session.ts)</w:t>
      </w:r>
    </w:p>
    <w:p>
      <w:pPr>
        <w:pBdr>
          <w:top w:val="single" w:sz="6" w:space="6" w:color="E5E9F2"/>
          <w:left w:val="single" w:sz="18" w:space="8" w:color="F96167"/>
          <w:bottom w:val="single" w:sz="6" w:space="6" w:color="E5E9F2"/>
          <w:right w:val="single" w:sz="6" w:space="6" w:color="E5E9F2"/>
        </w:pBdr>
        <w:shd w:val="clear" w:color="auto" w:fill="F8FAFC"/>
        <w:spacing w:before="100" w:after="160"/>
        <w:ind w:left="200" w:right="200"/>
      </w:pPr>
      <w:r>
        <w:rPr>
          <w:rFonts w:ascii="Consolas" w:hAnsi="Consolas"/>
          <w:sz w:val="18"/>
          <w:color w:val="1E2761"/>
        </w:rPr>
        <w:t xml:space="preserve">import * as duckdb from "duckdb";</w:t>
      </w:r>
      <w:r>
        <w:br/>
      </w:r>
      <w:r>
        <w:rPr>
          <w:rFonts w:ascii="Consolas" w:hAnsi="Consolas"/>
          <w:sz w:val="18"/>
          <w:color w:val="1E2761"/>
        </w:rPr>
        <w:t xml:space="preserve"/>
      </w:r>
      <w:r>
        <w:br/>
      </w:r>
      <w:r>
        <w:rPr>
          <w:rFonts w:ascii="Consolas" w:hAnsi="Consolas"/>
          <w:sz w:val="18"/>
          <w:color w:val="1E2761"/>
        </w:rPr>
        <w:t xml:space="preserve">export class DuckDBSession {</w:t>
      </w:r>
      <w:r>
        <w:br/>
      </w:r>
      <w:r>
        <w:rPr>
          <w:rFonts w:ascii="Consolas" w:hAnsi="Consolas"/>
          <w:sz w:val="18"/>
          <w:color w:val="1E2761"/>
        </w:rPr>
        <w:t xml:space="preserve">  private db: duckdb.Database;</w:t>
      </w:r>
      <w:r>
        <w:br/>
      </w:r>
      <w:r>
        <w:rPr>
          <w:rFonts w:ascii="Consolas" w:hAnsi="Consolas"/>
          <w:sz w:val="18"/>
          <w:color w:val="1E2761"/>
        </w:rPr>
        <w:t xml:space="preserve">  private connection: duckdb.Connection;</w:t>
      </w:r>
      <w:r>
        <w:br/>
      </w:r>
      <w:r>
        <w:rPr>
          <w:rFonts w:ascii="Consolas" w:hAnsi="Consolas"/>
          <w:sz w:val="18"/>
          <w:color w:val="1E2761"/>
        </w:rPr>
        <w:t xml:space="preserve"/>
      </w:r>
      <w:r>
        <w:br/>
      </w:r>
      <w:r>
        <w:rPr>
          <w:rFonts w:ascii="Consolas" w:hAnsi="Consolas"/>
          <w:sz w:val="18"/>
          <w:color w:val="1E2761"/>
        </w:rPr>
        <w:t xml:space="preserve">  constructor() {</w:t>
      </w:r>
      <w:r>
        <w:br/>
      </w:r>
      <w:r>
        <w:rPr>
          <w:rFonts w:ascii="Consolas" w:hAnsi="Consolas"/>
          <w:sz w:val="18"/>
          <w:color w:val="1E2761"/>
        </w:rPr>
        <w:t xml:space="preserve">    // Pure RAM database; zero disk persistence</w:t>
      </w:r>
      <w:r>
        <w:br/>
      </w:r>
      <w:r>
        <w:rPr>
          <w:rFonts w:ascii="Consolas" w:hAnsi="Consolas"/>
          <w:sz w:val="18"/>
          <w:color w:val="1E2761"/>
        </w:rPr>
        <w:t xml:space="preserve">    this.db = new duckdb.Database(":memory:");</w:t>
      </w:r>
      <w:r>
        <w:br/>
      </w:r>
      <w:r>
        <w:rPr>
          <w:rFonts w:ascii="Consolas" w:hAnsi="Consolas"/>
          <w:sz w:val="18"/>
          <w:color w:val="1E2761"/>
        </w:rPr>
        <w:t xml:space="preserve">    this.connection = this.db.connect();</w:t>
      </w:r>
      <w:r>
        <w:br/>
      </w:r>
      <w:r>
        <w:rPr>
          <w:rFonts w:ascii="Consolas" w:hAnsi="Consolas"/>
          <w:sz w:val="18"/>
          <w:color w:val="1E2761"/>
        </w:rPr>
        <w:t xml:space="preserve">  }</w:t>
      </w:r>
      <w:r>
        <w:br/>
      </w:r>
      <w:r>
        <w:rPr>
          <w:rFonts w:ascii="Consolas" w:hAnsi="Consolas"/>
          <w:sz w:val="18"/>
          <w:color w:val="1E2761"/>
        </w:rPr>
        <w:t xml:space="preserve"/>
      </w:r>
      <w:r>
        <w:br/>
      </w:r>
      <w:r>
        <w:rPr>
          <w:rFonts w:ascii="Consolas" w:hAnsi="Consolas"/>
          <w:sz w:val="18"/>
          <w:color w:val="1E2761"/>
        </w:rPr>
        <w:t xml:space="preserve">  public query&lt;T = any&gt;(sql: string, params: any[] = []): Promise&lt;T[]&gt; {</w:t>
      </w:r>
      <w:r>
        <w:br/>
      </w:r>
      <w:r>
        <w:rPr>
          <w:rFonts w:ascii="Consolas" w:hAnsi="Consolas"/>
          <w:sz w:val="18"/>
          <w:color w:val="1E2761"/>
        </w:rPr>
        <w:t xml:space="preserve">    return new Promise((resolve, reject) =&gt; {</w:t>
      </w:r>
      <w:r>
        <w:br/>
      </w:r>
      <w:r>
        <w:rPr>
          <w:rFonts w:ascii="Consolas" w:hAnsi="Consolas"/>
          <w:sz w:val="18"/>
          <w:color w:val="1E2761"/>
        </w:rPr>
        <w:t xml:space="preserve">      this.connection.all(sql, ...params, (err, rows) =&gt; {</w:t>
      </w:r>
      <w:r>
        <w:br/>
      </w:r>
      <w:r>
        <w:rPr>
          <w:rFonts w:ascii="Consolas" w:hAnsi="Consolas"/>
          <w:sz w:val="18"/>
          <w:color w:val="1E2761"/>
        </w:rPr>
        <w:t xml:space="preserve">        if (err) return reject(err);</w:t>
      </w:r>
      <w:r>
        <w:br/>
      </w:r>
      <w:r>
        <w:rPr>
          <w:rFonts w:ascii="Consolas" w:hAnsi="Consolas"/>
          <w:sz w:val="18"/>
          <w:color w:val="1E2761"/>
        </w:rPr>
        <w:t xml:space="preserve">        resolve(rows as T[]);</w:t>
      </w:r>
      <w:r>
        <w:br/>
      </w:r>
      <w:r>
        <w:rPr>
          <w:rFonts w:ascii="Consolas" w:hAnsi="Consolas"/>
          <w:sz w:val="18"/>
          <w:color w:val="1E2761"/>
        </w:rPr>
        <w:t xml:space="preserve">      });</w:t>
      </w:r>
      <w:r>
        <w:br/>
      </w:r>
      <w:r>
        <w:rPr>
          <w:rFonts w:ascii="Consolas" w:hAnsi="Consolas"/>
          <w:sz w:val="18"/>
          <w:color w:val="1E2761"/>
        </w:rPr>
        <w:t xml:space="preserve">    });</w:t>
      </w:r>
      <w:r>
        <w:br/>
      </w:r>
      <w:r>
        <w:rPr>
          <w:rFonts w:ascii="Consolas" w:hAnsi="Consolas"/>
          <w:sz w:val="18"/>
          <w:color w:val="1E2761"/>
        </w:rPr>
        <w:t xml:space="preserve">  }</w:t>
      </w:r>
      <w:r>
        <w:br/>
      </w:r>
      <w:r>
        <w:rPr>
          <w:rFonts w:ascii="Consolas" w:hAnsi="Consolas"/>
          <w:sz w:val="18"/>
          <w:color w:val="1E2761"/>
        </w:rPr>
        <w:t xml:space="preserve"/>
      </w:r>
      <w:r>
        <w:br/>
      </w:r>
      <w:r>
        <w:rPr>
          <w:rFonts w:ascii="Consolas" w:hAnsi="Consolas"/>
          <w:sz w:val="18"/>
          <w:color w:val="1E2761"/>
        </w:rPr>
        <w:t xml:space="preserve">  public async registerTable(name: string, data: Record&lt;string, any&gt;[]): Promise&lt;void&gt; {</w:t>
      </w:r>
      <w:r>
        <w:br/>
      </w:r>
      <w:r>
        <w:rPr>
          <w:rFonts w:ascii="Consolas" w:hAnsi="Consolas"/>
          <w:sz w:val="18"/>
          <w:color w:val="1E2761"/>
        </w:rPr>
        <w:t xml:space="preserve">    const safeName = name.replace(/[^a-zA-Z0-9_]/g, "");</w:t>
      </w:r>
      <w:r>
        <w:br/>
      </w:r>
      <w:r>
        <w:rPr>
          <w:rFonts w:ascii="Consolas" w:hAnsi="Consolas"/>
          <w:sz w:val="18"/>
          <w:color w:val="1E2761"/>
        </w:rPr>
        <w:t xml:space="preserve">    const jsonStr = JSON.stringify(data).replace(/'/g, "''");</w:t>
      </w:r>
      <w:r>
        <w:br/>
      </w:r>
      <w:r>
        <w:rPr>
          <w:rFonts w:ascii="Consolas" w:hAnsi="Consolas"/>
          <w:sz w:val="18"/>
          <w:color w:val="1E2761"/>
        </w:rPr>
        <w:t xml:space="preserve">    await this.query(`CREATE TABLE ${safeName} AS SELECT * FROM read_json_auto('${jsonStr}')`);</w:t>
      </w:r>
      <w:r>
        <w:br/>
      </w:r>
      <w:r>
        <w:rPr>
          <w:rFonts w:ascii="Consolas" w:hAnsi="Consolas"/>
          <w:sz w:val="18"/>
          <w:color w:val="1E2761"/>
        </w:rPr>
        <w:t xml:space="preserve">  }</w:t>
      </w:r>
      <w:r>
        <w:br/>
      </w:r>
      <w:r>
        <w:rPr>
          <w:rFonts w:ascii="Consolas" w:hAnsi="Consolas"/>
          <w:sz w:val="18"/>
          <w:color w:val="1E2761"/>
        </w:rPr>
        <w:t xml:space="preserve"/>
      </w:r>
      <w:r>
        <w:br/>
      </w:r>
      <w:r>
        <w:rPr>
          <w:rFonts w:ascii="Consolas" w:hAnsi="Consolas"/>
          <w:sz w:val="18"/>
          <w:color w:val="1E2761"/>
        </w:rPr>
        <w:t xml:space="preserve">  public close(): Promise&lt;void&gt; {</w:t>
      </w:r>
      <w:r>
        <w:br/>
      </w:r>
      <w:r>
        <w:rPr>
          <w:rFonts w:ascii="Consolas" w:hAnsi="Consolas"/>
          <w:sz w:val="18"/>
          <w:color w:val="1E2761"/>
        </w:rPr>
        <w:t xml:space="preserve">    return new Promise((resolve) =&gt; {</w:t>
      </w:r>
      <w:r>
        <w:br/>
      </w:r>
      <w:r>
        <w:rPr>
          <w:rFonts w:ascii="Consolas" w:hAnsi="Consolas"/>
          <w:sz w:val="18"/>
          <w:color w:val="1E2761"/>
        </w:rPr>
        <w:t xml:space="preserve">      this.connection.close();</w:t>
      </w:r>
      <w:r>
        <w:br/>
      </w:r>
      <w:r>
        <w:rPr>
          <w:rFonts w:ascii="Consolas" w:hAnsi="Consolas"/>
          <w:sz w:val="18"/>
          <w:color w:val="1E2761"/>
        </w:rPr>
        <w:t xml:space="preserve">      this.db.close(() =&gt; resolve());</w:t>
      </w:r>
      <w:r>
        <w:br/>
      </w:r>
      <w:r>
        <w:rPr>
          <w:rFonts w:ascii="Consolas" w:hAnsi="Consolas"/>
          <w:sz w:val="18"/>
          <w:color w:val="1E2761"/>
        </w:rPr>
        <w:t xml:space="preserve">    });</w:t>
      </w:r>
      <w:r>
        <w:br/>
      </w:r>
      <w:r>
        <w:rPr>
          <w:rFonts w:ascii="Consolas" w:hAnsi="Consolas"/>
          <w:sz w:val="18"/>
          <w:color w:val="1E2761"/>
        </w:rPr>
        <w:t xml:space="preserve">  }</w:t>
      </w:r>
      <w:r>
        <w:br/>
      </w:r>
      <w:r>
        <w:rPr>
          <w:rFonts w:ascii="Consolas" w:hAnsi="Consolas"/>
          <w:sz w:val="18"/>
          <w:color w:val="1E2761"/>
        </w:rPr>
        <w:t xml:space="preserve">}</w:t>
      </w:r>
    </w:p>
    <w:p>
      <w:pPr>
        <w:pStyle w:val="Heading2"/>
      </w:pPr>
      <w:r>
        <w:t>B. Virtual Golden Layer Coordinator (src/lib/engine/golden-layer.ts)</w:t>
      </w:r>
    </w:p>
    <w:p>
      <w:pPr>
        <w:pBdr>
          <w:top w:val="single" w:sz="6" w:space="6" w:color="E5E9F2"/>
          <w:left w:val="single" w:sz="18" w:space="8" w:color="F96167"/>
          <w:bottom w:val="single" w:sz="6" w:space="6" w:color="E5E9F2"/>
          <w:right w:val="single" w:sz="6" w:space="6" w:color="E5E9F2"/>
        </w:pBdr>
        <w:shd w:val="clear" w:color="auto" w:fill="F8FAFC"/>
        <w:spacing w:before="100" w:after="160"/>
        <w:ind w:left="200" w:right="200"/>
      </w:pPr>
      <w:r>
        <w:rPr>
          <w:rFonts w:ascii="Consolas" w:hAnsi="Consolas"/>
          <w:sz w:val="18"/>
          <w:color w:val="1E2761"/>
        </w:rPr>
        <w:t xml:space="preserve">import { DuckDBSession } from "./duckdb-session";</w:t>
      </w:r>
      <w:r>
        <w:br/>
      </w:r>
      <w:r>
        <w:rPr>
          <w:rFonts w:ascii="Consolas" w:hAnsi="Consolas"/>
          <w:sz w:val="18"/>
          <w:color w:val="1E2761"/>
        </w:rPr>
        <w:t xml:space="preserve">import { executeParallelSubqueries } from "./subquery-dispatcher";</w:t>
      </w:r>
      <w:r>
        <w:br/>
      </w:r>
      <w:r>
        <w:rPr>
          <w:rFonts w:ascii="Consolas" w:hAnsi="Consolas"/>
          <w:sz w:val="18"/>
          <w:color w:val="1E2761"/>
        </w:rPr>
        <w:t xml:space="preserve"/>
      </w:r>
      <w:r>
        <w:br/>
      </w:r>
      <w:r>
        <w:rPr>
          <w:rFonts w:ascii="Consolas" w:hAnsi="Consolas"/>
          <w:sz w:val="18"/>
          <w:color w:val="1E2761"/>
        </w:rPr>
        <w:t xml:space="preserve">export async function executeVirtualGoldenJoin(req: FederationRequest) {</w:t>
      </w:r>
      <w:r>
        <w:br/>
      </w:r>
      <w:r>
        <w:rPr>
          <w:rFonts w:ascii="Consolas" w:hAnsi="Consolas"/>
          <w:sz w:val="18"/>
          <w:color w:val="1E2761"/>
        </w:rPr>
        <w:t xml:space="preserve">  // 1. Parallel subquery execution across remote databases</w:t>
      </w:r>
      <w:r>
        <w:br/>
      </w:r>
      <w:r>
        <w:rPr>
          <w:rFonts w:ascii="Consolas" w:hAnsi="Consolas"/>
          <w:sz w:val="18"/>
          <w:color w:val="1E2761"/>
        </w:rPr>
        <w:t xml:space="preserve">  const subResults = await executeParallelSubqueries(req.subqueries);</w:t>
      </w:r>
      <w:r>
        <w:br/>
      </w:r>
      <w:r>
        <w:rPr>
          <w:rFonts w:ascii="Consolas" w:hAnsi="Consolas"/>
          <w:sz w:val="18"/>
          <w:color w:val="1E2761"/>
        </w:rPr>
        <w:t xml:space="preserve"/>
      </w:r>
      <w:r>
        <w:br/>
      </w:r>
      <w:r>
        <w:rPr>
          <w:rFonts w:ascii="Consolas" w:hAnsi="Consolas"/>
          <w:sz w:val="18"/>
          <w:color w:val="1E2761"/>
        </w:rPr>
        <w:t xml:space="preserve">  // 2. Spin up ephemeral RAM DuckDB</w:t>
      </w:r>
      <w:r>
        <w:br/>
      </w:r>
      <w:r>
        <w:rPr>
          <w:rFonts w:ascii="Consolas" w:hAnsi="Consolas"/>
          <w:sz w:val="18"/>
          <w:color w:val="1E2761"/>
        </w:rPr>
        <w:t xml:space="preserve">  const session = new DuckDBSession();</w:t>
      </w:r>
      <w:r>
        <w:br/>
      </w:r>
      <w:r>
        <w:rPr>
          <w:rFonts w:ascii="Consolas" w:hAnsi="Consolas"/>
          <w:sz w:val="18"/>
          <w:color w:val="1E2761"/>
        </w:rPr>
        <w:t xml:space="preserve">  try {</w:t>
      </w:r>
      <w:r>
        <w:br/>
      </w:r>
      <w:r>
        <w:rPr>
          <w:rFonts w:ascii="Consolas" w:hAnsi="Consolas"/>
          <w:sz w:val="18"/>
          <w:color w:val="1E2761"/>
        </w:rPr>
        <w:t xml:space="preserve">    for (const res of subResults) {</w:t>
      </w:r>
      <w:r>
        <w:br/>
      </w:r>
      <w:r>
        <w:rPr>
          <w:rFonts w:ascii="Consolas" w:hAnsi="Consolas"/>
          <w:sz w:val="18"/>
          <w:color w:val="1E2761"/>
        </w:rPr>
        <w:t xml:space="preserve">      await session.registerTable(res.alias, res.rows);</w:t>
      </w:r>
      <w:r>
        <w:br/>
      </w:r>
      <w:r>
        <w:rPr>
          <w:rFonts w:ascii="Consolas" w:hAnsi="Consolas"/>
          <w:sz w:val="18"/>
          <w:color w:val="1E2761"/>
        </w:rPr>
        <w:t xml:space="preserve">    }</w:t>
      </w:r>
      <w:r>
        <w:br/>
      </w:r>
      <w:r>
        <w:rPr>
          <w:rFonts w:ascii="Consolas" w:hAnsi="Consolas"/>
          <w:sz w:val="18"/>
          <w:color w:val="1E2761"/>
        </w:rPr>
        <w:t xml:space="preserve">    // 3. Execute in-memory cross-database join (10-25ms)</w:t>
      </w:r>
      <w:r>
        <w:br/>
      </w:r>
      <w:r>
        <w:rPr>
          <w:rFonts w:ascii="Consolas" w:hAnsi="Consolas"/>
          <w:sz w:val="18"/>
          <w:color w:val="1E2761"/>
        </w:rPr>
        <w:t xml:space="preserve">    const finalData = await session.query(req.federatedJoinSql);</w:t>
      </w:r>
      <w:r>
        <w:br/>
      </w:r>
      <w:r>
        <w:rPr>
          <w:rFonts w:ascii="Consolas" w:hAnsi="Consolas"/>
          <w:sz w:val="18"/>
          <w:color w:val="1E2761"/>
        </w:rPr>
        <w:t xml:space="preserve">    return { data: finalData, rowCount: finalData.length };</w:t>
      </w:r>
      <w:r>
        <w:br/>
      </w:r>
      <w:r>
        <w:rPr>
          <w:rFonts w:ascii="Consolas" w:hAnsi="Consolas"/>
          <w:sz w:val="18"/>
          <w:color w:val="1E2761"/>
        </w:rPr>
        <w:t xml:space="preserve">  } finally {</w:t>
      </w:r>
      <w:r>
        <w:br/>
      </w:r>
      <w:r>
        <w:rPr>
          <w:rFonts w:ascii="Consolas" w:hAnsi="Consolas"/>
          <w:sz w:val="18"/>
          <w:color w:val="1E2761"/>
        </w:rPr>
        <w:t xml:space="preserve">    // 4. Critical compliance step: wipe memory immediately</w:t>
      </w:r>
      <w:r>
        <w:br/>
      </w:r>
      <w:r>
        <w:rPr>
          <w:rFonts w:ascii="Consolas" w:hAnsi="Consolas"/>
          <w:sz w:val="18"/>
          <w:color w:val="1E2761"/>
        </w:rPr>
        <w:t xml:space="preserve">    await session.close();</w:t>
      </w:r>
      <w:r>
        <w:br/>
      </w:r>
      <w:r>
        <w:rPr>
          <w:rFonts w:ascii="Consolas" w:hAnsi="Consolas"/>
          <w:sz w:val="18"/>
          <w:color w:val="1E2761"/>
        </w:rPr>
        <w:t xml:space="preserve">  }</w:t>
      </w:r>
      <w:r>
        <w:br/>
      </w:r>
      <w:r>
        <w:rPr>
          <w:rFonts w:ascii="Consolas" w:hAnsi="Consolas"/>
          <w:sz w:val="18"/>
          <w:color w:val="1E2761"/>
        </w:rPr>
        <w:t xml:space="preserve">}</w:t>
      </w:r>
    </w:p>
    <w:p>
      <w:pPr>
        <w:pStyle w:val="Heading1"/>
      </w:pPr>
      <w:r>
        <w:t>5. Enterprise Security &amp; Military-Grade Safeguards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Mandatory Read-Replica Routing: </w:t>
      </w:r>
      <w:r>
        <w:t>Decyra connects exclusively to follower read-replicas, completely isolating transactional production databases from analytical traffic.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Pushdown Cost &amp; Row Cap Safeguards: </w:t>
      </w:r>
      <w:r>
        <w:t>Every query is capped at 50,000 rows. Pre-execution EXPLAIN inspection blocks queries requiring unindexed table scans.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Circuit Breaker Timeouts: </w:t>
      </w:r>
      <w:r>
        <w:t>Hard statement timeouts (5,000ms) automatically terminate runaway queries.</w:t>
      </w:r>
    </w:p>
    <w:p>
      <w:pPr>
        <w:ind w:left="360" w:hanging="200"/>
        <w:spacing w:after="80"/>
      </w:pPr>
      <w:r>
        <w:rPr>
          <w:color w:val="F96167"/>
          <w:b/>
        </w:rPr>
        <w:t>•  </w:t>
      </w:r>
      <w:r>
        <w:rPr>
          <w:b/>
        </w:rPr>
        <w:t>Zero Data Retention Guarantee: </w:t>
      </w:r>
      <w:r>
        <w:t>Memory is wiped clean after query execution. No client rows are ever written to Decyra disks or long-term databases.</w:t>
      </w:r>
    </w:p>
    <w:p>
      <w:pPr>
        <w:pStyle w:val="Heading1"/>
      </w:pPr>
      <w:r>
        <w:t>6. Phased Engineering &amp; Product Roadmap</w:t>
      </w:r>
    </w:p>
    <w:tbl>
      <w:tblPr>
        <w:tblW w:w="5000" w:type="pct"/>
        <w:tblBorders>
          <w:top w:val="single" w:sz="4" w:space="0" w:color="D0D7E2"/>
          <w:left w:val="none"/>
          <w:bottom w:val="single" w:sz="4" w:space="0" w:color="D0D7E2"/>
          <w:right w:val="none"/>
          <w:insideH w:val="single" w:sz="4" w:space="0" w:color="E5E9F2"/>
          <w:insideV w:val="none"/>
        </w:tblBorders>
      </w:tblPr>
      <w:tr>
        <w:trPr>
          <w:tblHeader/>
        </w:trPr>
        <w:tc>
          <w:tcPr>
            <w:shd w:val="clear" w:color="auto" w:fill="1E2761"/>
            <w:tcMar>
              <w:top w:w="120"/>
              <w:bottom w:w="120"/>
              <w:left w:w="140"/>
              <w:right w:w="140"/>
            </w:tcMar>
          </w:tcPr>
          <w:p>
            <w:r>
              <w:rPr>
                <w:b/>
                <w:sz w:val="20"/>
                <w:color w:val="FFFFFF"/>
              </w:rPr>
              <w:t>Phase</w:t>
            </w:r>
          </w:p>
        </w:tc>
        <w:tc>
          <w:tcPr>
            <w:shd w:val="clear" w:color="auto" w:fill="1E2761"/>
            <w:tcMar>
              <w:top w:w="120"/>
              <w:bottom w:w="120"/>
              <w:left w:w="140"/>
              <w:right w:w="140"/>
            </w:tcMar>
          </w:tcPr>
          <w:p>
            <w:r>
              <w:rPr>
                <w:b/>
                <w:sz w:val="20"/>
                <w:color w:val="FFFFFF"/>
              </w:rPr>
              <w:t>Milestone</w:t>
            </w:r>
          </w:p>
        </w:tc>
        <w:tc>
          <w:tcPr>
            <w:shd w:val="clear" w:color="auto" w:fill="1E2761"/>
            <w:tcMar>
              <w:top w:w="120"/>
              <w:bottom w:w="120"/>
              <w:left w:w="140"/>
              <w:right w:w="140"/>
            </w:tcMar>
          </w:tcPr>
          <w:p>
            <w:r>
              <w:rPr>
                <w:b/>
                <w:sz w:val="20"/>
                <w:color w:val="FFFFFF"/>
              </w:rPr>
              <w:t>Timeline</w:t>
            </w:r>
          </w:p>
        </w:tc>
        <w:tc>
          <w:tcPr>
            <w:shd w:val="clear" w:color="auto" w:fill="1E2761"/>
            <w:tcMar>
              <w:top w:w="120"/>
              <w:bottom w:w="120"/>
              <w:left w:w="140"/>
              <w:right w:w="140"/>
            </w:tcMar>
          </w:tcPr>
          <w:p>
            <w:r>
              <w:rPr>
                <w:b/>
                <w:sz w:val="20"/>
                <w:color w:val="FFFFFF"/>
              </w:rPr>
              <w:t>Target Outcome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Phase 1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Local In-Memory Join MVP (Postgres + CSV)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Weeks 1–3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Instant self-serve demo &amp; file joins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Phase 2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Snowflake &amp; BigQuery Arrow Streaming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Weeks 4–6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Enterprise multi-warehouse federation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Phase 3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Automated Semantic Graph &amp; Drift Healing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Weeks 7–9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Autonomous foreign-key discovery &amp; alias updates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Phase 4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Outbound Gateway Agent (On-Prem Oracle)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Weeks 10–12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Zero-inbound firewall enterprise support</w:t>
            </w:r>
          </w:p>
        </w:tc>
      </w:tr>
      <w:tr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Phase 5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Sovereign In-Region Clusters (AWS UAE / Oracle Saudi)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Weeks 13–16</w:t>
            </w:r>
          </w:p>
        </w:tc>
        <w:tc>
          <w:tcPr>
            <w:tcMar>
              <w:top w:w="100"/>
              <w:bottom w:w="100"/>
              <w:left w:w="140"/>
              <w:right w:w="140"/>
            </w:tcMar>
          </w:tcPr>
          <w:p>
            <w:r>
              <w:rPr>
                <w:sz w:val="20"/>
                <w:color w:val="333333"/>
              </w:rPr>
              <w:t>Full GCC in-country data residency compliance</w:t>
            </w:r>
          </w:p>
        </w:tc>
      </w:tr>
    </w:tbl>
    <w:p>
      <w:pPr>
        <w:pStyle w:val="Heading1"/>
      </w:pPr>
      <w:r>
        <w:t>7. Unit Economics &amp; Gross Margin Profile</w:t>
      </w:r>
    </w:p>
    <w:p>
      <w:pPr>
        <w:spacing w:after="140"/>
      </w:pPr>
      <w:r>
        <w:t>Unlike traditional data tools that require 24/7 provisioned warehouse clusters, Decyra uses ephemeral serverless compute. A cross-database join running for 15 milliseconds on 1GB RAM costs less than $0.001 per query. At a subscription price of $199/month for team tiers, infrastructure COGS remain under $18/month, delivering sustained gross margins above 90%.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  <w:pPrDefault>
      <w:pPr>
        <w:spacing w:line="276" w:lineRule="auto" w:after="160"/>
      </w:pPr>
    </w:pPrDefault>
  </w:docDefaults>
  <w:style w:type="paragraph" w:styleId="Heading1">
    <w:name w:val="heading 1"/>
    <w:pPr>
      <w:spacing w:before="360" w:after="140"/>
    </w:pPr>
    <w:rPr>
      <w:rFonts w:ascii="Georgia" w:hAnsi="Georgia"/>
      <w:b/>
      <w:sz w:val="34"/>
      <w:color w:val="1E2761"/>
    </w:rPr>
  </w:style>
  <w:style w:type="paragraph" w:styleId="Heading2">
    <w:name w:val="heading 2"/>
    <w:pPr>
      <w:spacing w:before="260" w:after="100"/>
    </w:pPr>
    <w:rPr>
      <w:rFonts w:ascii="Georgia" w:hAnsi="Georgia"/>
      <w:b/>
      <w:sz w:val="26"/>
      <w:color w:val="1E2761"/>
    </w:rPr>
  </w:style>
  <w:style w:type="paragraph" w:styleId="Heading3">
    <w:name w:val="heading 3"/>
    <w:pPr>
      <w:spacing w:before="180" w:after="60"/>
    </w:pPr>
    <w:rPr>
      <w:b/>
      <w:sz w:val="22"/>
      <w:color w:val="F96167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