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Mapa de Actores Formato Tabla: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0.0" w:type="dxa"/>
        <w:jc w:val="left"/>
        <w:tblInd w:w="-1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1530"/>
        <w:gridCol w:w="3750"/>
        <w:gridCol w:w="930"/>
        <w:gridCol w:w="1575"/>
        <w:tblGridChange w:id="0">
          <w:tblGrid>
            <w:gridCol w:w="2085"/>
            <w:gridCol w:w="1530"/>
            <w:gridCol w:w="3750"/>
            <w:gridCol w:w="930"/>
            <w:gridCol w:w="157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 con OBRIX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Influencia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Trabajador independiente / Contratista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Utiliza la plataforma para gestionar obras, presupuestos, materiales, mano de obra, gastos y pagos.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Recibe presupuestos y puede consultar información relacionada con la obra.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Trabajador / Maestro de obra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Secundario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Participa en la obra y sus costos de mano de obra pueden ser registrados en el sistema.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Bajo/Medio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Proveedor de materiales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Secundario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Proporciona materiales y precios utilizados para la gestión de costos y presupuestos.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de OBRIX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Interno/Administrativo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Administra usuarios y aspectos generales de la plataforma.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Pasarela de pagos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Externo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Procesa y confirma transacciones cuando corresponda.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Mapa de Actores Formato Diagrama:</w:t>
      </w: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378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