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before="0" w:lineRule="auto"/>
        <w:rPr>
          <w:b w:val="1"/>
          <w:sz w:val="46"/>
          <w:szCs w:val="46"/>
        </w:rPr>
      </w:pPr>
      <w:bookmarkStart w:colFirst="0" w:colLast="0" w:name="_t2ikxgaee6w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Proyecto final integrador</w:t>
      </w:r>
    </w:p>
    <w:p w:rsidR="00000000" w:rsidDel="00000000" w:rsidP="00000000" w:rsidRDefault="00000000" w:rsidRPr="00000000" w14:paraId="00000002">
      <w:pPr>
        <w:rPr>
          <w:b w:val="1"/>
          <w:color w:val="000066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66"/>
          <w:sz w:val="24"/>
          <w:szCs w:val="24"/>
          <w:highlight w:val="white"/>
          <w:rtl w:val="0"/>
        </w:rPr>
        <w:t xml:space="preserve">Desarrolla una aplicación que tenga un solo activity que cumpla con las siguientes premisas:</w:t>
      </w:r>
    </w:p>
    <w:p w:rsidR="00000000" w:rsidDel="00000000" w:rsidP="00000000" w:rsidRDefault="00000000" w:rsidRPr="00000000" w14:paraId="00000003">
      <w:pPr>
        <w:rPr>
          <w:b w:val="1"/>
          <w:color w:val="0000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line="465.8832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white"/>
          <w:rtl w:val="0"/>
        </w:rPr>
        <w:t xml:space="preserve">Contenga una única pantalla (sin importar el layout elegido) con: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2 cuadros de textos (EditText)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1 botón con el texto “comparar”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1 texto (TextView) que en el que se escriba el resultado de la acción al presionar el botón.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0" w:firstLine="0"/>
        <w:rPr>
          <w:rFonts w:ascii="Merriweather" w:cs="Merriweather" w:eastAsia="Merriweather" w:hAnsi="Merriweather"/>
          <w:b w:val="1"/>
          <w:color w:val="000066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66"/>
          <w:sz w:val="24"/>
          <w:szCs w:val="24"/>
          <w:highlight w:val="white"/>
          <w:rtl w:val="0"/>
        </w:rPr>
        <w:t xml:space="preserve">—---------------------------------------------------------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line="465.8832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white"/>
          <w:rtl w:val="0"/>
        </w:rPr>
        <w:t xml:space="preserve">Asegurarse de que: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Utiliza MVVM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Tiene al menos un test unitario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Tiene al menos un test de UI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0" w:firstLine="0"/>
        <w:rPr>
          <w:rFonts w:ascii="Merriweather" w:cs="Merriweather" w:eastAsia="Merriweather" w:hAnsi="Merriweather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—---------------------------------------------------------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36"/>
          <w:szCs w:val="36"/>
          <w:highlight w:val="white"/>
          <w:rtl w:val="0"/>
        </w:rPr>
        <w:t xml:space="preserve">Función de la aplicación</w:t>
        <w:br w:type="textWrapping"/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Cuando el usuario hace clic en el botón “comparar” debe comparar la entrada de ambos cuadros de texto y escribir en el texto (TextView) si ambas cadenas de caracteres son iguales o no.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rPr>
          <w:rFonts w:ascii="Merriweather" w:cs="Merriweather" w:eastAsia="Merriweather" w:hAnsi="Merriweather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0" w:firstLine="0"/>
        <w:rPr>
          <w:rFonts w:ascii="Merriweather" w:cs="Merriweather" w:eastAsia="Merriweather" w:hAnsi="Merriweather"/>
          <w:b w:val="1"/>
          <w:color w:val="000066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—---------------------------------------------------------</w:t>
      </w:r>
      <w:r w:rsidDel="00000000" w:rsidR="00000000" w:rsidRPr="00000000">
        <w:rPr>
          <w:rFonts w:ascii="Merriweather" w:cs="Merriweather" w:eastAsia="Merriweather" w:hAnsi="Merriweather"/>
          <w:b w:val="1"/>
          <w:color w:val="000066"/>
          <w:sz w:val="24"/>
          <w:szCs w:val="24"/>
          <w:highlight w:val="white"/>
          <w:rtl w:val="0"/>
        </w:rPr>
        <w:t xml:space="preserve">Link Github: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0" w:firstLine="0"/>
        <w:rPr>
          <w:rFonts w:ascii="Merriweather" w:cs="Merriweather" w:eastAsia="Merriweather" w:hAnsi="Merriweather"/>
          <w:b w:val="1"/>
          <w:color w:val="000066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66"/>
          <w:sz w:val="24"/>
          <w:szCs w:val="24"/>
          <w:highlight w:val="white"/>
          <w:rtl w:val="0"/>
        </w:rPr>
        <w:t xml:space="preserve">https://github.com/antumr/Ticmas-Comparador.git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60" w:lineRule="auto"/>
        <w:ind w:left="0" w:firstLine="0"/>
        <w:rPr>
          <w:rFonts w:ascii="Merriweather" w:cs="Merriweather" w:eastAsia="Merriweather" w:hAnsi="Merriweather"/>
          <w:b w:val="1"/>
          <w:color w:val="0000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erriweather" w:cs="Merriweather" w:eastAsia="Merriweather" w:hAnsi="Merriweather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erriweather" w:cs="Merriweather" w:eastAsia="Merriweather" w:hAnsi="Merriweather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erriweather" w:cs="Merriweather" w:eastAsia="Merriweather" w:hAnsi="Merriweather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Merriweather" w:cs="Merriweather" w:eastAsia="Merriweather" w:hAnsi="Merriweather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erriweather" w:cs="Merriweather" w:eastAsia="Merriweather" w:hAnsi="Merriweather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