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aorlpm2ruyg5" w:id="0"/>
      <w:bookmarkEnd w:id="0"/>
      <w:r w:rsidDel="00000000" w:rsidR="00000000" w:rsidRPr="00000000">
        <w:rPr>
          <w:rtl w:val="0"/>
        </w:rPr>
        <w:t xml:space="preserve">Jalon 11 - intégration ESXi et VLAN switches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retrouve ici les Vlan gérés qui sont ensuite transmis par liaison montantes au switch de l’ESXi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Ces ports sont configurés en Trunk afin de gérer l’ensemble des Vlan communicants avec le coeur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Les ports en mode access étaient utilisés pour effectuer des tests entre les 2 réseaux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GigabitEthernet1/0/1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encapsulation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dot1q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GigabitEthernet1/0/2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encapsulation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dot1q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GigabitEthernet1/0/22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encapsulation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dot1q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10,20,30,99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GigabitEthernet1/0/23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encapsulation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dot1q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10,30,99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GigabitEthernet1/0/24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encapsulation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dot1q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10,20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switchport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trunk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address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address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address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Vlan99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address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15"/>
          <w:szCs w:val="15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