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before="0" w:line="288" w:lineRule="auto"/>
        <w:jc w:val="center"/>
        <w:rPr/>
      </w:pPr>
      <w:bookmarkStart w:colFirst="0" w:colLast="0" w:name="_686lv8shw0x" w:id="0"/>
      <w:bookmarkEnd w:id="0"/>
      <w:r w:rsidDel="00000000" w:rsidR="00000000" w:rsidRPr="00000000">
        <w:rPr>
          <w:rtl w:val="0"/>
        </w:rPr>
        <w:t xml:space="preserve">Jalon 24 - HQDCSRV GPO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65133" cy="19859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5133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 peut observer les différents GPO créer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843263" cy="260101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263" cy="2601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 GPO concernant l’ouverture de Edge sur la page d’accueil intranet avec l’impossibilité pour les utilisateurs de la modifier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814888" cy="270340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703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Cette GPO permet de mettre un fond d’écran par défaut, l’image situé dans le partage de fichier</w:t>
      </w: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Ici la GPO empêche utilisation par les utilisateurs du panneau de configuration ainsi que l’accès aux paramètres du PC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Une exception est faite afin de permettre aux Administrateurs de lancer ces éléments avec leurs identifiants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