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Антон</w:t>
      </w:r>
      <w:r w:rsidDel="00000000" w:rsidR="00000000" w:rsidRPr="00000000">
        <w:rPr>
          <w:color w:val="1a1b22"/>
          <w:highlight w:val="white"/>
          <w:rtl w:val="0"/>
        </w:rPr>
        <w:t xml:space="preserve"> Желомский, 39-я когорта — 1-й спринт</w:t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1a1b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https://miro.com/app/board/uXjVOwIG_9w=/?share_link_id=837623155369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1a1b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https://docs.google.com/spreadsheets/d/1C4bgWMYo0LK__fh3Wbr6emn7BlRV2NEkb75HmUWWlg4/edit?usp=sharing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10">
      <w:pPr>
        <w:ind w:left="720" w:right="-421.062992125984" w:firstLine="0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438650" cy="9520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1a1b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https://docs.google.com/spreadsheets/d/1C4bgWMYo0LK__fh3Wbr6emn7BlRV2NEkb75HmUWWlg4/edit?usp=sharing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4bgWMYo0LK__fh3Wbr6emn7BlRV2NEkb75HmUWWlg4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wIG_9w=/?share_link_id=837623155369" TargetMode="External"/><Relationship Id="rId7" Type="http://schemas.openxmlformats.org/officeDocument/2006/relationships/hyperlink" Target="https://docs.google.com/spreadsheets/d/1C4bgWMYo0LK__fh3Wbr6emn7BlRV2NEkb75HmUWWlg4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