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Electronic Annex to </w:t>
      </w:r>
    </w:p>
    <w:p>
      <w:pPr>
        <w:pStyle w:val="Normal"/>
        <w:bidi w:val="0"/>
        <w:jc w:val="left"/>
        <w:rPr/>
      </w:pPr>
      <w:r>
        <w:rPr/>
      </w:r>
    </w:p>
    <w:p>
      <w:pPr>
        <w:pStyle w:val="Head"/>
        <w:spacing w:lineRule="auto" w:line="480" w:before="0" w:after="0"/>
        <w:rPr>
          <w:sz w:val="24"/>
          <w:szCs w:val="24"/>
        </w:rPr>
      </w:pPr>
      <w:r>
        <w:rPr>
          <w:rFonts w:ascii="Calibri" w:hAnsi="Calibri"/>
          <w:color w:val="000000"/>
          <w:sz w:val="24"/>
          <w:szCs w:val="24"/>
        </w:rPr>
        <w:t>Structure and properties of alkali aluminosilicate glasses and melts: insights from deep learning</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2 ,4</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bidi w:val="0"/>
        <w:spacing w:before="0" w:after="0"/>
        <w:jc w:val="left"/>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bidi w:val="0"/>
        <w:spacing w:before="0" w:after="0"/>
        <w:jc w:val="left"/>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bidi w:val="0"/>
        <w:spacing w:before="0" w:after="0"/>
        <w:jc w:val="left"/>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Texteprformat"/>
        <w:bidi w:val="0"/>
        <w:spacing w:before="0" w:after="0"/>
        <w:jc w:val="left"/>
        <w:rPr>
          <w:rFonts w:ascii="Times New Roman" w:hAnsi="Times New Roman"/>
          <w:szCs w:val="24"/>
        </w:rPr>
      </w:pPr>
      <w:r>
        <w:rPr>
          <w:rFonts w:cs="Times New Roman"/>
          <w:i/>
          <w:iCs/>
          <w:color w:val="000000"/>
          <w:szCs w:val="24"/>
          <w:vertAlign w:val="superscript"/>
        </w:rPr>
        <w:t>4</w:t>
      </w:r>
      <w:r>
        <w:rPr>
          <w:rFonts w:cs="Times New Roman"/>
          <w:i/>
          <w:iCs/>
          <w:color w:val="000000"/>
          <w:szCs w:val="24"/>
        </w:rPr>
        <w:t>Department of Earth Sciences, Durham University, South Road, Durham, DH1 3LE, UK.</w:t>
      </w:r>
    </w:p>
    <w:p>
      <w:pPr>
        <w:pStyle w:val="Normal"/>
        <w:bidi w:val="0"/>
        <w:spacing w:before="0" w:after="0"/>
        <w:jc w:val="left"/>
        <w:rPr/>
      </w:pPr>
      <w:r>
        <w:rPr>
          <w:i/>
          <w:iCs/>
          <w:sz w:val="24"/>
          <w:szCs w:val="24"/>
        </w:rPr>
        <w:t xml:space="preserve">*Correspondence to: </w:t>
      </w:r>
      <w:r>
        <w:rPr>
          <w:rStyle w:val="InternetLink"/>
          <w:i/>
          <w:iCs/>
          <w:color w:themeColor="hyperlink"/>
          <w:sz w:val="24"/>
          <w:szCs w:val="24"/>
          <w:u w:val="none"/>
        </w:rPr>
        <w:t>lelosq@ipgp.fr</w:t>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r>
        <w:br w:type="page"/>
      </w:r>
    </w:p>
    <w:p>
      <w:pPr>
        <w:pStyle w:val="Normal"/>
        <w:bidi w:val="0"/>
        <w:spacing w:before="0" w:after="0"/>
        <w:jc w:val="left"/>
        <w:rPr>
          <w:rStyle w:val="Hyperlink1"/>
          <w:rFonts w:eastAsia="Times New Roman"/>
          <w:b/>
          <w:b/>
          <w:i/>
          <w:i/>
          <w:iCs/>
          <w:sz w:val="24"/>
          <w:szCs w:val="24"/>
          <w:u w:val="non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spacing w:before="0" w:after="0"/>
        <w:jc w:val="left"/>
        <w:rPr>
          <w:rStyle w:val="Hyperlink1"/>
          <w:rFonts w:eastAsia="Times New Roman"/>
          <w:b/>
          <w:b/>
          <w:i/>
          <w:i/>
          <w:iCs/>
          <w:sz w:val="24"/>
          <w:szCs w:val="24"/>
          <w:u w:val="none"/>
        </w:rPr>
      </w:pPr>
      <w:r>
        <w:rPr/>
      </w:r>
    </w:p>
    <w:p>
      <w:pPr>
        <w:pStyle w:val="Normal"/>
        <w:bidi w:val="0"/>
        <w:spacing w:before="0" w:after="0"/>
        <w:jc w:val="left"/>
        <w:rPr/>
      </w:pPr>
      <w:r>
        <w:rPr>
          <w:rStyle w:val="Hyperlink1"/>
          <w:rFonts w:eastAsia="Times New Roman"/>
          <w:b/>
          <w:i/>
          <w:iCs/>
          <w:sz w:val="24"/>
          <w:szCs w:val="24"/>
          <w:u w:val="none"/>
        </w:rPr>
        <w:t xml:space="preserve">Supplementary Figure 1. </w:t>
      </w:r>
      <w:r>
        <w:rPr>
          <w:rStyle w:val="Hyperlink1"/>
          <w:rFonts w:eastAsia="Times New Roman"/>
          <w:b w:val="false"/>
          <w:bCs w:val="false"/>
          <w:i/>
          <w:iCs/>
          <w:sz w:val="24"/>
          <w:szCs w:val="24"/>
          <w:u w:val="none"/>
        </w:rPr>
        <w:t>Number of training samples, n</w:t>
      </w:r>
      <w:r>
        <w:rPr>
          <w:rStyle w:val="Hyperlink1"/>
          <w:rFonts w:eastAsia="Times New Roman"/>
          <w:i/>
          <w:iCs/>
          <w:sz w:val="24"/>
          <w:szCs w:val="24"/>
          <w:u w:val="none"/>
        </w:rPr>
        <w:t xml:space="preserve">eural network architecture and dropout influence on predictive performance. Predictive performance was documented using the RMSE between viscosity predictions (from eq. 1) and measurements in training, validation and testing data subsets. 3,000 </w:t>
      </w:r>
      <w:r>
        <w:rPr>
          <w:rStyle w:val="Hyperlink1"/>
          <w:rFonts w:eastAsia="Times New Roman"/>
          <w:i/>
          <w:iCs/>
          <w:kern w:val="2"/>
          <w:sz w:val="24"/>
          <w:szCs w:val="24"/>
          <w:u w:val="none"/>
        </w:rPr>
        <w:t>neural networks</w:t>
      </w:r>
      <w:r>
        <w:rPr>
          <w:rStyle w:val="Hyperlink1"/>
          <w:rFonts w:eastAsia="Times New Roman"/>
          <w:i/>
          <w:iCs/>
          <w:sz w:val="24"/>
          <w:szCs w:val="24"/>
          <w:u w:val="none"/>
        </w:rPr>
        <w:t xml:space="preserve"> with randomly selected architectures were selected and trained to obtain those results. The effects of the numbers of </w:t>
      </w:r>
      <w:r>
        <w:rPr>
          <w:rStyle w:val="Hyperlink1"/>
          <w:rFonts w:eastAsia="Times New Roman"/>
          <w:b/>
          <w:bCs/>
          <w:i/>
          <w:iCs/>
          <w:sz w:val="24"/>
          <w:szCs w:val="24"/>
          <w:u w:val="none"/>
        </w:rPr>
        <w:t>(a)</w:t>
      </w:r>
      <w:r>
        <w:rPr>
          <w:rStyle w:val="Hyperlink1"/>
          <w:rFonts w:eastAsia="Times New Roman"/>
          <w:i/>
          <w:iCs/>
          <w:sz w:val="24"/>
          <w:szCs w:val="24"/>
          <w:u w:val="none"/>
        </w:rPr>
        <w:t xml:space="preserve"> compositions in the training data subset, </w:t>
      </w:r>
      <w:r>
        <w:rPr>
          <w:rStyle w:val="Hyperlink1"/>
          <w:rFonts w:eastAsia="Times New Roman"/>
          <w:b/>
          <w:bCs/>
          <w:i/>
          <w:iCs/>
          <w:sz w:val="24"/>
          <w:szCs w:val="24"/>
          <w:u w:val="none"/>
        </w:rPr>
        <w:t>(b)</w:t>
      </w:r>
      <w:r>
        <w:rPr>
          <w:rStyle w:val="Hyperlink1"/>
          <w:rFonts w:eastAsia="Times New Roman"/>
          <w:i/>
          <w:iCs/>
          <w:sz w:val="24"/>
          <w:szCs w:val="24"/>
          <w:u w:val="none"/>
        </w:rPr>
        <w:t xml:space="preserve"> hidden activation units, </w:t>
      </w:r>
      <w:r>
        <w:rPr>
          <w:rStyle w:val="Hyperlink1"/>
          <w:rFonts w:eastAsia="Times New Roman"/>
          <w:b/>
          <w:bCs/>
          <w:i/>
          <w:iCs/>
          <w:sz w:val="24"/>
          <w:szCs w:val="24"/>
          <w:u w:val="none"/>
        </w:rPr>
        <w:t>(c)</w:t>
      </w:r>
      <w:r>
        <w:rPr>
          <w:rStyle w:val="Hyperlink1"/>
          <w:rFonts w:eastAsia="Times New Roman"/>
          <w:i/>
          <w:iCs/>
          <w:sz w:val="24"/>
          <w:szCs w:val="24"/>
          <w:u w:val="none"/>
        </w:rPr>
        <w:t xml:space="preserve"> hidden layers, </w:t>
      </w:r>
      <w:r>
        <w:rPr>
          <w:rStyle w:val="Hyperlink1"/>
          <w:rFonts w:eastAsia="Times New Roman"/>
          <w:b/>
          <w:bCs/>
          <w:i/>
          <w:iCs/>
          <w:sz w:val="24"/>
          <w:szCs w:val="24"/>
          <w:u w:val="none"/>
        </w:rPr>
        <w:t>(d)</w:t>
      </w:r>
      <w:r>
        <w:rPr>
          <w:rStyle w:val="Hyperlink1"/>
          <w:rFonts w:eastAsia="Times New Roman"/>
          <w:i/>
          <w:iCs/>
          <w:sz w:val="24"/>
          <w:szCs w:val="24"/>
          <w:u w:val="none"/>
        </w:rPr>
        <w:t xml:space="preserve"> number of activation units per layer, and of the dropout probability </w:t>
      </w:r>
      <w:r>
        <w:rPr>
          <w:rStyle w:val="Hyperlink1"/>
          <w:rFonts w:eastAsia="Times New Roman"/>
          <w:b/>
          <w:bCs/>
          <w:i/>
          <w:iCs/>
          <w:sz w:val="24"/>
          <w:szCs w:val="24"/>
          <w:u w:val="none"/>
        </w:rPr>
        <w:t>(e)</w:t>
      </w:r>
      <w:r>
        <w:rPr>
          <w:rStyle w:val="Hyperlink1"/>
          <w:rFonts w:eastAsia="Times New Roman"/>
          <w:i/>
          <w:iCs/>
          <w:sz w:val="24"/>
          <w:szCs w:val="24"/>
          <w:u w:val="none"/>
        </w:rPr>
        <w:t xml:space="preserve"> were explored. Subplot (c) is a violin plot with extreme values showed. Subplots (b), (d) and (e) are scatter plots in which each slightly transparent symbol corresponds to a given </w:t>
      </w:r>
      <w:r>
        <w:rPr>
          <w:rStyle w:val="Hyperlink1"/>
          <w:rFonts w:eastAsia="Times New Roman"/>
          <w:i/>
          <w:iCs/>
          <w:kern w:val="2"/>
          <w:sz w:val="24"/>
          <w:szCs w:val="24"/>
          <w:u w:val="none"/>
        </w:rPr>
        <w:t>neural network</w:t>
      </w:r>
      <w:r>
        <w:rPr>
          <w:rStyle w:val="Hyperlink1"/>
          <w:rFonts w:eastAsia="Times New Roman"/>
          <w:i/>
          <w:iCs/>
          <w:sz w:val="24"/>
          <w:szCs w:val="24"/>
          <w:u w:val="none"/>
        </w:rPr>
        <w:t>; less transparence is directly indicative of a higher number of models for a given X-Y value.</w:t>
      </w:r>
    </w:p>
    <w:p>
      <w:pPr>
        <w:pStyle w:val="Normal"/>
        <w:bidi w:val="0"/>
        <w:spacing w:before="0" w:after="0"/>
        <w:jc w:val="left"/>
        <w:rPr>
          <w:rStyle w:val="Hyperlink1"/>
          <w:rFonts w:eastAsia="Times New Roman"/>
          <w:i/>
          <w:i/>
          <w:iCs/>
          <w:sz w:val="24"/>
          <w:szCs w:val="24"/>
          <w:u w:val="none"/>
        </w:rPr>
      </w:pPr>
      <w:r>
        <w:rPr>
          <w:rFonts w:eastAsia="Times New Roman"/>
          <w:i/>
          <w:iCs/>
          <w:sz w:val="24"/>
          <w:szCs w:val="24"/>
          <w:u w:val="none"/>
        </w:rPr>
      </w:r>
    </w:p>
    <w:p>
      <w:pPr>
        <w:pStyle w:val="Normal"/>
        <w:bidi w:val="0"/>
        <w:spacing w:before="0" w:after="0"/>
        <w:jc w:val="left"/>
        <w:rPr>
          <w:rFonts w:ascii="Times New Roman" w:hAnsi="Times New Roman"/>
          <w:sz w:val="24"/>
          <w:szCs w:val="24"/>
        </w:rPr>
      </w:pPr>
      <w:r>
        <w:rPr/>
      </w:r>
      <w:r>
        <w:br w:type="page"/>
      </w:r>
    </w:p>
    <w:p>
      <w:pPr>
        <w:pStyle w:val="Normal"/>
        <w:bidi w:val="0"/>
        <w:spacing w:before="0" w:after="0"/>
        <w:jc w:val="left"/>
        <w:rPr>
          <w:rFonts w:ascii="Times New Roman" w:hAnsi="Times New Roman"/>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cs="Arial Unicode MS"/>
          <w:b/>
          <w:bCs/>
          <w:i/>
          <w:iCs/>
          <w:color w:val="0563C1" w:themeColor="hyperlink"/>
          <w:kern w:val="2"/>
          <w:sz w:val="24"/>
          <w:szCs w:val="24"/>
          <w:u w:val="none"/>
          <w:lang w:val="fr-FR" w:eastAsia="zh-CN" w:bidi="hi-IN"/>
        </w:rPr>
        <w:t>Supplementary Figure 2</w:t>
      </w:r>
      <w:r>
        <w:rPr>
          <w:rStyle w:val="Hyperlink1"/>
          <w:rFonts w:eastAsia="Times New Roman"/>
          <w:b/>
          <w:bCs/>
          <w:i/>
          <w:iCs/>
          <w:sz w:val="24"/>
          <w:szCs w:val="24"/>
          <w:u w:val="none"/>
        </w:rPr>
        <w:t>:</w:t>
      </w:r>
      <w:r>
        <w:rPr>
          <w:rStyle w:val="Hyperlink1"/>
          <w:rFonts w:eastAsia="Times New Roman"/>
          <w:i/>
          <w:iCs/>
          <w:sz w:val="24"/>
          <w:szCs w:val="24"/>
          <w:u w:val="none"/>
        </w:rPr>
        <w:t xml:space="preserve"> Comparison between predicted and measured viscosity in the Na</w:t>
      </w:r>
      <w:r>
        <w:rPr>
          <w:rStyle w:val="Hyperlink1"/>
          <w:rFonts w:eastAsia="Times New Roman"/>
          <w:i/>
          <w:iCs/>
          <w:sz w:val="24"/>
          <w:szCs w:val="24"/>
          <w:u w:val="none"/>
          <w:vertAlign w:val="subscript"/>
        </w:rPr>
        <w:t>2</w:t>
      </w:r>
      <w:r>
        <w:rPr>
          <w:rStyle w:val="Hyperlink1"/>
          <w:rFonts w:eastAsia="Times New Roman"/>
          <w:i/>
          <w:iCs/>
          <w:sz w:val="24"/>
          <w:szCs w:val="24"/>
          <w:u w:val="none"/>
        </w:rPr>
        <w:t>O-K</w:t>
      </w:r>
      <w:r>
        <w:rPr>
          <w:rStyle w:val="Hyperlink1"/>
          <w:rFonts w:eastAsia="Times New Roman"/>
          <w:i/>
          <w:iCs/>
          <w:sz w:val="24"/>
          <w:szCs w:val="24"/>
          <w:u w:val="none"/>
          <w:vertAlign w:val="subscript"/>
        </w:rPr>
        <w:t>2</w:t>
      </w:r>
      <w:r>
        <w:rPr>
          <w:rStyle w:val="Hyperlink1"/>
          <w:rFonts w:eastAsia="Times New Roman"/>
          <w:i/>
          <w:iCs/>
          <w:sz w:val="24"/>
          <w:szCs w:val="24"/>
          <w:u w:val="none"/>
        </w:rPr>
        <w:t>O-Al</w:t>
      </w:r>
      <w:r>
        <w:rPr>
          <w:rStyle w:val="Hyperlink1"/>
          <w:rFonts w:eastAsia="Times New Roman"/>
          <w:i/>
          <w:iCs/>
          <w:sz w:val="24"/>
          <w:szCs w:val="24"/>
          <w:u w:val="none"/>
          <w:vertAlign w:val="subscript"/>
        </w:rPr>
        <w:t>2</w:t>
      </w:r>
      <w:r>
        <w:rPr>
          <w:rStyle w:val="Hyperlink1"/>
          <w:rFonts w:eastAsia="Times New Roman"/>
          <w:i/>
          <w:iCs/>
          <w:sz w:val="24"/>
          <w:szCs w:val="24"/>
          <w:u w:val="none"/>
        </w:rPr>
        <w:t>O</w:t>
      </w:r>
      <w:r>
        <w:rPr>
          <w:rStyle w:val="Hyperlink1"/>
          <w:rFonts w:eastAsia="Times New Roman"/>
          <w:i/>
          <w:iCs/>
          <w:sz w:val="24"/>
          <w:szCs w:val="24"/>
          <w:u w:val="none"/>
          <w:vertAlign w:val="subscript"/>
        </w:rPr>
        <w:t>3</w:t>
      </w:r>
      <w:r>
        <w:rPr>
          <w:rStyle w:val="Hyperlink1"/>
          <w:rFonts w:eastAsia="Times New Roman"/>
          <w:i/>
          <w:iCs/>
          <w:sz w:val="24"/>
          <w:szCs w:val="24"/>
          <w:u w:val="none"/>
        </w:rPr>
        <w:t>-SiO</w:t>
      </w:r>
      <w:r>
        <w:rPr>
          <w:rStyle w:val="Hyperlink1"/>
          <w:rFonts w:eastAsia="Times New Roman"/>
          <w:i/>
          <w:iCs/>
          <w:sz w:val="24"/>
          <w:szCs w:val="24"/>
          <w:u w:val="none"/>
          <w:vertAlign w:val="subscript"/>
        </w:rPr>
        <w:t>2</w:t>
      </w:r>
      <w:r>
        <w:rPr>
          <w:rStyle w:val="Hyperlink1"/>
          <w:rFonts w:eastAsia="Times New Roman"/>
          <w:i/>
          <w:iCs/>
          <w:sz w:val="24"/>
          <w:szCs w:val="24"/>
          <w:u w:val="none"/>
        </w:rPr>
        <w:t xml:space="preserve"> system. Predictions can be made using theories like Adam-Gibbs </w:t>
      </w:r>
      <w:r>
        <w:rPr>
          <w:rStyle w:val="Hyperlink1"/>
          <w:rFonts w:eastAsia="Times New Roman"/>
          <w:b/>
          <w:bCs/>
          <w:i/>
          <w:iCs/>
          <w:sz w:val="24"/>
          <w:szCs w:val="24"/>
          <w:u w:val="none"/>
        </w:rPr>
        <w:t>(a</w:t>
      </w:r>
      <w:r>
        <w:rPr>
          <w:rStyle w:val="Hyperlink1"/>
          <w:rFonts w:eastAsia="Times New Roman"/>
          <w:i/>
          <w:iCs/>
          <w:sz w:val="24"/>
          <w:szCs w:val="24"/>
          <w:u w:val="none"/>
        </w:rPr>
        <w:t xml:space="preserve">, eq. 1) and free volume </w:t>
      </w:r>
      <w:r>
        <w:rPr>
          <w:rStyle w:val="Hyperlink1"/>
          <w:rFonts w:eastAsia="Times New Roman"/>
          <w:b/>
          <w:bCs/>
          <w:i/>
          <w:iCs/>
          <w:sz w:val="24"/>
          <w:szCs w:val="24"/>
          <w:u w:val="none"/>
        </w:rPr>
        <w:t>(b</w:t>
      </w:r>
      <w:r>
        <w:rPr>
          <w:rStyle w:val="Hyperlink1"/>
          <w:rFonts w:eastAsia="Times New Roman"/>
          <w:i/>
          <w:iCs/>
          <w:sz w:val="24"/>
          <w:szCs w:val="24"/>
          <w:u w:val="none"/>
        </w:rPr>
        <w:t xml:space="preserve">, eq. 2), or empirical equations like MYEGA </w:t>
      </w:r>
      <w:r>
        <w:rPr>
          <w:rStyle w:val="Hyperlink1"/>
          <w:rFonts w:eastAsia="Times New Roman"/>
          <w:b/>
          <w:bCs/>
          <w:i/>
          <w:iCs/>
          <w:sz w:val="24"/>
          <w:szCs w:val="24"/>
          <w:u w:val="none"/>
        </w:rPr>
        <w:t>(c</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5</w:t>
      </w:r>
      <w:r>
        <w:rPr>
          <w:rStyle w:val="Hyperlink1"/>
          <w:rFonts w:eastAsia="Times New Roman"/>
          <w:i/>
          <w:iCs/>
          <w:sz w:val="24"/>
          <w:szCs w:val="24"/>
          <w:u w:val="none"/>
        </w:rPr>
        <w:t xml:space="preserve">), Avramov-Milchev </w:t>
      </w:r>
      <w:r>
        <w:rPr>
          <w:rStyle w:val="Hyperlink1"/>
          <w:rFonts w:eastAsia="Times New Roman"/>
          <w:b/>
          <w:bCs/>
          <w:i/>
          <w:iCs/>
          <w:sz w:val="24"/>
          <w:szCs w:val="24"/>
          <w:u w:val="none"/>
        </w:rPr>
        <w:t>(d</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4</w:t>
      </w:r>
      <w:r>
        <w:rPr>
          <w:rStyle w:val="Hyperlink1"/>
          <w:rFonts w:eastAsia="Times New Roman"/>
          <w:i/>
          <w:iCs/>
          <w:sz w:val="24"/>
          <w:szCs w:val="24"/>
          <w:u w:val="none"/>
        </w:rPr>
        <w:t xml:space="preserve">), and Tamman-Vogel-Fulcher </w:t>
      </w:r>
      <w:r>
        <w:rPr>
          <w:rStyle w:val="Hyperlink1"/>
          <w:rFonts w:eastAsia="Times New Roman"/>
          <w:b/>
          <w:bCs/>
          <w:i/>
          <w:iCs/>
          <w:sz w:val="24"/>
          <w:szCs w:val="24"/>
          <w:u w:val="none"/>
        </w:rPr>
        <w:t>(e</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3</w:t>
      </w:r>
      <w:r>
        <w:rPr>
          <w:rStyle w:val="Hyperlink1"/>
          <w:rFonts w:eastAsia="Times New Roman"/>
          <w:i/>
          <w:iCs/>
          <w:sz w:val="24"/>
          <w:szCs w:val="24"/>
          <w:u w:val="none"/>
        </w:rPr>
        <w:t xml:space="preserve">). </w:t>
      </w:r>
      <w:r>
        <w:rPr>
          <w:rStyle w:val="Hyperlink1"/>
          <w:rFonts w:eastAsia="Times New Roman"/>
          <w:i/>
          <w:iCs/>
          <w:sz w:val="24"/>
          <w:szCs w:val="24"/>
          <w:u w:val="none"/>
          <w:lang w:val="en-GB"/>
        </w:rPr>
        <w:t xml:space="preserve"> See table </w:t>
      </w:r>
      <w:r>
        <w:rPr>
          <w:rStyle w:val="Hyperlink1"/>
          <w:rFonts w:eastAsia="Times New Roman"/>
          <w:i/>
          <w:iCs/>
          <w:color w:val="000000"/>
          <w:kern w:val="2"/>
          <w:sz w:val="24"/>
          <w:szCs w:val="24"/>
          <w:u w:val="none"/>
          <w:lang w:val="en-GB"/>
        </w:rPr>
        <w:t>3</w:t>
      </w:r>
      <w:r>
        <w:rPr>
          <w:rStyle w:val="Hyperlink1"/>
          <w:rFonts w:eastAsia="Times New Roman"/>
          <w:i/>
          <w:iCs/>
          <w:sz w:val="24"/>
          <w:szCs w:val="24"/>
          <w:u w:val="none"/>
          <w:lang w:val="en-GB"/>
        </w:rPr>
        <w:t xml:space="preserve"> for RMSE.</w:t>
      </w:r>
    </w:p>
    <w:p>
      <w:pPr>
        <w:pStyle w:val="Normal"/>
        <w:bidi w:val="0"/>
        <w:spacing w:before="0" w:after="0"/>
        <w:jc w:val="left"/>
        <w:rPr>
          <w:rFonts w:ascii="Times New Roman" w:hAnsi="Times New Roman"/>
          <w:sz w:val="24"/>
          <w:szCs w:val="24"/>
        </w:rPr>
      </w:pPr>
      <w:r>
        <w:rPr>
          <w:rFonts w:ascii="Times New Roman" w:hAnsi="Times New Roman"/>
          <w:sz w:val="24"/>
          <w:szCs w:val="24"/>
        </w:rPr>
      </w:r>
      <w:r>
        <w:br w:type="page"/>
      </w:r>
    </w:p>
    <w:p>
      <w:pPr>
        <w:pStyle w:val="Normal"/>
        <w:bidi w:val="0"/>
        <w:spacing w:before="0" w:after="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617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7617460"/>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cs="Arial Unicode MS"/>
          <w:b/>
          <w:bCs/>
          <w:i/>
          <w:iCs/>
          <w:color w:val="0563C1" w:themeColor="hyperlink"/>
          <w:kern w:val="2"/>
          <w:sz w:val="24"/>
          <w:szCs w:val="24"/>
          <w:u w:val="none"/>
          <w:lang w:val="en-GB" w:eastAsia="zh-CN" w:bidi="hi-IN"/>
        </w:rPr>
        <w:t>Supplementary Figure 3</w:t>
      </w:r>
      <w:r>
        <w:rPr>
          <w:rStyle w:val="Hyperlink1"/>
          <w:rFonts w:eastAsia="Times New Roman"/>
          <w:b/>
          <w:bCs/>
          <w:i/>
          <w:iCs/>
          <w:sz w:val="24"/>
          <w:szCs w:val="24"/>
          <w:u w:val="none"/>
          <w:lang w:val="en-GB"/>
        </w:rPr>
        <w:t xml:space="preserve">: </w:t>
      </w:r>
      <w:r>
        <w:rPr>
          <w:rStyle w:val="Hyperlink1"/>
          <w:rFonts w:eastAsia="Times New Roman"/>
          <w:i/>
          <w:iCs/>
          <w:sz w:val="24"/>
          <w:szCs w:val="24"/>
          <w:u w:val="none"/>
          <w:lang w:val="en-GB"/>
        </w:rPr>
        <w:t xml:space="preserve">Comparison between </w:t>
      </w:r>
      <w:r>
        <w:rPr>
          <w:rStyle w:val="Hyperlink1"/>
          <w:rFonts w:eastAsia="Times New Roman"/>
          <w:b/>
          <w:bCs/>
          <w:i/>
          <w:iCs/>
          <w:sz w:val="24"/>
          <w:szCs w:val="24"/>
          <w:u w:val="none"/>
          <w:lang w:val="en-GB"/>
        </w:rPr>
        <w:t xml:space="preserve">(a) </w:t>
      </w:r>
      <w:r>
        <w:rPr>
          <w:rStyle w:val="Hyperlink1"/>
          <w:rFonts w:eastAsia="Times New Roman"/>
          <w:i/>
          <w:iCs/>
          <w:sz w:val="24"/>
          <w:szCs w:val="24"/>
          <w:u w:val="none"/>
          <w:lang w:val="en-GB"/>
        </w:rPr>
        <w:t xml:space="preserve">predicted glass transition temperatures and those calculated from undercooled viscosity data, when available, </w:t>
      </w:r>
      <w:r>
        <w:rPr>
          <w:rStyle w:val="Hyperlink1"/>
          <w:rFonts w:eastAsia="Times New Roman"/>
          <w:b/>
          <w:bCs/>
          <w:i/>
          <w:iCs/>
          <w:sz w:val="24"/>
          <w:szCs w:val="24"/>
          <w:u w:val="none"/>
          <w:lang w:val="en-GB"/>
        </w:rPr>
        <w:t>(b)</w:t>
      </w:r>
      <w:r>
        <w:rPr>
          <w:rStyle w:val="Hyperlink1"/>
          <w:rFonts w:eastAsia="Times New Roman"/>
          <w:i/>
          <w:iCs/>
          <w:sz w:val="24"/>
          <w:szCs w:val="24"/>
          <w:u w:val="none"/>
          <w:lang w:val="en-GB"/>
        </w:rPr>
        <w:t xml:space="preserve"> S</w:t>
      </w:r>
      <w:r>
        <w:rPr>
          <w:rStyle w:val="Hyperlink1"/>
          <w:rFonts w:eastAsia="Times New Roman"/>
          <w:i/>
          <w:iCs/>
          <w:sz w:val="24"/>
          <w:szCs w:val="24"/>
          <w:u w:val="none"/>
          <w:vertAlign w:val="superscript"/>
          <w:lang w:val="en-GB"/>
        </w:rPr>
        <w:t>conf</w:t>
      </w:r>
      <w:r>
        <w:rPr>
          <w:rStyle w:val="Hyperlink1"/>
          <w:rFonts w:eastAsia="Times New Roman"/>
          <w:i/>
          <w:iCs/>
          <w:sz w:val="24"/>
          <w:szCs w:val="24"/>
          <w:u w:val="none"/>
          <w:lang w:val="en-GB"/>
        </w:rPr>
        <w:t>(T</w:t>
      </w:r>
      <w:r>
        <w:rPr>
          <w:rStyle w:val="Hyperlink1"/>
          <w:rFonts w:eastAsia="Times New Roman"/>
          <w:i/>
          <w:iCs/>
          <w:sz w:val="24"/>
          <w:szCs w:val="24"/>
          <w:u w:val="none"/>
          <w:vertAlign w:val="subscript"/>
          <w:lang w:val="en-GB"/>
        </w:rPr>
        <w:t>g</w:t>
      </w:r>
      <w:r>
        <w:rPr>
          <w:rStyle w:val="Hyperlink1"/>
          <w:rFonts w:eastAsia="Times New Roman"/>
          <w:i/>
          <w:iCs/>
          <w:sz w:val="24"/>
          <w:szCs w:val="24"/>
          <w:u w:val="none"/>
          <w:lang w:val="en-GB"/>
        </w:rPr>
        <w:t>) v</w:t>
      </w:r>
      <w:r>
        <w:rPr>
          <w:rStyle w:val="Hyperlink1"/>
          <w:rFonts w:eastAsia="Times New Roman"/>
          <w:i/>
          <w:iCs/>
          <w:kern w:val="2"/>
          <w:sz w:val="24"/>
          <w:szCs w:val="24"/>
          <w:u w:val="none"/>
          <w:lang w:val="en-GB"/>
        </w:rPr>
        <w:t xml:space="preserve">alues from </w:t>
      </w:r>
      <w:bookmarkStart w:id="2" w:name="ZOTERO_BREF_Mzv3KZhJH8oI"/>
      <w:r>
        <w:rPr>
          <w:rStyle w:val="Hyperlink1"/>
          <w:rFonts w:eastAsia="Times New Roman"/>
          <w:i/>
          <w:iCs/>
          <w:kern w:val="2"/>
          <w:sz w:val="24"/>
          <w:szCs w:val="24"/>
          <w:u w:val="none"/>
          <w:lang w:val="en-GB"/>
        </w:rPr>
        <w:t>(Richet, 1984; Neuville and Mysen, 1996; Neuville, 2006; Le Losq and Neuville, 2013, 2017; Le Losq et al., 2014, 2017)</w:t>
      </w:r>
      <w:bookmarkEnd w:id="2"/>
      <w:r>
        <w:rPr>
          <w:rStyle w:val="Hyperlink1"/>
          <w:rFonts w:eastAsia="Times New Roman"/>
          <w:i/>
          <w:iCs/>
          <w:sz w:val="24"/>
          <w:szCs w:val="24"/>
          <w:u w:val="none"/>
          <w:lang w:val="en-GB"/>
        </w:rPr>
        <w:t xml:space="preserve">, </w:t>
      </w:r>
      <w:r>
        <w:rPr>
          <w:rStyle w:val="Hyperlink1"/>
          <w:rFonts w:eastAsia="Times New Roman"/>
          <w:b/>
          <w:bCs/>
          <w:i/>
          <w:iCs/>
          <w:sz w:val="24"/>
          <w:szCs w:val="24"/>
          <w:u w:val="none"/>
          <w:lang w:val="en-GB"/>
        </w:rPr>
        <w:t xml:space="preserve">(c) </w:t>
      </w:r>
      <w:r>
        <w:rPr>
          <w:rStyle w:val="Hyperlink1"/>
          <w:rFonts w:eastAsia="Times New Roman"/>
          <w:i/>
          <w:iCs/>
          <w:sz w:val="24"/>
          <w:szCs w:val="24"/>
          <w:u w:val="none"/>
          <w:lang w:val="en-GB"/>
        </w:rPr>
        <w:t>density,</w:t>
      </w:r>
      <w:r>
        <w:rPr>
          <w:rStyle w:val="Hyperlink1"/>
          <w:rFonts w:eastAsia="Times New Roman"/>
          <w:b/>
          <w:bCs/>
          <w:i/>
          <w:iCs/>
          <w:sz w:val="24"/>
          <w:szCs w:val="24"/>
          <w:u w:val="none"/>
          <w:lang w:val="en-GB"/>
        </w:rPr>
        <w:t>(d)</w:t>
      </w:r>
      <w:r>
        <w:rPr>
          <w:rStyle w:val="Hyperlink1"/>
          <w:rFonts w:eastAsia="Times New Roman"/>
          <w:i/>
          <w:iCs/>
          <w:sz w:val="24"/>
          <w:szCs w:val="24"/>
          <w:u w:val="none"/>
          <w:lang w:val="en-GB"/>
        </w:rPr>
        <w:t xml:space="preserve"> refractive index, and </w:t>
      </w:r>
      <w:r>
        <w:rPr>
          <w:rStyle w:val="Hyperlink1"/>
          <w:rFonts w:eastAsia="Times New Roman"/>
          <w:b/>
          <w:bCs/>
          <w:i/>
          <w:iCs/>
          <w:sz w:val="24"/>
          <w:szCs w:val="24"/>
          <w:u w:val="none"/>
          <w:lang w:val="en-GB"/>
        </w:rPr>
        <w:t>(e)</w:t>
      </w:r>
      <w:r>
        <w:rPr>
          <w:rStyle w:val="Hyperlink1"/>
          <w:rFonts w:eastAsia="Times New Roman"/>
          <w:i/>
          <w:iCs/>
          <w:sz w:val="24"/>
          <w:szCs w:val="24"/>
          <w:u w:val="none"/>
          <w:lang w:val="en-GB"/>
        </w:rPr>
        <w:t xml:space="preserve"> R</w:t>
      </w:r>
      <w:r>
        <w:rPr>
          <w:rStyle w:val="Hyperlink1"/>
          <w:rFonts w:eastAsia="Times New Roman"/>
          <w:i/>
          <w:iCs/>
          <w:sz w:val="24"/>
          <w:szCs w:val="24"/>
          <w:u w:val="none"/>
          <w:vertAlign w:val="subscript"/>
          <w:lang w:val="en-GB"/>
        </w:rPr>
        <w:t>Raman</w:t>
      </w:r>
      <w:r>
        <w:rPr>
          <w:rStyle w:val="Hyperlink1"/>
          <w:rFonts w:eastAsia="Times New Roman"/>
          <w:i/>
          <w:iCs/>
          <w:sz w:val="24"/>
          <w:szCs w:val="24"/>
          <w:u w:val="none"/>
          <w:lang w:val="en-GB"/>
        </w:rPr>
        <w:t xml:space="preserve">. See </w:t>
      </w:r>
      <w:r>
        <w:rPr>
          <w:rStyle w:val="Hyperlink1"/>
          <w:rFonts w:eastAsia="Times New Roman"/>
          <w:i/>
          <w:iCs/>
          <w:sz w:val="24"/>
          <w:szCs w:val="24"/>
          <w:u w:val="none"/>
          <w:lang w:val="en-GB"/>
        </w:rPr>
        <w:t>T</w:t>
      </w:r>
      <w:r>
        <w:rPr>
          <w:rStyle w:val="Hyperlink1"/>
          <w:rFonts w:eastAsia="Times New Roman"/>
          <w:i/>
          <w:iCs/>
          <w:sz w:val="24"/>
          <w:szCs w:val="24"/>
          <w:u w:val="none"/>
          <w:lang w:val="en-GB"/>
        </w:rPr>
        <w:t xml:space="preserve">able </w:t>
      </w:r>
      <w:r>
        <w:rPr>
          <w:rStyle w:val="Hyperlink1"/>
          <w:rFonts w:eastAsia="Times New Roman"/>
          <w:i/>
          <w:iCs/>
          <w:kern w:val="2"/>
          <w:sz w:val="24"/>
          <w:szCs w:val="24"/>
          <w:u w:val="none"/>
          <w:lang w:val="en-GB"/>
        </w:rPr>
        <w:t>3</w:t>
      </w:r>
      <w:r>
        <w:rPr>
          <w:rStyle w:val="Hyperlink1"/>
          <w:rFonts w:eastAsia="Times New Roman"/>
          <w:i/>
          <w:iCs/>
          <w:sz w:val="24"/>
          <w:szCs w:val="24"/>
          <w:u w:val="none"/>
          <w:lang w:val="en-GB"/>
        </w:rPr>
        <w:t xml:space="preserve"> for RMSE. </w:t>
      </w:r>
    </w:p>
    <w:p>
      <w:pPr>
        <w:pStyle w:val="Normal"/>
        <w:bidi w:val="0"/>
        <w:spacing w:before="0" w:after="0"/>
        <w:jc w:val="left"/>
        <w:rPr>
          <w:rFonts w:ascii="Times New Roman" w:hAnsi="Times New Roman"/>
          <w:sz w:val="24"/>
          <w:szCs w:val="24"/>
        </w:rPr>
      </w:pPr>
      <w:r>
        <w:rPr>
          <w:rFonts w:ascii="Times New Roman" w:hAnsi="Times New Roman"/>
          <w:sz w:val="24"/>
          <w:szCs w:val="24"/>
        </w:rPr>
      </w:r>
    </w:p>
    <w:p>
      <w:pPr>
        <w:pStyle w:val="Normal"/>
        <w:bidi w:val="0"/>
        <w:spacing w:before="0" w:after="0"/>
        <w:jc w:val="left"/>
        <w:rPr>
          <w:rFonts w:ascii="Times New Roman" w:hAnsi="Times New Roman"/>
          <w:sz w:val="24"/>
          <w:szCs w:val="24"/>
        </w:rPr>
      </w:pPr>
      <w:r>
        <w:rPr/>
      </w:r>
      <w:r>
        <w:br w:type="page"/>
      </w:r>
    </w:p>
    <w:p>
      <w:pPr>
        <w:pStyle w:val="Normal"/>
        <w:bidi w:val="0"/>
        <w:spacing w:before="0" w:after="0"/>
        <w:jc w:val="left"/>
        <w:rPr>
          <w:rFonts w:ascii="Times New Roman" w:hAnsi="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120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b/>
          <w:bCs/>
          <w:i/>
          <w:iCs/>
          <w:sz w:val="24"/>
          <w:szCs w:val="24"/>
          <w:u w:val="none"/>
          <w:lang w:val="en-GB"/>
        </w:rPr>
        <w:t>Supplementary Figure 4:</w:t>
      </w:r>
      <w:r>
        <w:rPr>
          <w:rStyle w:val="Hyperlink1"/>
          <w:rFonts w:eastAsia="Times New Roman"/>
          <w:i/>
          <w:iCs/>
          <w:sz w:val="24"/>
          <w:szCs w:val="24"/>
          <w:u w:val="none"/>
          <w:lang w:val="en-GB"/>
        </w:rPr>
        <w:t xml:space="preserve"> Evolution of the viscosity at 1000 °C of a rhyolite melt, with a composition changing from a sodic peralkaline one to a potassic pearluminous one. </w:t>
      </w:r>
      <w:r>
        <w:rPr>
          <w:rStyle w:val="Hyperlink1"/>
          <w:rFonts w:eastAsia="Times New Roman"/>
          <w:i/>
          <w:iCs/>
          <w:sz w:val="24"/>
          <w:szCs w:val="24"/>
          <w:u w:val="none"/>
          <w:lang w:val="en-GB"/>
        </w:rPr>
        <w:t xml:space="preserve">The </w:t>
      </w:r>
      <w:r>
        <w:rPr>
          <w:rStyle w:val="Hyperlink1"/>
          <w:rFonts w:eastAsia="Times New Roman" w:cs="Arial Unicode MS"/>
          <w:i/>
          <w:iCs/>
          <w:color w:val="0563C1" w:themeColor="hyperlink"/>
          <w:kern w:val="2"/>
          <w:sz w:val="24"/>
          <w:szCs w:val="24"/>
          <w:u w:val="none"/>
          <w:lang w:val="en-GB" w:eastAsia="zh-CN" w:bidi="hi-IN"/>
        </w:rPr>
        <w:t>thick</w:t>
      </w:r>
      <w:r>
        <w:rPr>
          <w:rStyle w:val="Hyperlink1"/>
          <w:rFonts w:eastAsia="Times New Roman"/>
          <w:i/>
          <w:iCs/>
          <w:sz w:val="24"/>
          <w:szCs w:val="24"/>
          <w:u w:val="none"/>
          <w:lang w:val="en-GB"/>
        </w:rPr>
        <w:t xml:space="preserve"> line is the mean prediction from 10 neural networks, and the thin lines are 95% confidence intervals.</w:t>
      </w:r>
    </w:p>
    <w:p>
      <w:pPr>
        <w:pStyle w:val="Normal"/>
        <w:bidi w:val="0"/>
        <w:spacing w:before="0" w:after="0"/>
        <w:jc w:val="left"/>
        <w:rPr>
          <w:rFonts w:ascii="Times New Roman" w:hAnsi="Times New Roman"/>
          <w:sz w:val="24"/>
          <w:szCs w:val="24"/>
        </w:rPr>
      </w:pPr>
      <w:r>
        <w:rPr/>
      </w:r>
    </w:p>
    <w:p>
      <w:pPr>
        <w:pStyle w:val="Normal"/>
        <w:bidi w:val="0"/>
        <w:spacing w:before="0" w:after="0"/>
        <w:jc w:val="left"/>
        <w:rPr>
          <w:rFonts w:ascii="Times New Roman" w:hAnsi="Times New Roman"/>
          <w:sz w:val="24"/>
          <w:szCs w:val="24"/>
        </w:rPr>
      </w:pPr>
      <w:r>
        <w:rPr/>
      </w:r>
    </w:p>
    <w:p>
      <w:pPr>
        <w:pStyle w:val="Normal"/>
        <w:bidi w:val="0"/>
        <w:spacing w:before="0" w:after="0"/>
        <w:jc w:val="left"/>
        <w:rPr>
          <w:rFonts w:ascii="Times New Roman" w:hAnsi="Times New Roman"/>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DefaultParagraphFont">
    <w:name w:val="Default Paragraph Font"/>
    <w:qFormat/>
    <w:rPr/>
  </w:style>
  <w:style w:type="character" w:styleId="Hyperlink1">
    <w:name w:val="Hyperlink1"/>
    <w:basedOn w:val="DefaultParagraphFont"/>
    <w:qFormat/>
    <w:rPr>
      <w:color w:val="0563C1" w:themeColor="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seHeading">
    <w:name w:val="Base_Heading"/>
    <w:qFormat/>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Head">
    <w:name w:val="Head"/>
    <w:basedOn w:val="BaseHeading"/>
    <w:qFormat/>
    <w:pPr>
      <w:spacing w:before="120" w:after="120"/>
      <w:jc w:val="center"/>
    </w:pPr>
    <w:rPr>
      <w:b/>
      <w:bCs/>
    </w:rPr>
  </w:style>
  <w:style w:type="paragraph" w:styleId="BaseText">
    <w:name w:val="Base_Text"/>
    <w:qFormat/>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Teaser">
    <w:name w:val="Teaser"/>
    <w:basedOn w:val="BaseText"/>
    <w:qFormat/>
    <w:pPr/>
    <w:rPr/>
  </w:style>
  <w:style w:type="paragraph" w:styleId="Texteprformat">
    <w:name w:val="Texte préformaté"/>
    <w:basedOn w:val="Normal"/>
    <w:qFormat/>
    <w:pPr/>
    <w:rPr>
      <w:rFonts w:eastAsia="Liberation Mono" w:cs="Liberation Mono"/>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4285</TotalTime>
  <Application>LibreOffice/7.1.2.2$MacOSX_X86_64 LibreOffice_project/8a45595d069ef5570103caea1b71cc9d82b2aae4</Application>
  <AppVersion>15.0000</AppVersion>
  <Pages>5</Pages>
  <Words>370</Words>
  <Characters>2121</Characters>
  <CharactersWithSpaces>2482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2021-06-17T14:55:00Z</dcterms:created>
  <dc:creator>Charles Le Losq</dc:creator>
  <dc:description/>
  <dc:language>fr-FR</dc:language>
  <cp:lastModifiedBy>Charles Le Losq</cp:lastModifiedBy>
  <dcterms:modified xsi:type="dcterms:W3CDTF">2021-07-19T12:25:51Z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