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ettings.xml" ContentType="application/vnd.openxmlformats-officedocument.wordprocessingml.settings+xml"/>
  <Override PartName="/word/header1.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r>
    </w:p>
    <w:p>
      <w:pPr>
        <w:pStyle w:val="Normal"/>
        <w:jc w:val="center"/>
        <w:rPr>
          <w:sz w:val="36"/>
          <w:szCs w:val="36"/>
        </w:rPr>
      </w:pPr>
      <w:r>
        <w:rPr>
          <w:sz w:val="36"/>
          <w:szCs w:val="36"/>
        </w:rPr>
      </w:r>
    </w:p>
    <w:p>
      <w:pPr>
        <w:pStyle w:val="Normal"/>
        <w:jc w:val="center"/>
        <w:rPr>
          <w:sz w:val="36"/>
          <w:szCs w:val="36"/>
        </w:rPr>
      </w:pPr>
      <w:r>
        <w:rPr>
          <w:sz w:val="36"/>
          <w:szCs w:val="36"/>
        </w:rPr>
      </w:r>
    </w:p>
    <w:p>
      <w:pPr>
        <w:pStyle w:val="Normal"/>
        <w:jc w:val="center"/>
        <w:rPr>
          <w:sz w:val="36"/>
          <w:szCs w:val="36"/>
        </w:rPr>
      </w:pPr>
      <w:r>
        <w:rPr>
          <w:sz w:val="36"/>
          <w:szCs w:val="36"/>
        </w:rPr>
        <w:t>Supplementary Materials for</w:t>
      </w:r>
    </w:p>
    <w:p>
      <w:pPr>
        <w:pStyle w:val="Normal"/>
        <w:jc w:val="center"/>
        <w:rPr/>
      </w:pPr>
      <w:r>
        <w:rPr/>
      </w:r>
    </w:p>
    <w:p>
      <w:pPr>
        <w:pStyle w:val="Head"/>
        <w:spacing w:lineRule="auto" w:line="480" w:before="0" w:after="0"/>
        <w:rPr/>
      </w:pPr>
      <w:r>
        <w:rPr>
          <w:color w:val="000000"/>
        </w:rPr>
        <w:t>Deep learning prediction of material properties</w:t>
      </w:r>
    </w:p>
    <w:p>
      <w:pPr>
        <w:pStyle w:val="Normal"/>
        <w:jc w:val="center"/>
        <w:rPr/>
      </w:pPr>
      <w:r>
        <w:rPr>
          <w:szCs w:val="24"/>
        </w:rPr>
        <w:t>Charles Le Losq, Andrew Valentine, Bjorn O. Mysen,  Daniel R. Neuville</w:t>
      </w:r>
    </w:p>
    <w:p>
      <w:pPr>
        <w:pStyle w:val="Normal"/>
        <w:jc w:val="center"/>
        <w:rPr>
          <w:szCs w:val="24"/>
        </w:rPr>
      </w:pPr>
      <w:r>
        <w:rPr>
          <w:szCs w:val="24"/>
        </w:rPr>
      </w:r>
    </w:p>
    <w:p>
      <w:pPr>
        <w:pStyle w:val="Normal"/>
        <w:jc w:val="center"/>
        <w:rPr/>
      </w:pPr>
      <w:r>
        <w:rPr>
          <w:szCs w:val="24"/>
        </w:rPr>
        <w:t>Correspondence to:  lelosq@ipgp.fr</w:t>
      </w:r>
    </w:p>
    <w:p>
      <w:pPr>
        <w:pStyle w:val="Normal"/>
        <w:rPr>
          <w:b/>
          <w:b/>
        </w:rPr>
      </w:pPr>
      <w:r>
        <w:rPr>
          <w:b/>
        </w:rPr>
      </w:r>
    </w:p>
    <w:p>
      <w:pPr>
        <w:pStyle w:val="Normal"/>
        <w:rPr>
          <w:b/>
          <w:b/>
        </w:rPr>
      </w:pPr>
      <w:r>
        <w:rPr>
          <w:b/>
        </w:rPr>
        <w:t>This PDF file includes:</w:t>
      </w:r>
    </w:p>
    <w:p>
      <w:pPr>
        <w:pStyle w:val="Normal"/>
        <w:rPr/>
      </w:pPr>
      <w:r>
        <w:rPr/>
      </w:r>
    </w:p>
    <w:p>
      <w:pPr>
        <w:pStyle w:val="Normal"/>
        <w:ind w:left="720" w:hanging="0"/>
        <w:rPr/>
      </w:pPr>
      <w:r>
        <w:rPr/>
        <w:t>Materials and Methods</w:t>
      </w:r>
    </w:p>
    <w:p>
      <w:pPr>
        <w:pStyle w:val="Normal"/>
        <w:ind w:left="720" w:hanging="0"/>
        <w:rPr/>
      </w:pPr>
      <w:r>
        <w:rPr/>
        <w:t>Supplementary Text</w:t>
      </w:r>
    </w:p>
    <w:p>
      <w:pPr>
        <w:pStyle w:val="Normal"/>
        <w:ind w:left="720" w:hanging="0"/>
        <w:rPr/>
      </w:pPr>
      <w:r>
        <w:rPr/>
        <w:t>Figs. S1 to S7</w:t>
      </w:r>
    </w:p>
    <w:p>
      <w:pPr>
        <w:pStyle w:val="Normal"/>
        <w:ind w:left="720" w:hanging="0"/>
        <w:rPr/>
      </w:pPr>
      <w:r>
        <w:rPr/>
        <w:t>Tables S1 to S3</w:t>
      </w:r>
    </w:p>
    <w:p>
      <w:pPr>
        <w:pStyle w:val="Normal"/>
        <w:rPr/>
      </w:pPr>
      <w:r>
        <w:rPr/>
      </w:r>
    </w:p>
    <w:p>
      <w:pPr>
        <w:pStyle w:val="Normal"/>
        <w:rPr/>
      </w:pPr>
      <w:r>
        <w:rPr>
          <w:b/>
        </w:rPr>
        <w:t xml:space="preserve">Other Supplementary Materials for this manuscript include the following: </w:t>
      </w:r>
    </w:p>
    <w:p>
      <w:pPr>
        <w:pStyle w:val="Normal"/>
        <w:rPr>
          <w:b/>
          <w:b/>
        </w:rPr>
      </w:pPr>
      <w:r>
        <w:rPr>
          <w:b/>
        </w:rPr>
      </w:r>
    </w:p>
    <w:p>
      <w:pPr>
        <w:pStyle w:val="Normal"/>
        <w:ind w:left="720" w:hanging="0"/>
        <w:rPr/>
      </w:pPr>
      <w:r>
        <w:rPr/>
        <w:t>Software repository at github.com/charlesll/neuravi</w:t>
      </w:r>
    </w:p>
    <w:p>
      <w:pPr>
        <w:pStyle w:val="Normal"/>
        <w:ind w:hanging="0"/>
        <w:rPr/>
      </w:pPr>
      <w:r>
        <w:rPr/>
      </w:r>
    </w:p>
    <w:p>
      <w:pPr>
        <w:pStyle w:val="SMHeading"/>
        <w:rPr>
          <w:b/>
          <w:b/>
          <w:bCs/>
          <w:i/>
          <w:i/>
          <w:color w:val="000000"/>
          <w:szCs w:val="24"/>
          <w:lang w:val="en-GB"/>
        </w:rPr>
      </w:pPr>
      <w:r>
        <w:rPr/>
        <w:t>Supplementary Text</w:t>
      </w:r>
    </w:p>
    <w:p>
      <w:pPr>
        <w:pStyle w:val="Normal"/>
        <w:rPr>
          <w:b/>
          <w:b/>
          <w:bCs/>
          <w:i/>
          <w:i/>
          <w:iCs/>
          <w:szCs w:val="24"/>
        </w:rPr>
      </w:pPr>
      <w:r>
        <w:rPr>
          <w:b w:val="false"/>
          <w:bCs w:val="false"/>
          <w:i/>
          <w:iCs/>
          <w:szCs w:val="24"/>
        </w:rPr>
        <w:t xml:space="preserve">Viscosity equations and the trans-theoretical nature of the </w:t>
      </w:r>
      <w:r>
        <w:rPr>
          <w:rFonts w:eastAsia="Times New Roman" w:cs="Times New Roman"/>
          <w:b w:val="false"/>
          <w:bCs w:val="false"/>
          <w:i/>
          <w:iCs/>
          <w:color w:val="auto"/>
          <w:kern w:val="0"/>
          <w:sz w:val="24"/>
          <w:szCs w:val="24"/>
          <w:lang w:val="en-US" w:eastAsia="en-US" w:bidi="ar-SA"/>
        </w:rPr>
        <w:t>deep learning framework</w:t>
      </w:r>
    </w:p>
    <w:p>
      <w:pPr>
        <w:pStyle w:val="Normal"/>
        <w:rPr/>
      </w:pPr>
      <w:r>
        <w:rPr>
          <w:color w:val="000000"/>
          <w:szCs w:val="24"/>
        </w:rPr>
        <w:t xml:space="preserve">No consensus exists regarding a best model to explain and reproduce the variations of liquid viscosity with parameters like temperature, pressure and composition. Despite this, some models may be preferred. For instance, the Adam-Gibbs model </w:t>
      </w:r>
      <w:bookmarkStart w:id="0" w:name="ZOTERO_BREF_tDXw3qTjP8Xf"/>
      <w:r>
        <w:rPr>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30</w:t>
      </w:r>
      <w:r>
        <w:rPr>
          <w:b w:val="false"/>
          <w:caps w:val="false"/>
          <w:smallCaps w:val="false"/>
          <w:position w:val="0"/>
          <w:sz w:val="24"/>
          <w:sz w:val="24"/>
          <w:u w:val="none"/>
          <w:vertAlign w:val="baseline"/>
        </w:rPr>
        <w:t>)</w:t>
      </w:r>
      <w:bookmarkEnd w:id="0"/>
      <w:r>
        <w:rPr>
          <w:color w:val="000000"/>
          <w:szCs w:val="24"/>
        </w:rPr>
        <w:t xml:space="preserve"> has been particularly successful in reproducing viscosity data of silicate melts </w:t>
      </w:r>
      <w:bookmarkStart w:id="1" w:name="ZOTERO_BREF_VsdqiRcv9hru"/>
      <w:r>
        <w:rPr>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w:t>
      </w:r>
      <w:bookmarkEnd w:id="1"/>
      <w:r>
        <w:rPr>
          <w:color w:val="000000"/>
          <w:szCs w:val="24"/>
        </w:rPr>
        <w:t>. It assumes that liquid movements occur through cooperative molecular re-arrangements, and represents viscosity (</w:t>
      </w:r>
      <w:r>
        <w:rPr>
          <w:rFonts w:ascii="Symbol" w:hAnsi="Symbol"/>
          <w:i/>
          <w:iCs/>
          <w:color w:val="000000"/>
          <w:szCs w:val="24"/>
        </w:rPr>
        <w:t>)</w:t>
      </w:r>
      <w:r>
        <w:rPr>
          <w:color w:val="000000"/>
          <w:szCs w:val="24"/>
        </w:rPr>
        <w:t xml:space="preserve"> as a function of temperature (</w:t>
      </w:r>
      <w:r>
        <w:rPr>
          <w:i/>
          <w:color w:val="000000"/>
          <w:szCs w:val="24"/>
        </w:rPr>
        <w:t>T)</w:t>
      </w:r>
      <w:r>
        <w:rPr>
          <w:color w:val="000000"/>
          <w:szCs w:val="24"/>
        </w:rPr>
        <w:t xml:space="preserve"> and composition (</w:t>
      </w:r>
      <w:r>
        <w:rPr>
          <w:i/>
          <w:color w:val="000000"/>
          <w:szCs w:val="24"/>
        </w:rPr>
        <w:t>x</w:t>
      </w:r>
      <w:r>
        <w:rPr>
          <w:color w:val="000000"/>
          <w:szCs w:val="24"/>
        </w:rPr>
        <w:t>) via</w:t>
      </w:r>
    </w:p>
    <w:p>
      <w:pPr>
        <w:pStyle w:val="PreformattedText"/>
        <w:tabs>
          <w:tab w:val="clear" w:pos="720"/>
          <w:tab w:val="left" w:pos="8222"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r>
          <w:rPr>
            <w:rFonts w:ascii="Cambria Math" w:hAnsi="Cambria Math"/>
          </w:rPr>
          <m:t xml:space="preserve">+</m:t>
        </m:r>
        <m:f>
          <m:num>
            <m:sSub>
              <m:e>
                <m:r>
                  <w:rPr>
                    <w:rFonts w:ascii="Cambria Math" w:hAnsi="Cambria Math"/>
                  </w:rPr>
                  <m:t xml:space="preserve">B</m:t>
                </m:r>
              </m:e>
              <m:sub>
                <m:r>
                  <w:rPr>
                    <w:rFonts w:ascii="Cambria Math" w:hAnsi="Cambria Math"/>
                  </w:rPr>
                  <m:t xml:space="preserve">e</m:t>
                </m:r>
              </m:sub>
            </m:sSub>
            <m:d>
              <m:dPr>
                <m:begChr m:val="("/>
                <m:endChr m:val=")"/>
              </m:dPr>
              <m:e>
                <m:r>
                  <w:rPr>
                    <w:rFonts w:ascii="Cambria Math" w:hAnsi="Cambria Math"/>
                  </w:rPr>
                  <m:t xml:space="preserve">x</m:t>
                </m:r>
              </m:e>
            </m:d>
          </m:num>
          <m:den>
            <m:r>
              <w:rPr>
                <w:rFonts w:ascii="Cambria Math" w:hAnsi="Cambria Math"/>
              </w:rPr>
              <m:t xml:space="preserve">T</m:t>
            </m:r>
            <m:d>
              <m:dPr>
                <m:begChr m:val="("/>
                <m:endChr m:val=")"/>
              </m:dPr>
              <m:e>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r>
                      <w:rPr>
                        <w:rFonts w:ascii="Cambria Math" w:hAnsi="Cambria Math"/>
                      </w:rPr>
                      <m:t xml:space="preserve">,</m:t>
                    </m:r>
                    <m:r>
                      <w:rPr>
                        <w:rFonts w:ascii="Cambria Math" w:hAnsi="Cambria Math"/>
                      </w:rPr>
                      <m:t xml:space="preserve">x</m:t>
                    </m:r>
                  </m:e>
                </m:d>
                <m:r>
                  <w:rPr>
                    <w:rFonts w:ascii="Cambria Math" w:hAnsi="Cambria Math"/>
                  </w:rPr>
                  <m:t xml:space="preserve">+</m:t>
                </m:r>
                <m:nary>
                  <m:naryPr>
                    <m:chr m:val="∫"/>
                  </m:naryPr>
                  <m:sub>
                    <m:sSub>
                      <m:e>
                        <m:r>
                          <w:rPr>
                            <w:rFonts w:ascii="Cambria Math" w:hAnsi="Cambria Math"/>
                          </w:rPr>
                          <m:t xml:space="preserve">T</m:t>
                        </m:r>
                      </m:e>
                      <m:sub>
                        <m:r>
                          <w:rPr>
                            <w:rFonts w:ascii="Cambria Math" w:hAnsi="Cambria Math"/>
                          </w:rPr>
                          <m:t xml:space="preserve">g</m:t>
                        </m:r>
                      </m:sub>
                    </m:sSub>
                  </m:sub>
                  <m:sup>
                    <m:r>
                      <w:rPr>
                        <w:rFonts w:ascii="Cambria Math" w:hAnsi="Cambria Math"/>
                      </w:rPr>
                      <m:t xml:space="preserve">T</m:t>
                    </m:r>
                  </m:sup>
                  <m:e>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d>
                          <m:dPr>
                            <m:begChr m:val="("/>
                            <m:endChr m:val=")"/>
                          </m:dPr>
                          <m:e>
                            <m:r>
                              <w:rPr>
                                <w:rFonts w:ascii="Cambria Math" w:hAnsi="Cambria Math"/>
                              </w:rPr>
                              <m:t xml:space="preserve">x</m:t>
                            </m:r>
                          </m:e>
                        </m:d>
                      </m:num>
                      <m:den>
                        <m:r>
                          <w:rPr>
                            <w:rFonts w:ascii="Cambria Math" w:hAnsi="Cambria Math"/>
                          </w:rPr>
                          <m:t xml:space="preserve">TdT</m:t>
                        </m:r>
                      </m:den>
                    </m:f>
                  </m:e>
                </m:nary>
              </m:e>
            </m:d>
          </m:den>
        </m:f>
      </m:oMath>
      <w:r>
        <w:rPr>
          <w:rFonts w:cs="Times New Roman" w:ascii="Times New Roman" w:hAnsi="Times New Roman"/>
          <w:color w:val="000000"/>
          <w:szCs w:val="24"/>
        </w:rPr>
        <w:t xml:space="preserve"> </w:t>
      </w:r>
      <w:r>
        <w:rPr>
          <w:rFonts w:cs="Times New Roman" w:ascii="Times New Roman" w:hAnsi="Times New Roman"/>
          <w:color w:val="000000"/>
          <w:szCs w:val="24"/>
        </w:rPr>
        <w:t xml:space="preserve">, </w:t>
        <w:tab/>
        <w:t>(</w:t>
      </w:r>
      <w:r>
        <w:rPr>
          <w:rFonts w:eastAsia="Liberation Mono" w:cs="Times New Roman" w:ascii="Times New Roman" w:hAnsi="Times New Roman"/>
          <w:i/>
          <w:iCs/>
          <w:color w:val="000000"/>
          <w:kern w:val="0"/>
          <w:sz w:val="24"/>
          <w:szCs w:val="24"/>
          <w:lang w:val="en-US" w:eastAsia="en-US" w:bidi="ar-SA"/>
        </w:rPr>
        <w:t>S1</w:t>
      </w:r>
      <w:r>
        <w:rPr>
          <w:rFonts w:cs="Times New Roman" w:ascii="Times New Roman" w:hAnsi="Times New Roman"/>
          <w:color w:val="000000"/>
          <w:szCs w:val="24"/>
        </w:rPr>
        <w:t>)</w:t>
      </w:r>
    </w:p>
    <w:p>
      <w:pPr>
        <w:pStyle w:val="PreformattedText"/>
        <w:rPr/>
      </w:pPr>
      <w:r>
        <w:rPr>
          <w:rFonts w:cs="Times New Roman" w:ascii="Times New Roman" w:hAnsi="Times New Roman"/>
          <w:color w:val="000000"/>
          <w:szCs w:val="24"/>
        </w:rPr>
        <w:t xml:space="preserve">with </w:t>
      </w:r>
      <w:r>
        <w:rPr>
          <w:rFonts w:cs="Times New Roman" w:ascii="Times New Roman" w:hAnsi="Times New Roman"/>
          <w:i/>
          <w:iCs/>
          <w:color w:val="000000"/>
          <w:szCs w:val="24"/>
        </w:rPr>
        <w:t>A</w:t>
      </w:r>
      <w:r>
        <w:rPr>
          <w:rFonts w:cs="Times New Roman" w:ascii="Times New Roman" w:hAnsi="Times New Roman"/>
          <w:i/>
          <w:iCs/>
          <w:color w:val="000000"/>
          <w:szCs w:val="24"/>
          <w:vertAlign w:val="subscript"/>
        </w:rPr>
        <w:t>e</w:t>
      </w:r>
      <w:r>
        <w:rPr>
          <w:rFonts w:cs="Times New Roman" w:ascii="Times New Roman" w:hAnsi="Times New Roman"/>
          <w:i/>
          <w:color w:val="000000"/>
          <w:szCs w:val="24"/>
        </w:rPr>
        <w:t xml:space="preserve"> </w:t>
      </w:r>
      <w:r>
        <w:rPr>
          <w:rFonts w:cs="Times New Roman" w:ascii="Times New Roman" w:hAnsi="Times New Roman"/>
          <w:color w:val="000000"/>
          <w:szCs w:val="24"/>
        </w:rPr>
        <w:t xml:space="preserve">representing a high-temperature limit, </w:t>
      </w:r>
      <w:r>
        <w:rPr>
          <w:rFonts w:cs="Times New Roman" w:ascii="Times New Roman" w:hAnsi="Times New Roman"/>
          <w:i/>
          <w:iCs/>
          <w:color w:val="000000"/>
          <w:szCs w:val="24"/>
        </w:rPr>
        <w:t>B</w:t>
      </w:r>
      <w:r>
        <w:rPr>
          <w:rFonts w:cs="Times New Roman" w:ascii="Times New Roman" w:hAnsi="Times New Roman"/>
          <w:i/>
          <w:iCs/>
          <w:color w:val="000000"/>
          <w:szCs w:val="24"/>
          <w:vertAlign w:val="subscript"/>
        </w:rPr>
        <w:t>e</w:t>
      </w:r>
      <w:r>
        <w:rPr>
          <w:rFonts w:cs="Times New Roman" w:ascii="Times New Roman" w:hAnsi="Times New Roman"/>
          <w:color w:val="000000"/>
          <w:szCs w:val="24"/>
        </w:rPr>
        <w:t xml:space="preserve"> a term proportional to the energy barriers opposed to  molecular re-arrangements, and </w:t>
      </w:r>
      <w:r>
        <w:rPr>
          <w:rFonts w:cs="Times New Roman" w:ascii="Times New Roman" w:hAnsi="Times New Roman"/>
          <w:i/>
          <w:iCs/>
          <w:color w:val="000000"/>
          <w:szCs w:val="24"/>
        </w:rPr>
        <w:t>S</w:t>
      </w:r>
      <w:r>
        <w:rPr>
          <w:rFonts w:cs="Times New Roman" w:ascii="Times New Roman" w:hAnsi="Times New Roman"/>
          <w:i/>
          <w:iCs/>
          <w:color w:val="000000"/>
          <w:szCs w:val="24"/>
          <w:vertAlign w:val="superscript"/>
        </w:rPr>
        <w:t>conf</w:t>
      </w:r>
      <w:r>
        <w:rPr>
          <w:rFonts w:cs="Times New Roman" w:ascii="Times New Roman" w:hAnsi="Times New Roman"/>
          <w:color w:val="000000"/>
          <w:szCs w:val="24"/>
        </w:rPr>
        <w:t xml:space="preserve"> and </w:t>
      </w:r>
      <w:r>
        <w:rPr>
          <w:rFonts w:cs="Times New Roman" w:ascii="Times New Roman" w:hAnsi="Times New Roman"/>
          <w:i/>
          <w:iCs/>
          <w:color w:val="000000"/>
          <w:szCs w:val="24"/>
        </w:rPr>
        <w:t>C</w:t>
      </w:r>
      <w:r>
        <w:rPr>
          <w:rFonts w:cs="Times New Roman" w:ascii="Times New Roman" w:hAnsi="Times New Roman"/>
          <w:i/>
          <w:iCs/>
          <w:color w:val="000000"/>
          <w:szCs w:val="24"/>
          <w:vertAlign w:val="subscript"/>
        </w:rPr>
        <w:t>p</w:t>
      </w:r>
      <w:r>
        <w:rPr>
          <w:rFonts w:cs="Times New Roman" w:ascii="Times New Roman" w:hAnsi="Times New Roman"/>
          <w:i/>
          <w:iCs/>
          <w:color w:val="000000"/>
          <w:szCs w:val="24"/>
          <w:vertAlign w:val="superscript"/>
        </w:rPr>
        <w:t>conf</w:t>
      </w:r>
      <w:r>
        <w:rPr>
          <w:rFonts w:cs="Times New Roman" w:ascii="Times New Roman" w:hAnsi="Times New Roman"/>
          <w:color w:val="000000"/>
          <w:szCs w:val="24"/>
        </w:rPr>
        <w:t xml:space="preserve"> the melt configurational entropy and heat capacity, respectively. </w:t>
      </w:r>
      <w:r>
        <w:rPr>
          <w:rFonts w:cs="Times New Roman" w:ascii="Times New Roman" w:hAnsi="Times New Roman"/>
          <w:i/>
          <w:iCs/>
          <w:color w:val="000000"/>
          <w:szCs w:val="24"/>
        </w:rPr>
        <w:t>T</w:t>
      </w:r>
      <w:r>
        <w:rPr>
          <w:rFonts w:cs="Times New Roman" w:ascii="Times New Roman" w:hAnsi="Times New Roman"/>
          <w:i/>
          <w:iCs/>
          <w:color w:val="000000"/>
          <w:szCs w:val="24"/>
          <w:vertAlign w:val="subscript"/>
        </w:rPr>
        <w:t>g</w:t>
      </w:r>
      <w:r>
        <w:rPr>
          <w:rFonts w:cs="Times New Roman" w:ascii="Times New Roman" w:hAnsi="Times New Roman"/>
          <w:color w:val="000000"/>
          <w:szCs w:val="24"/>
        </w:rPr>
        <w:t xml:space="preserve"> is the ‘glass transition temperature’, at which melt is frozen-in into glass upon quench (for convenience, we adopt hereafter the empirical definition of </w:t>
      </w:r>
      <w:r>
        <w:rPr>
          <w:rFonts w:cs="Times New Roman" w:ascii="Times New Roman" w:hAnsi="Times New Roman"/>
          <w:i/>
          <w:iCs/>
          <w:color w:val="000000"/>
          <w:szCs w:val="24"/>
        </w:rPr>
        <w:t>T</w:t>
      </w:r>
      <w:r>
        <w:rPr>
          <w:rFonts w:cs="Times New Roman" w:ascii="Times New Roman" w:hAnsi="Times New Roman"/>
          <w:i/>
          <w:iCs/>
          <w:color w:val="000000"/>
          <w:szCs w:val="24"/>
          <w:vertAlign w:val="subscript"/>
        </w:rPr>
        <w:t>g</w:t>
      </w:r>
      <w:r>
        <w:rPr>
          <w:rFonts w:cs="Times New Roman" w:ascii="Times New Roman" w:hAnsi="Times New Roman"/>
          <w:color w:val="000000"/>
          <w:szCs w:val="24"/>
        </w:rPr>
        <w:t xml:space="preserve"> as equal to the temperature for which </w:t>
      </w:r>
      <w:r>
        <w:rPr>
          <w:rFonts w:cs="Times New Roman" w:ascii="Times New Roman" w:hAnsi="Times New Roman"/>
          <w:i/>
          <w:iCs/>
          <w:color w:val="000000"/>
          <w:szCs w:val="24"/>
        </w:rPr>
        <w:t>η</w:t>
      </w:r>
      <w:r>
        <w:rPr>
          <w:rFonts w:cs="Times New Roman" w:ascii="Times New Roman" w:hAnsi="Times New Roman"/>
          <w:color w:val="000000"/>
          <w:szCs w:val="24"/>
        </w:rPr>
        <w:t xml:space="preserve"> = 10</w:t>
      </w:r>
      <w:r>
        <w:rPr>
          <w:rFonts w:cs="Times New Roman" w:ascii="Times New Roman" w:hAnsi="Times New Roman"/>
          <w:color w:val="000000"/>
          <w:szCs w:val="24"/>
          <w:vertAlign w:val="superscript"/>
        </w:rPr>
        <w:t>12</w:t>
      </w:r>
      <w:r>
        <w:rPr>
          <w:rFonts w:cs="Times New Roman" w:ascii="Times New Roman" w:hAnsi="Times New Roman"/>
          <w:color w:val="000000"/>
          <w:szCs w:val="24"/>
        </w:rPr>
        <w:t xml:space="preserve"> Pa·s). </w:t>
      </w:r>
    </w:p>
    <w:p>
      <w:pPr>
        <w:pStyle w:val="PreformattedText"/>
        <w:rPr>
          <w:rFonts w:ascii="Times New Roman" w:hAnsi="Times New Roman" w:cs="Times New Roman"/>
          <w:color w:val="000000"/>
          <w:szCs w:val="24"/>
        </w:rPr>
      </w:pPr>
      <w:r>
        <w:rPr>
          <w:rFonts w:cs="Times New Roman" w:ascii="Times New Roman" w:hAnsi="Times New Roman"/>
          <w:color w:val="000000"/>
          <w:szCs w:val="24"/>
        </w:rPr>
      </w:r>
    </w:p>
    <w:p>
      <w:pPr>
        <w:pStyle w:val="PreformattedText"/>
        <w:rPr/>
      </w:pPr>
      <w:r>
        <w:rPr>
          <w:rFonts w:cs="Times New Roman" w:ascii="Times New Roman" w:hAnsi="Times New Roman"/>
          <w:color w:val="000000"/>
          <w:szCs w:val="24"/>
        </w:rPr>
        <w:t xml:space="preserve">Alternatively, one might adopt the Free Volume model </w:t>
      </w:r>
      <w:bookmarkStart w:id="2" w:name="ZOTERO_BREF_FoSAVoB7W60u"/>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31</w:t>
      </w:r>
      <w:r>
        <w:rPr>
          <w:b w:val="false"/>
          <w:caps w:val="false"/>
          <w:smallCaps w:val="false"/>
          <w:position w:val="0"/>
          <w:sz w:val="24"/>
          <w:sz w:val="24"/>
          <w:u w:val="none"/>
          <w:vertAlign w:val="baseline"/>
        </w:rPr>
        <w:t>)</w:t>
      </w:r>
      <w:bookmarkEnd w:id="2"/>
      <w:r>
        <w:rPr>
          <w:rFonts w:cs="Times New Roman" w:ascii="Times New Roman" w:hAnsi="Times New Roman"/>
          <w:color w:val="000000"/>
          <w:szCs w:val="24"/>
        </w:rPr>
        <w:t>, which states that melts present liquid-like and solid-like molecular cells, their mobility being ensured by atomic diffusivity within/between liquid-like cells. This takes the form</w:t>
      </w:r>
    </w:p>
    <w:p>
      <w:pPr>
        <w:pStyle w:val="PreformattedText"/>
        <w:tabs>
          <w:tab w:val="clear" w:pos="720"/>
          <w:tab w:val="left" w:pos="8225" w:leader="none"/>
          <w:tab w:val="left" w:pos="8505"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FV</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2</m:t>
        </m:r>
        <m:sSub>
          <m:e>
            <m:r>
              <w:rPr>
                <w:rFonts w:ascii="Cambria Math" w:hAnsi="Cambria Math"/>
              </w:rPr>
              <m:t xml:space="preserve">B</m:t>
            </m:r>
          </m:e>
          <m:sub>
            <m:r>
              <w:rPr>
                <w:rFonts w:ascii="Cambria Math" w:hAnsi="Cambria Math"/>
              </w:rPr>
              <m:t xml:space="preserve">FV</m:t>
            </m:r>
          </m:sub>
        </m:sSub>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r>
                  <w:rPr>
                    <w:rFonts w:ascii="Cambria Math" w:hAnsi="Cambria Math"/>
                  </w:rPr>
                  <m:t xml:space="preserve">+</m:t>
                </m:r>
                <m:rad>
                  <m:radPr>
                    <m:degHide m:val="1"/>
                  </m:radPr>
                  <m:deg/>
                  <m:e>
                    <m:d>
                      <m:dPr>
                        <m:begChr m:val="("/>
                        <m:endChr m:val=")"/>
                      </m:dPr>
                      <m:e>
                        <m:sSup>
                          <m:e>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e>
                            </m:d>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FV</m:t>
                            </m:r>
                          </m:sub>
                        </m:sSub>
                        <m:d>
                          <m:dPr>
                            <m:begChr m:val="("/>
                            <m:endChr m:val=")"/>
                          </m:dPr>
                          <m:e>
                            <m:r>
                              <w:rPr>
                                <w:rFonts w:ascii="Cambria Math" w:hAnsi="Cambria Math"/>
                              </w:rPr>
                              <m:t xml:space="preserve">x</m:t>
                            </m:r>
                          </m:e>
                        </m:d>
                        <m:r>
                          <w:rPr>
                            <w:rFonts w:ascii="Cambria Math" w:hAnsi="Cambria Math"/>
                          </w:rPr>
                          <m:t xml:space="preserve">T</m:t>
                        </m:r>
                      </m:e>
                    </m:d>
                  </m:e>
                </m:rad>
              </m:e>
            </m:d>
          </m:den>
        </m:f>
      </m:oMath>
      <w:r>
        <w:rPr>
          <w:rFonts w:cs="Times New Roman" w:ascii="Times New Roman" w:hAnsi="Times New Roman"/>
          <w:color w:val="000000"/>
          <w:szCs w:val="24"/>
        </w:rPr>
        <w:t xml:space="preserve"> </w:t>
      </w:r>
      <w:r>
        <w:rPr>
          <w:rFonts w:cs="Times New Roman" w:ascii="Times New Roman" w:hAnsi="Times New Roman"/>
          <w:b/>
          <w:color w:val="000000"/>
          <w:szCs w:val="24"/>
        </w:rPr>
        <w:t>,</w:t>
      </w:r>
      <w:r>
        <w:rPr>
          <w:rFonts w:cs="Times New Roman" w:ascii="Times New Roman" w:hAnsi="Times New Roman"/>
          <w:color w:val="000000"/>
          <w:szCs w:val="24"/>
        </w:rPr>
        <w:t xml:space="preserve"> </w:t>
        <w:tab/>
        <w:t>(</w:t>
      </w:r>
      <w:r>
        <w:rPr>
          <w:rFonts w:eastAsia="Liberation Mono" w:cs="Times New Roman" w:ascii="Times New Roman" w:hAnsi="Times New Roman"/>
          <w:i/>
          <w:iCs/>
          <w:color w:val="000000"/>
          <w:kern w:val="0"/>
          <w:sz w:val="24"/>
          <w:szCs w:val="24"/>
          <w:lang w:val="en-US" w:eastAsia="en-US" w:bidi="ar-SA"/>
        </w:rPr>
        <w:t>S2</w:t>
      </w:r>
      <w:r>
        <w:rPr>
          <w:rFonts w:cs="Times New Roman" w:ascii="Times New Roman" w:hAnsi="Times New Roman"/>
          <w:color w:val="000000"/>
          <w:szCs w:val="24"/>
        </w:rPr>
        <w:t>)</w:t>
      </w:r>
    </w:p>
    <w:p>
      <w:pPr>
        <w:pStyle w:val="PreformattedText"/>
        <w:rPr>
          <w:iCs/>
          <w:szCs w:val="24"/>
        </w:rPr>
      </w:pPr>
      <w:r>
        <w:rPr>
          <w:rFonts w:cs="Times New Roman" w:ascii="Times New Roman" w:hAnsi="Times New Roman"/>
          <w:iCs/>
          <w:color w:val="000000"/>
          <w:szCs w:val="24"/>
        </w:rPr>
        <w:t xml:space="preserve">with </w:t>
      </w:r>
      <w:r>
        <w:rPr/>
      </w:r>
      <m:oMath xmlns:m="http://schemas.openxmlformats.org/officeDocument/2006/math">
        <m:sSub>
          <m:e>
            <m:r>
              <w:rPr>
                <w:rFonts w:ascii="Cambria Math" w:hAnsi="Cambria Math"/>
              </w:rPr>
              <m:t xml:space="preserve">A</m:t>
            </m:r>
          </m:e>
          <m:sub>
            <m:r>
              <w:rPr>
                <w:rFonts w:ascii="Cambria Math" w:hAnsi="Cambria Math"/>
              </w:rPr>
              <m:t xml:space="preserve">FV</m:t>
            </m:r>
          </m:sub>
        </m:sSub>
        <m:d>
          <m:dPr>
            <m:begChr m:val="("/>
            <m:endChr m:val=")"/>
          </m:dPr>
          <m:e>
            <m:r>
              <w:rPr>
                <w:rFonts w:ascii="Cambria Math" w:hAnsi="Cambria Math"/>
              </w:rPr>
              <m:t xml:space="preserve">x</m:t>
            </m:r>
          </m:e>
        </m:d>
      </m:oMath>
      <w:r>
        <w:rPr>
          <w:iCs/>
          <w:szCs w:val="24"/>
        </w:rPr>
        <w:t xml:space="preserve"> </w:t>
      </w:r>
      <w:r>
        <w:rPr>
          <w:rFonts w:cs="Times New Roman" w:ascii="Times New Roman" w:hAnsi="Times New Roman"/>
          <w:iCs/>
          <w:color w:val="000000"/>
          <w:szCs w:val="24"/>
        </w:rPr>
        <w:t xml:space="preserve">again representing the high-temperature limit, and </w:t>
      </w:r>
      <w:r>
        <w:rPr/>
      </w:r>
      <m:oMath xmlns:m="http://schemas.openxmlformats.org/officeDocument/2006/math">
        <m:sSub>
          <m:e>
            <m:r>
              <w:rPr>
                <w:rFonts w:ascii="Cambria Math" w:hAnsi="Cambria Math"/>
              </w:rPr>
              <m:t xml:space="preserve">B</m:t>
            </m:r>
          </m:e>
          <m:sub>
            <m:r>
              <w:rPr>
                <w:rFonts w:ascii="Cambria Math" w:hAnsi="Cambria Math"/>
              </w:rPr>
              <m:t xml:space="preserve">FV</m:t>
            </m:r>
          </m:sub>
        </m:sSub>
        <m:d>
          <m:dPr>
            <m:begChr m:val="("/>
            <m:endChr m:val=")"/>
          </m:dPr>
          <m:e>
            <m:r>
              <w:rPr>
                <w:rFonts w:ascii="Cambria Math" w:hAnsi="Cambria Math"/>
              </w:rPr>
              <m:t xml:space="preserve">x</m:t>
            </m:r>
          </m:e>
        </m:d>
      </m:oMath>
      <w:r>
        <w:rPr>
          <w:rFonts w:cs="Times New Roman" w:ascii="Times New Roman" w:hAnsi="Times New Roman"/>
          <w:iCs/>
          <w:color w:val="000000"/>
          <w:szCs w:val="24"/>
        </w:rPr>
        <w:t xml:space="preserve">, </w:t>
      </w:r>
      <w:r>
        <w:rPr/>
      </w:r>
      <m:oMath xmlns:m="http://schemas.openxmlformats.org/officeDocument/2006/math">
        <m:sSub>
          <m:e>
            <m:r>
              <w:rPr>
                <w:rFonts w:ascii="Cambria Math" w:hAnsi="Cambria Math"/>
              </w:rPr>
              <m:t xml:space="preserve">C</m:t>
            </m:r>
          </m:e>
          <m:sub>
            <m:r>
              <w:rPr>
                <w:rFonts w:ascii="Cambria Math" w:hAnsi="Cambria Math"/>
              </w:rPr>
              <m:t xml:space="preserve">FV</m:t>
            </m:r>
          </m:sub>
        </m:sSub>
        <m:d>
          <m:dPr>
            <m:begChr m:val="("/>
            <m:endChr m:val=")"/>
          </m:dPr>
          <m:e>
            <m:r>
              <w:rPr>
                <w:rFonts w:ascii="Cambria Math" w:hAnsi="Cambria Math"/>
              </w:rPr>
              <m:t xml:space="preserve">x</m:t>
            </m:r>
          </m:e>
        </m:d>
      </m:oMath>
      <w:r>
        <w:rPr>
          <w:rFonts w:cs="Times New Roman" w:ascii="Times New Roman" w:hAnsi="Times New Roman"/>
          <w:iCs/>
          <w:color w:val="000000"/>
          <w:szCs w:val="24"/>
        </w:rPr>
        <w:t xml:space="preserve"> and </w:t>
      </w:r>
      <w:r>
        <w:rPr/>
      </w:r>
      <m:oMath xmlns:m="http://schemas.openxmlformats.org/officeDocument/2006/math">
        <m:sSub>
          <m:e>
            <m:r>
              <w:rPr>
                <w:rFonts w:ascii="Cambria Math" w:hAnsi="Cambria Math"/>
              </w:rPr>
              <m:t xml:space="preserve">T</m:t>
            </m:r>
          </m:e>
          <m:sub>
            <m:r>
              <w:rPr>
                <w:rFonts w:ascii="Cambria Math" w:hAnsi="Cambria Math"/>
              </w:rPr>
              <m:t xml:space="preserve">o</m:t>
            </m:r>
          </m:sub>
        </m:sSub>
        <m:d>
          <m:dPr>
            <m:begChr m:val="("/>
            <m:endChr m:val=")"/>
          </m:dPr>
          <m:e>
            <m:r>
              <w:rPr>
                <w:rFonts w:ascii="Cambria Math" w:hAnsi="Cambria Math"/>
              </w:rPr>
              <m:t xml:space="preserve">x</m:t>
            </m:r>
          </m:e>
        </m:d>
      </m:oMath>
      <w:r>
        <w:rPr>
          <w:rFonts w:cs="Times New Roman" w:ascii="Times New Roman" w:hAnsi="Times New Roman"/>
          <w:iCs/>
          <w:color w:val="000000"/>
          <w:szCs w:val="24"/>
        </w:rPr>
        <w:t xml:space="preserve"> latent variables related to free volumes’ properties like percolation, size and numbers.</w:t>
      </w:r>
    </w:p>
    <w:p>
      <w:pPr>
        <w:pStyle w:val="Normal"/>
        <w:rPr>
          <w:iCs/>
          <w:szCs w:val="24"/>
        </w:rPr>
      </w:pPr>
      <w:r>
        <w:rPr>
          <w:iCs/>
          <w:szCs w:val="24"/>
        </w:rPr>
      </w:r>
    </w:p>
    <w:p>
      <w:pPr>
        <w:pStyle w:val="Normal"/>
        <w:rPr>
          <w:iCs/>
          <w:szCs w:val="24"/>
        </w:rPr>
      </w:pPr>
      <w:r>
        <w:rPr>
          <w:iCs/>
          <w:szCs w:val="24"/>
        </w:rPr>
        <w:t xml:space="preserve">Beyond the Free Volume and Adam-Gibbs models, many other theories have been proposed to describe the viscous flow of liquids. Among those, some are empirical like the Tamman-Vogel-Fulcher (TVF) equation, or semi-empirical like </w:t>
      </w:r>
      <w:r>
        <w:rPr>
          <w:iCs/>
          <w:color w:val="000000"/>
          <w:szCs w:val="24"/>
        </w:rPr>
        <w:t xml:space="preserve">the Avramov and Milchev (AM) </w:t>
      </w:r>
      <w:bookmarkStart w:id="3" w:name="ZOTERO_BREF_ig7vXQYwEYL6H4rdzzMNs"/>
      <w:bookmarkStart w:id="4" w:name="ZOTERO_BREF_zQ7i7tSJQThu"/>
      <w:bookmarkEnd w:id="4"/>
      <w:r>
        <w:rPr>
          <w:b w:val="false"/>
          <w:iCs/>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32</w:t>
      </w:r>
      <w:r>
        <w:rPr>
          <w:b w:val="false"/>
          <w:caps w:val="false"/>
          <w:smallCaps w:val="false"/>
          <w:position w:val="0"/>
          <w:sz w:val="24"/>
          <w:sz w:val="24"/>
          <w:u w:val="none"/>
          <w:vertAlign w:val="baseline"/>
        </w:rPr>
        <w:t>)</w:t>
      </w:r>
      <w:bookmarkEnd w:id="3"/>
      <w:r>
        <w:rPr/>
        <w:t xml:space="preserve"> </w:t>
      </w:r>
      <w:r>
        <w:rPr>
          <w:iCs/>
          <w:color w:val="000000"/>
          <w:szCs w:val="24"/>
        </w:rPr>
        <w:t xml:space="preserve">model. We can also cite the MYEGA model </w:t>
      </w:r>
      <w:bookmarkStart w:id="5" w:name="ZOTERO_BREF_98ssWAuvJ1ZIkl9XJ7tJt"/>
      <w:r>
        <w:rPr>
          <w:b w:val="false"/>
          <w:iCs/>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33</w:t>
      </w:r>
      <w:r>
        <w:rPr>
          <w:b w:val="false"/>
          <w:caps w:val="false"/>
          <w:smallCaps w:val="false"/>
          <w:position w:val="0"/>
          <w:sz w:val="24"/>
          <w:sz w:val="24"/>
          <w:u w:val="none"/>
          <w:vertAlign w:val="baseline"/>
        </w:rPr>
        <w:t>)</w:t>
      </w:r>
      <w:bookmarkEnd w:id="5"/>
      <w:r>
        <w:rPr>
          <w:iCs/>
          <w:color w:val="000000"/>
          <w:szCs w:val="24"/>
        </w:rPr>
        <w:t xml:space="preserve"> </w:t>
      </w:r>
      <w:r>
        <w:rPr>
          <w:iCs/>
          <w:szCs w:val="24"/>
        </w:rPr>
        <w:t xml:space="preserve"> that directly derives from eq. S1. The TVF equation is</w:t>
      </w:r>
    </w:p>
    <w:p>
      <w:pPr>
        <w:pStyle w:val="PreformattedText"/>
        <w:tabs>
          <w:tab w:val="clear" w:pos="720"/>
          <w:tab w:val="left" w:pos="8225" w:leader="none"/>
          <w:tab w:val="left" w:pos="8505" w:leader="none"/>
        </w:tabs>
        <w:rPr>
          <w:iCs/>
          <w:szCs w:val="24"/>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TVF</m:t>
            </m:r>
          </m:sub>
        </m:sSub>
        <m:d>
          <m:dPr>
            <m:begChr m:val="("/>
            <m:endChr m:val=")"/>
          </m:dPr>
          <m:e>
            <m:r>
              <w:rPr>
                <w:rFonts w:ascii="Cambria Math" w:hAnsi="Cambria Math"/>
              </w:rPr>
              <m:t xml:space="preserve">x</m:t>
            </m:r>
          </m:e>
        </m:d>
        <m:r>
          <w:rPr>
            <w:rFonts w:ascii="Cambria Math" w:hAnsi="Cambria Math"/>
          </w:rPr>
          <m:t xml:space="preserve">+</m:t>
        </m:r>
        <m:f>
          <m:fPr>
            <m:type m:val="lin"/>
          </m:fPr>
          <m:num>
            <m:sSub>
              <m:e>
                <m:r>
                  <w:rPr>
                    <w:rFonts w:ascii="Cambria Math" w:hAnsi="Cambria Math"/>
                  </w:rPr>
                  <m:t xml:space="preserve">B</m:t>
                </m:r>
              </m:e>
              <m:sub>
                <m:r>
                  <w:rPr>
                    <w:rFonts w:ascii="Cambria Math" w:hAnsi="Cambria Math"/>
                  </w:rPr>
                  <m:t xml:space="preserve">TVF</m:t>
                </m:r>
              </m:sub>
            </m:sSub>
          </m:num>
          <m:den>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e>
            </m:d>
          </m:den>
        </m:f>
      </m:oMath>
      <w:r>
        <w:rPr>
          <w:iCs/>
          <w:szCs w:val="24"/>
        </w:rPr>
        <w:t>,</w:t>
        <w:tab/>
        <w:t>(</w:t>
      </w:r>
      <w:r>
        <w:rPr>
          <w:rFonts w:eastAsia="Liberation Mono" w:cs="Liberation Mono"/>
          <w:i/>
          <w:iCs/>
          <w:color w:val="auto"/>
          <w:kern w:val="0"/>
          <w:sz w:val="24"/>
          <w:szCs w:val="24"/>
          <w:lang w:val="en-US" w:eastAsia="en-US" w:bidi="ar-SA"/>
        </w:rPr>
        <w:t>S3</w:t>
      </w:r>
      <w:r>
        <w:rPr>
          <w:iCs/>
          <w:szCs w:val="24"/>
        </w:rPr>
        <w:t>)</w:t>
      </w:r>
    </w:p>
    <w:p>
      <w:pPr>
        <w:pStyle w:val="PreformattedText"/>
        <w:tabs>
          <w:tab w:val="clear" w:pos="720"/>
          <w:tab w:val="left" w:pos="8225" w:leader="none"/>
          <w:tab w:val="left" w:pos="8505" w:leader="none"/>
        </w:tabs>
        <w:rPr>
          <w:iCs/>
          <w:szCs w:val="24"/>
        </w:rPr>
      </w:pPr>
      <w:r>
        <w:rPr>
          <w:rFonts w:cs="Times New Roman" w:ascii="Times New Roman" w:hAnsi="Times New Roman"/>
          <w:iCs/>
          <w:color w:val="000000"/>
          <w:szCs w:val="24"/>
        </w:rPr>
        <w:t>with A</w:t>
      </w:r>
      <w:r>
        <w:rPr>
          <w:rFonts w:cs="Times New Roman" w:ascii="Times New Roman" w:hAnsi="Times New Roman"/>
          <w:iCs/>
          <w:color w:val="000000"/>
          <w:szCs w:val="24"/>
          <w:vertAlign w:val="subscript"/>
        </w:rPr>
        <w:t>TVF</w:t>
      </w:r>
      <w:r>
        <w:rPr>
          <w:rFonts w:cs="Times New Roman" w:ascii="Times New Roman" w:hAnsi="Times New Roman"/>
          <w:iCs/>
          <w:color w:val="000000"/>
          <w:szCs w:val="24"/>
        </w:rPr>
        <w:t>, B</w:t>
      </w:r>
      <w:r>
        <w:rPr>
          <w:rFonts w:cs="Times New Roman" w:ascii="Times New Roman" w:hAnsi="Times New Roman"/>
          <w:iCs/>
          <w:color w:val="000000"/>
          <w:szCs w:val="24"/>
          <w:vertAlign w:val="subscript"/>
        </w:rPr>
        <w:t>TVF</w:t>
      </w:r>
      <w:r>
        <w:rPr>
          <w:rFonts w:cs="Times New Roman" w:ascii="Times New Roman" w:hAnsi="Times New Roman"/>
          <w:iCs/>
          <w:color w:val="000000"/>
          <w:szCs w:val="24"/>
        </w:rPr>
        <w:t xml:space="preserve"> and T</w:t>
      </w:r>
      <w:r>
        <w:rPr>
          <w:rFonts w:cs="Times New Roman" w:ascii="Times New Roman" w:hAnsi="Times New Roman"/>
          <w:iCs/>
          <w:color w:val="000000"/>
          <w:szCs w:val="24"/>
          <w:vertAlign w:val="subscript"/>
        </w:rPr>
        <w:t xml:space="preserve">1 </w:t>
      </w:r>
      <w:r>
        <w:rPr>
          <w:rFonts w:cs="Times New Roman" w:ascii="Times New Roman" w:hAnsi="Times New Roman"/>
          <w:iCs/>
          <w:color w:val="000000"/>
          <w:szCs w:val="24"/>
        </w:rPr>
        <w:t>adjustable parameters. The AM model proposes the equation</w:t>
      </w:r>
    </w:p>
    <w:p>
      <w:pPr>
        <w:pStyle w:val="PreformattedText"/>
        <w:tabs>
          <w:tab w:val="clear" w:pos="720"/>
          <w:tab w:val="left" w:pos="8225" w:leader="none"/>
          <w:tab w:val="left" w:pos="8505"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e>
        </m:d>
        <m:sSup>
          <m:e>
            <m:d>
              <m:dPr>
                <m:begChr m:val="("/>
                <m:endChr m:val=")"/>
              </m:dPr>
              <m:e>
                <m:f>
                  <m:fPr>
                    <m:type m:val="lin"/>
                  </m:fPr>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e>
            </m:d>
          </m:e>
          <m:sup>
            <m:f>
              <m:fPr>
                <m:type m:val="lin"/>
              </m:fPr>
              <m:num>
                <m:r>
                  <w:rPr>
                    <w:rFonts w:ascii="Cambria Math" w:hAnsi="Cambria Math"/>
                  </w:rPr>
                  <m:t xml:space="preserve">m</m:t>
                </m:r>
                <m:d>
                  <m:dPr>
                    <m:begChr m:val="("/>
                    <m:endChr m:val=")"/>
                  </m:dPr>
                  <m:e>
                    <m:r>
                      <w:rPr>
                        <w:rFonts w:ascii="Cambria Math" w:hAnsi="Cambria Math"/>
                      </w:rPr>
                      <m:t xml:space="preserve">x</m:t>
                    </m:r>
                  </m:e>
                </m:d>
              </m:num>
              <m:den>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e>
                </m:d>
              </m:den>
            </m:f>
          </m:sup>
        </m:sSup>
      </m:oMath>
      <w:r>
        <w:rPr/>
        <w:t>,</w:t>
        <w:tab/>
        <w:t>(</w:t>
      </w:r>
      <w:r>
        <w:rPr>
          <w:rFonts w:eastAsia="Liberation Mono" w:cs="Liberation Mono"/>
          <w:color w:val="auto"/>
          <w:kern w:val="0"/>
          <w:sz w:val="24"/>
          <w:szCs w:val="20"/>
          <w:lang w:val="en-US" w:eastAsia="en-US" w:bidi="ar-SA"/>
        </w:rPr>
        <w:t>S4</w:t>
      </w:r>
      <w:r>
        <w:rPr/>
        <w:t>)</w:t>
      </w:r>
    </w:p>
    <w:p>
      <w:pPr>
        <w:pStyle w:val="PreformattedText"/>
        <w:tabs>
          <w:tab w:val="clear" w:pos="720"/>
          <w:tab w:val="left" w:pos="8225" w:leader="none"/>
          <w:tab w:val="left" w:pos="8505" w:leader="none"/>
        </w:tabs>
        <w:rPr/>
      </w:pPr>
      <w:r>
        <w:rPr/>
        <w:t xml:space="preserve">with </w:t>
      </w:r>
      <w:r>
        <w:rPr>
          <w:rFonts w:cs="Times New Roman" w:ascii="Times New Roman" w:hAnsi="Times New Roman"/>
          <w:color w:val="000000"/>
          <w:szCs w:val="24"/>
        </w:rPr>
        <w:t>A</w:t>
      </w:r>
      <w:r>
        <w:rPr>
          <w:rFonts w:cs="Times New Roman" w:ascii="Times New Roman" w:hAnsi="Times New Roman"/>
          <w:color w:val="000000"/>
          <w:szCs w:val="24"/>
          <w:vertAlign w:val="subscript"/>
        </w:rPr>
        <w:t>AM</w:t>
      </w:r>
      <w:r>
        <w:rPr>
          <w:rFonts w:cs="Times New Roman" w:ascii="Times New Roman" w:hAnsi="Times New Roman"/>
          <w:color w:val="000000"/>
          <w:szCs w:val="24"/>
        </w:rPr>
        <w:t xml:space="preserve"> a pre-exponential terms proportional to </w:t>
      </w: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rFonts w:cs="Times New Roman" w:ascii="Times New Roman" w:hAnsi="Times New Roman"/>
          <w:color w:val="000000"/>
          <w:szCs w:val="24"/>
        </w:rPr>
        <w:t xml:space="preserve">, </w:t>
      </w:r>
      <w:r>
        <w:rPr>
          <w:rFonts w:cs="Times New Roman" w:ascii="Times New Roman" w:hAnsi="Times New Roman"/>
          <w:i/>
          <w:iCs/>
          <w:color w:val="000000"/>
          <w:szCs w:val="24"/>
        </w:rPr>
        <w:t>T</w:t>
      </w:r>
      <w:r>
        <w:rPr>
          <w:rFonts w:cs="Times New Roman" w:ascii="Times New Roman" w:hAnsi="Times New Roman"/>
          <w:i/>
          <w:iCs/>
          <w:color w:val="000000"/>
          <w:szCs w:val="24"/>
          <w:vertAlign w:val="subscript"/>
        </w:rPr>
        <w:t>g</w:t>
      </w:r>
      <w:r>
        <w:rPr>
          <w:rFonts w:cs="Times New Roman" w:ascii="Times New Roman" w:hAnsi="Times New Roman"/>
          <w:i/>
          <w:iCs/>
          <w:color w:val="000000"/>
          <w:szCs w:val="24"/>
        </w:rPr>
        <w:t>(x)</w:t>
      </w:r>
      <w:r>
        <w:rPr>
          <w:rFonts w:cs="Times New Roman" w:ascii="Times New Roman" w:hAnsi="Times New Roman"/>
          <w:color w:val="000000"/>
          <w:szCs w:val="24"/>
        </w:rPr>
        <w:t xml:space="preserve"> and </w:t>
      </w:r>
      <w:r>
        <w:rPr>
          <w:rFonts w:cs="Times New Roman" w:ascii="Times New Roman" w:hAnsi="Times New Roman"/>
          <w:i/>
          <w:iCs/>
          <w:color w:val="000000"/>
          <w:szCs w:val="24"/>
        </w:rPr>
        <w:t>m(x)</w:t>
      </w:r>
      <w:r>
        <w:rPr>
          <w:rFonts w:cs="Times New Roman" w:ascii="Times New Roman" w:hAnsi="Times New Roman"/>
          <w:color w:val="000000"/>
          <w:szCs w:val="24"/>
        </w:rPr>
        <w:t xml:space="preserve"> the melt glass transition temperature and fragility. The MYEGA equation can be written in a quite similar form:</w:t>
      </w:r>
    </w:p>
    <w:p>
      <w:pPr>
        <w:pStyle w:val="PreformattedText"/>
        <w:tabs>
          <w:tab w:val="clear" w:pos="720"/>
          <w:tab w:val="left" w:pos="8238" w:leader="none"/>
        </w:tabs>
        <w:rPr/>
      </w:pP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
          <m:dPr>
            <m:begChr m:val="("/>
            <m:endChr m:val=")"/>
          </m:dPr>
          <m:e>
            <m:f>
              <m:fPr>
                <m:type m:val="lin"/>
              </m:fPr>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e>
        </m:d>
        <m:sSup>
          <m:e>
            <m:r>
              <w:rPr>
                <w:rFonts w:ascii="Cambria Math" w:hAnsi="Cambria Math"/>
              </w:rPr>
              <m:t xml:space="preserve">e</m:t>
            </m:r>
          </m:e>
          <m:sup>
            <m:d>
              <m:dPr>
                <m:begChr m:val="("/>
                <m:endChr m:val=")"/>
              </m:dPr>
              <m:e>
                <m:r>
                  <w:rPr>
                    <w:rFonts w:ascii="Cambria Math" w:hAnsi="Cambria Math"/>
                  </w:rPr>
                  <m:t xml:space="preserve">m</m:t>
                </m:r>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en>
                </m:f>
                <m:r>
                  <w:rPr>
                    <w:rFonts w:ascii="Cambria Math" w:hAnsi="Cambria Math"/>
                  </w:rPr>
                  <m:t xml:space="preserve">−</m:t>
                </m:r>
                <m:r>
                  <w:rPr>
                    <w:rFonts w:ascii="Cambria Math" w:hAnsi="Cambria Math"/>
                  </w:rPr>
                  <m:t xml:space="preserve">1</m:t>
                </m:r>
              </m:e>
            </m:d>
            <m:d>
              <m:dPr>
                <m:begChr m:val="("/>
                <m:endChr m:val=")"/>
              </m:dPr>
              <m:e>
                <m:f>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r>
                  <w:rPr>
                    <w:rFonts w:ascii="Cambria Math" w:hAnsi="Cambria Math"/>
                  </w:rPr>
                  <m:t xml:space="preserve">−</m:t>
                </m:r>
                <m:r>
                  <w:rPr>
                    <w:rFonts w:ascii="Cambria Math" w:hAnsi="Cambria Math"/>
                  </w:rPr>
                  <m:t xml:space="preserve">1</m:t>
                </m:r>
              </m:e>
            </m:d>
          </m:sup>
        </m:sSup>
      </m:oMath>
      <w:r>
        <w:rPr>
          <w:rFonts w:ascii="Times New Roman" w:hAnsi="Times New Roman"/>
        </w:rPr>
        <w:t xml:space="preserve"> </w:t>
      </w:r>
      <w:r>
        <w:rPr>
          <w:rFonts w:cs="Times New Roman" w:ascii="Times New Roman" w:hAnsi="Times New Roman"/>
          <w:b/>
          <w:color w:val="000000"/>
          <w:szCs w:val="24"/>
        </w:rPr>
        <w:t>,</w:t>
      </w:r>
      <w:r>
        <w:rPr>
          <w:rFonts w:cs="Times New Roman" w:ascii="Times New Roman" w:hAnsi="Times New Roman"/>
          <w:color w:val="000000"/>
          <w:szCs w:val="24"/>
        </w:rPr>
        <w:tab/>
        <w:t>(</w:t>
      </w:r>
      <w:r>
        <w:rPr>
          <w:rFonts w:eastAsia="Liberation Mono" w:cs="Times New Roman" w:ascii="Times New Roman" w:hAnsi="Times New Roman"/>
          <w:color w:val="000000"/>
          <w:kern w:val="0"/>
          <w:sz w:val="24"/>
          <w:szCs w:val="24"/>
          <w:lang w:val="en-US" w:eastAsia="en-US" w:bidi="ar-SA"/>
        </w:rPr>
        <w:t>S5</w:t>
      </w:r>
      <w:r>
        <w:rPr>
          <w:rFonts w:cs="Times New Roman" w:ascii="Times New Roman" w:hAnsi="Times New Roman"/>
          <w:color w:val="000000"/>
          <w:szCs w:val="24"/>
        </w:rPr>
        <w:t>)</w:t>
      </w:r>
    </w:p>
    <w:p>
      <w:pPr>
        <w:pStyle w:val="PreformattedText"/>
        <w:tabs>
          <w:tab w:val="clear" w:pos="720"/>
          <w:tab w:val="left" w:pos="8225" w:leader="none"/>
          <w:tab w:val="left" w:pos="8505" w:leader="none"/>
        </w:tabs>
        <w:spacing w:before="0" w:after="0"/>
        <w:contextualSpacing/>
        <w:rPr>
          <w:szCs w:val="24"/>
          <w:lang w:val="en-GB"/>
        </w:rPr>
      </w:pPr>
      <w:r>
        <w:rPr>
          <w:rFonts w:ascii="Times New Roman" w:hAnsi="Times New Roman"/>
          <w:szCs w:val="24"/>
          <w:lang w:val="en-GB"/>
        </w:rPr>
        <w:t>with</w:t>
      </w:r>
      <w:r>
        <w:rPr>
          <w:rFonts w:cs="Times New Roman" w:ascii="Times New Roman" w:hAnsi="Times New Roman"/>
          <w:color w:val="000000"/>
          <w:szCs w:val="24"/>
          <w:lang w:val="en-GB"/>
        </w:rPr>
        <w:t xml:space="preserve"> </w:t>
      </w:r>
      <w:r>
        <w:rPr>
          <w:rFonts w:cs="Times New Roman" w:ascii="Times New Roman" w:hAnsi="Times New Roman"/>
          <w:i/>
          <w:iCs/>
          <w:color w:val="000000"/>
          <w:szCs w:val="24"/>
          <w:lang w:val="en-GB"/>
        </w:rPr>
        <w:t>A</w:t>
      </w:r>
      <w:r>
        <w:rPr>
          <w:rFonts w:cs="Times New Roman" w:ascii="Times New Roman" w:hAnsi="Times New Roman"/>
          <w:i/>
          <w:iCs/>
          <w:color w:val="000000"/>
          <w:szCs w:val="24"/>
          <w:vertAlign w:val="subscript"/>
          <w:lang w:val="en-GB"/>
        </w:rPr>
        <w:t xml:space="preserve">e </w:t>
      </w:r>
      <w:r>
        <w:rPr>
          <w:rFonts w:cs="Times New Roman" w:ascii="Times New Roman" w:hAnsi="Times New Roman"/>
          <w:color w:val="000000"/>
          <w:szCs w:val="24"/>
          <w:lang w:val="en-GB"/>
        </w:rPr>
        <w:t xml:space="preserve"> a pre-exponential term proportional to </w:t>
      </w:r>
      <w:r>
        <w:rPr/>
      </w:r>
      <m:oMath xmlns:m="http://schemas.openxmlformats.org/officeDocument/2006/math">
        <m:r>
          <w:rPr>
            <w:rFonts w:ascii="Cambria Math" w:hAnsi="Cambria Math"/>
          </w:rPr>
          <m:t xml:space="preserve">logη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t xml:space="preserve"> t</w:t>
      </w:r>
      <w:r>
        <w:rPr>
          <w:rFonts w:cs="Times New Roman" w:ascii="Times New Roman" w:hAnsi="Times New Roman"/>
          <w:color w:val="000000"/>
          <w:szCs w:val="24"/>
        </w:rPr>
        <w:t xml:space="preserve">hat was taken as equal to </w:t>
      </w:r>
      <w:r>
        <w:rPr>
          <w:rFonts w:eastAsia="Liberation Mono" w:cs="Times New Roman" w:ascii="Times New Roman" w:hAnsi="Times New Roman"/>
          <w:color w:val="000000"/>
          <w:kern w:val="0"/>
          <w:sz w:val="24"/>
          <w:szCs w:val="24"/>
          <w:lang w:val="en-US" w:eastAsia="en-US" w:bidi="ar-SA"/>
        </w:rPr>
        <w:t>that in</w:t>
      </w:r>
      <w:r>
        <w:rPr>
          <w:rFonts w:cs="Times New Roman" w:ascii="Times New Roman" w:hAnsi="Times New Roman"/>
          <w:color w:val="000000"/>
          <w:szCs w:val="24"/>
        </w:rPr>
        <w:t xml:space="preserve"> the Adam-Gibbs theory (eq. S1) because the MYEGA equation is a daughter product of the Adam-Gibbs theory</w:t>
      </w:r>
      <w:r>
        <w:rPr>
          <w:rFonts w:ascii="Times New Roman" w:hAnsi="Times New Roman"/>
          <w:szCs w:val="24"/>
          <w:lang w:val="en-GB"/>
        </w:rPr>
        <w:t>. Equations S3 to S5 remain empirical or semi-empirical as unlike the Adam-Gibbs or Free Volume equations, they are not expressed in terms of measurable physical quantities, such as heat capacity. However, they still represent the viscosity dependence upon temperature well (Fig. S3). The MYEGA and AM equations also allow leveraging knowledge of melt T</w:t>
      </w:r>
      <w:r>
        <w:rPr>
          <w:rFonts w:ascii="Times New Roman" w:hAnsi="Times New Roman"/>
          <w:szCs w:val="24"/>
          <w:vertAlign w:val="subscript"/>
          <w:lang w:val="en-GB"/>
        </w:rPr>
        <w:t>g</w:t>
      </w:r>
      <w:r>
        <w:rPr>
          <w:rFonts w:ascii="Times New Roman" w:hAnsi="Times New Roman"/>
          <w:szCs w:val="24"/>
          <w:lang w:val="en-GB"/>
        </w:rPr>
        <w:t xml:space="preserve"> and fragility as predicted by the </w:t>
      </w:r>
      <w:r>
        <w:rPr>
          <w:rFonts w:eastAsia="Liberation Mono" w:cs="Liberation Mono" w:ascii="Times New Roman" w:hAnsi="Times New Roman"/>
          <w:color w:val="auto"/>
          <w:kern w:val="0"/>
          <w:sz w:val="24"/>
          <w:szCs w:val="24"/>
          <w:lang w:val="en-GB" w:eastAsia="en-US" w:bidi="ar-SA"/>
        </w:rPr>
        <w:t>deep learning framework</w:t>
      </w:r>
      <w:r>
        <w:rPr>
          <w:rFonts w:ascii="Times New Roman" w:hAnsi="Times New Roman"/>
          <w:szCs w:val="24"/>
          <w:lang w:val="en-GB"/>
        </w:rPr>
        <w:t>.</w:t>
      </w:r>
    </w:p>
    <w:p>
      <w:pPr>
        <w:pStyle w:val="PreformattedText"/>
        <w:tabs>
          <w:tab w:val="clear" w:pos="720"/>
          <w:tab w:val="left" w:pos="8225" w:leader="none"/>
          <w:tab w:val="left" w:pos="8505" w:leader="none"/>
        </w:tabs>
        <w:spacing w:before="0" w:after="0"/>
        <w:contextualSpacing/>
        <w:rPr>
          <w:szCs w:val="24"/>
          <w:lang w:val="en-GB"/>
        </w:rPr>
      </w:pPr>
      <w:r>
        <w:rPr/>
      </w:r>
    </w:p>
    <w:p>
      <w:pPr>
        <w:pStyle w:val="SMSubheading"/>
        <w:rPr/>
      </w:pPr>
      <w:r>
        <w:rPr>
          <w:b/>
          <w:bCs/>
          <w:i/>
          <w:iCs/>
          <w:u w:val="none"/>
        </w:rPr>
        <w:t>The structure of aluminosilicate melts</w:t>
      </w:r>
    </w:p>
    <w:p>
      <w:pPr>
        <w:pStyle w:val="SMText"/>
        <w:ind w:hanging="0"/>
        <w:rPr/>
      </w:pPr>
      <w:r>
        <w:rPr>
          <w:color w:val="000000"/>
          <w:szCs w:val="24"/>
        </w:rPr>
        <w:t>Aluminosilicate melts are a disorganized network of SiO</w:t>
      </w:r>
      <w:r>
        <w:rPr>
          <w:color w:val="000000"/>
          <w:szCs w:val="24"/>
          <w:vertAlign w:val="subscript"/>
        </w:rPr>
        <w:t>2</w:t>
      </w:r>
      <w:r>
        <w:rPr>
          <w:color w:val="000000"/>
          <w:szCs w:val="24"/>
        </w:rPr>
        <w:t xml:space="preserve"> and AlO</w:t>
      </w:r>
      <w:r>
        <w:rPr>
          <w:color w:val="000000"/>
          <w:szCs w:val="24"/>
          <w:vertAlign w:val="subscript"/>
        </w:rPr>
        <w:t>2</w:t>
      </w:r>
      <w:r>
        <w:rPr>
          <w:color w:val="000000"/>
          <w:szCs w:val="24"/>
        </w:rPr>
        <w:t xml:space="preserve"> tetrahedral units, with bonds formed between them; some of these bonds get disrupted by network modifier elements like alkali and alkaline-earth elements. The later also compensate for the deficit of charge around AlO</w:t>
      </w:r>
      <w:r>
        <w:rPr>
          <w:color w:val="000000"/>
          <w:szCs w:val="24"/>
          <w:vertAlign w:val="subscript"/>
        </w:rPr>
        <w:t>2</w:t>
      </w:r>
      <w:r>
        <w:rPr>
          <w:color w:val="000000"/>
          <w:szCs w:val="24"/>
        </w:rPr>
        <w:t xml:space="preserve"> tetrahedral units. In such melts, viscous flow involves cooperative movements of the tetrahedral units, facilitated by the presence of network modifiers cations like alkali and alkaline-earth elements. Rapid cooling of such melts allows crossing the glass transition, where the melt structure is frozen-in. Melt structure close to the glass transition can thus be observed in their glasses via, e.g., </w:t>
      </w:r>
      <w:r>
        <w:rPr>
          <w:color w:val="000000"/>
          <w:szCs w:val="24"/>
          <w:vertAlign w:val="superscript"/>
        </w:rPr>
        <w:t>29</w:t>
      </w:r>
      <w:r>
        <w:rPr>
          <w:color w:val="000000"/>
          <w:szCs w:val="24"/>
        </w:rPr>
        <w:t xml:space="preserve">Si Nuclear Magnetic Resonance or Raman spectroscopy. </w:t>
      </w:r>
      <w:r>
        <w:rPr/>
        <w:t xml:space="preserve"> </w:t>
      </w:r>
      <w:bookmarkStart w:id="6" w:name="Figures"/>
      <w:bookmarkEnd w:id="6"/>
    </w:p>
    <w:p>
      <w:pPr>
        <w:pStyle w:val="SMText"/>
        <w:rPr/>
      </w:pPr>
      <w:r>
        <w:rPr/>
      </w:r>
    </w:p>
    <w:p>
      <w:pPr>
        <w:pStyle w:val="Normal"/>
        <w:rPr/>
      </w:pPr>
      <w:r>
        <w:rPr>
          <w:iCs/>
          <w:szCs w:val="24"/>
        </w:rPr>
        <w:t xml:space="preserve">It is important to consider melt structure and the role of elements because this directly determines melt properties. For instance, in the present case, variations in </w:t>
      </w:r>
      <w:r>
        <w:rPr>
          <w:i/>
          <w:iCs/>
          <w:szCs w:val="24"/>
        </w:rPr>
        <w:t>S</w:t>
      </w:r>
      <w:r>
        <w:rPr>
          <w:i/>
          <w:iCs/>
          <w:szCs w:val="24"/>
          <w:vertAlign w:val="superscript"/>
        </w:rPr>
        <w:t>conf</w:t>
      </w:r>
      <w:r>
        <w:rPr>
          <w:i/>
          <w:iCs/>
          <w:szCs w:val="24"/>
        </w:rPr>
        <w:t>(T</w:t>
      </w:r>
      <w:r>
        <w:rPr>
          <w:i/>
          <w:iCs/>
          <w:szCs w:val="24"/>
          <w:vertAlign w:val="subscript"/>
        </w:rPr>
        <w:t>g</w:t>
      </w:r>
      <w:r>
        <w:rPr>
          <w:i/>
          <w:iCs/>
          <w:szCs w:val="24"/>
        </w:rPr>
        <w:t xml:space="preserve">) </w:t>
      </w:r>
      <w:r>
        <w:rPr>
          <w:iCs/>
          <w:szCs w:val="24"/>
        </w:rPr>
        <w:t xml:space="preserve">and </w:t>
      </w:r>
      <w:r>
        <w:rPr>
          <w:i/>
          <w:iCs/>
          <w:szCs w:val="24"/>
        </w:rPr>
        <w:t xml:space="preserve">m </w:t>
      </w:r>
      <w:r>
        <w:rPr>
          <w:iCs/>
          <w:szCs w:val="24"/>
        </w:rPr>
        <w:t>can be understood once we consider that aluminum and non-network former metal cations have important and complex roles in the melt</w:t>
      </w:r>
      <w:bookmarkStart w:id="7" w:name="__UnoMark__31771_998215430"/>
      <w:bookmarkEnd w:id="7"/>
      <w:r>
        <w:rPr>
          <w:iCs/>
          <w:szCs w:val="24"/>
        </w:rPr>
        <w:t xml:space="preserve"> </w:t>
      </w:r>
      <w:bookmarkStart w:id="8" w:name="ZOTERO_BREF_tJvVr1HWHjUb"/>
      <w:r>
        <w:rPr>
          <w:b w:val="false"/>
          <w:iCs/>
          <w:caps w:val="false"/>
          <w:smallCaps w:val="false"/>
          <w:position w:val="0"/>
          <w:sz w:val="24"/>
          <w:sz w:val="24"/>
          <w:szCs w:val="24"/>
          <w:u w:val="none"/>
          <w:vertAlign w:val="baseline"/>
        </w:rPr>
        <w:t xml:space="preserve">(see review of </w:t>
      </w:r>
      <w:r>
        <w:rPr>
          <w:b w:val="false"/>
          <w:i/>
          <w:caps w:val="false"/>
          <w:smallCaps w:val="false"/>
          <w:position w:val="0"/>
          <w:sz w:val="24"/>
          <w:sz w:val="24"/>
          <w:u w:val="none"/>
          <w:vertAlign w:val="baseline"/>
        </w:rPr>
        <w:t>10</w:t>
      </w:r>
      <w:r>
        <w:rPr>
          <w:b w:val="false"/>
          <w:caps w:val="false"/>
          <w:smallCaps w:val="false"/>
          <w:position w:val="0"/>
          <w:sz w:val="24"/>
          <w:sz w:val="24"/>
          <w:u w:val="none"/>
          <w:vertAlign w:val="baseline"/>
        </w:rPr>
        <w:t>)</w:t>
      </w:r>
      <w:bookmarkEnd w:id="8"/>
      <w:r>
        <w:rPr>
          <w:iCs/>
          <w:szCs w:val="24"/>
        </w:rPr>
        <w:t>. In Al-free silicate glasses, network modifier alkali cations break Si-O-Si bonds, forming alkali channels percolating in the disrupted SiO</w:t>
      </w:r>
      <w:r>
        <w:rPr>
          <w:iCs/>
          <w:szCs w:val="24"/>
          <w:vertAlign w:val="subscript"/>
        </w:rPr>
        <w:t>2</w:t>
      </w:r>
      <w:r>
        <w:rPr>
          <w:iCs/>
          <w:szCs w:val="24"/>
        </w:rPr>
        <w:t xml:space="preserve"> tetrahedral network as described by the Modified Random Network (MRN) </w:t>
      </w:r>
      <w:bookmarkStart w:id="9" w:name="ZOTERO_BREF_t5doOWf6Ns3p"/>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36</w:t>
      </w: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40</w:t>
      </w:r>
      <w:r>
        <w:rPr>
          <w:b w:val="false"/>
          <w:caps w:val="false"/>
          <w:smallCaps w:val="false"/>
          <w:position w:val="0"/>
          <w:sz w:val="24"/>
          <w:sz w:val="24"/>
          <w:u w:val="none"/>
          <w:vertAlign w:val="baseline"/>
        </w:rPr>
        <w:t>)</w:t>
      </w:r>
      <w:bookmarkEnd w:id="9"/>
      <w:r>
        <w:rPr>
          <w:iCs/>
          <w:szCs w:val="24"/>
        </w:rPr>
        <w:t>.</w:t>
      </w:r>
      <w:r>
        <w:rPr/>
        <w:t xml:space="preserve"> </w:t>
      </w:r>
      <w:r>
        <w:rPr>
          <w:iCs/>
          <w:szCs w:val="24"/>
        </w:rPr>
        <w:t>Adding aluminum, entering as network forming AlO</w:t>
      </w:r>
      <w:r>
        <w:rPr>
          <w:iCs/>
          <w:szCs w:val="24"/>
          <w:vertAlign w:val="subscript"/>
        </w:rPr>
        <w:t>4</w:t>
      </w:r>
      <w:r>
        <w:rPr>
          <w:iCs/>
          <w:szCs w:val="24"/>
          <w:vertAlign w:val="superscript"/>
        </w:rPr>
        <w:t>-</w:t>
      </w:r>
      <w:r>
        <w:rPr>
          <w:iCs/>
          <w:szCs w:val="24"/>
        </w:rPr>
        <w:t xml:space="preserve"> tetrahedral units in glasses, changes this picture: alkali metals switch their role from network modifiers to charge compensators of AlO</w:t>
      </w:r>
      <w:r>
        <w:rPr>
          <w:iCs/>
          <w:szCs w:val="24"/>
          <w:vertAlign w:val="subscript"/>
        </w:rPr>
        <w:t>4</w:t>
      </w:r>
      <w:r>
        <w:rPr>
          <w:iCs/>
          <w:szCs w:val="24"/>
          <w:vertAlign w:val="superscript"/>
        </w:rPr>
        <w:t>-</w:t>
      </w:r>
      <w:r>
        <w:rPr>
          <w:iCs/>
          <w:szCs w:val="24"/>
        </w:rPr>
        <w:t xml:space="preserve"> tetrahedra to ensure charge balance </w:t>
      </w:r>
      <w:bookmarkStart w:id="10" w:name="ZOTERO_BREF_KpJ6ck97mhmu"/>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End w:id="10"/>
      <w:r>
        <w:rPr>
          <w:iCs/>
          <w:szCs w:val="24"/>
        </w:rPr>
        <w:t xml:space="preserve">. Alkali distribution still is non-random, but localized in compensator channels as described by the Compensated Continuous Random Network (CCRN) model </w:t>
      </w:r>
      <w:bookmarkStart w:id="11" w:name="ZOTERO_BREF_hyp76lP9edAX"/>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4</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41</w:t>
      </w:r>
      <w:r>
        <w:rPr>
          <w:b w:val="false"/>
          <w:caps w:val="false"/>
          <w:smallCaps w:val="false"/>
          <w:position w:val="0"/>
          <w:sz w:val="24"/>
          <w:sz w:val="24"/>
          <w:u w:val="none"/>
          <w:vertAlign w:val="baseline"/>
        </w:rPr>
        <w:t>)</w:t>
      </w:r>
      <w:bookmarkEnd w:id="11"/>
      <w:r>
        <w:rPr>
          <w:iCs/>
          <w:szCs w:val="24"/>
        </w:rPr>
        <w:t xml:space="preserve">. In term of properties, changing the role of alkali metals from network modifiers to charge compensators of Al results in an average decrease in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particularly marked in the case of potassium compositions (Fig. 3a,b). MRNs thus may generally present higher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than CCRNs, at least for alkali aluminosilicates. Furthermore, mixing alkalis results in different MAE effects as the alkalis reside in MRN (for Al-free or poor melts, Fig. 3c) or CCRN (in Al rich melts, Fig. 3f). In the former case, mixing Na and K induces an excess entropy of mixing caused by the hindering of the diffusions of alkali cations in modifier percolation channels </w:t>
      </w:r>
      <w:bookmarkStart w:id="12" w:name="ZOTERO_BREF_4LTYew4WaQQR"/>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41</w:t>
      </w:r>
      <w:r>
        <w:rPr>
          <w:b w:val="false"/>
          <w:caps w:val="false"/>
          <w:smallCaps w:val="false"/>
          <w:position w:val="0"/>
          <w:sz w:val="24"/>
          <w:sz w:val="24"/>
          <w:u w:val="none"/>
          <w:vertAlign w:val="baseline"/>
        </w:rPr>
        <w:t>)</w:t>
      </w:r>
      <w:bookmarkEnd w:id="12"/>
      <w:r>
        <w:rPr>
          <w:iCs/>
          <w:szCs w:val="24"/>
        </w:rPr>
        <w:t xml:space="preserve">. In the latter case, variations in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with the Na/K ratio are close to a linear mechanical mixing of two sub-networks (Na-Al-Si-O and K-Al-Si-O subnetworks) because K and Na occupy different environments and do not really interact upon mixing </w:t>
      </w:r>
      <w:bookmarkStart w:id="13" w:name="ZOTERO_BREF_5abUyeTej1F6"/>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4</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24</w:t>
      </w:r>
      <w:r>
        <w:rPr>
          <w:b w:val="false"/>
          <w:caps w:val="false"/>
          <w:smallCaps w:val="false"/>
          <w:position w:val="0"/>
          <w:sz w:val="24"/>
          <w:sz w:val="24"/>
          <w:u w:val="none"/>
          <w:vertAlign w:val="baseline"/>
        </w:rPr>
        <w:t>)</w:t>
      </w:r>
      <w:bookmarkEnd w:id="13"/>
      <w:r>
        <w:rPr>
          <w:iCs/>
          <w:szCs w:val="24"/>
        </w:rPr>
        <w:t xml:space="preserve">. </w:t>
      </w:r>
    </w:p>
    <w:p>
      <w:pPr>
        <w:pStyle w:val="PreformattedText"/>
        <w:tabs>
          <w:tab w:val="clear" w:pos="720"/>
          <w:tab w:val="left" w:pos="8238" w:leader="none"/>
        </w:tabs>
        <w:rPr>
          <w:iCs/>
          <w:szCs w:val="24"/>
        </w:rPr>
      </w:pPr>
      <w:r>
        <w:rPr>
          <w:iCs/>
          <w:szCs w:val="24"/>
        </w:rPr>
      </w:r>
    </w:p>
    <w:p>
      <w:pPr>
        <w:pStyle w:val="SMSubheading"/>
        <w:rPr>
          <w:b/>
          <w:b/>
          <w:bCs/>
          <w:i/>
          <w:i/>
          <w:iCs/>
          <w:u w:val="none"/>
        </w:rPr>
      </w:pPr>
      <w:r>
        <w:rPr>
          <w:b/>
          <w:bCs/>
          <w:i/>
          <w:iCs/>
          <w:u w:val="none"/>
        </w:rPr>
        <w:t>The difficulty of modeling aluminosilicate melts properties</w:t>
      </w:r>
    </w:p>
    <w:p>
      <w:pPr>
        <w:pStyle w:val="PreformattedText"/>
        <w:rPr/>
      </w:pPr>
      <w:r>
        <w:rPr>
          <w:rFonts w:cs="Times New Roman" w:ascii="Times New Roman" w:hAnsi="Times New Roman"/>
          <w:color w:val="000000"/>
          <w:szCs w:val="24"/>
        </w:rPr>
        <w:t xml:space="preserve">The AG theory assumes that melt viscous flow occurs through cooperative re-arrangement of molecular subunits, and such events have been identified via high-temperature </w:t>
      </w:r>
      <w:r>
        <w:rPr>
          <w:rFonts w:cs="Times New Roman" w:ascii="Times New Roman" w:hAnsi="Times New Roman"/>
          <w:color w:val="000000"/>
          <w:szCs w:val="24"/>
          <w:vertAlign w:val="superscript"/>
        </w:rPr>
        <w:t>29</w:t>
      </w:r>
      <w:r>
        <w:rPr>
          <w:rFonts w:cs="Times New Roman" w:ascii="Times New Roman" w:hAnsi="Times New Roman"/>
          <w:color w:val="000000"/>
          <w:szCs w:val="24"/>
        </w:rPr>
        <w:t xml:space="preserve">Si NMR spectroscopy </w:t>
      </w:r>
      <w:bookmarkStart w:id="14" w:name="ZOTERO_BREF_wDWTXhG0vhaq"/>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42</w:t>
      </w:r>
      <w:r>
        <w:rPr>
          <w:b w:val="false"/>
          <w:caps w:val="false"/>
          <w:smallCaps w:val="false"/>
          <w:position w:val="0"/>
          <w:sz w:val="24"/>
          <w:sz w:val="24"/>
          <w:u w:val="none"/>
          <w:vertAlign w:val="baseline"/>
        </w:rPr>
        <w:t>)</w:t>
      </w:r>
      <w:bookmarkEnd w:id="14"/>
      <w:r>
        <w:rPr>
          <w:rFonts w:cs="Times New Roman" w:ascii="Times New Roman" w:hAnsi="Times New Roman"/>
          <w:color w:val="000000"/>
          <w:szCs w:val="24"/>
        </w:rPr>
        <w:t xml:space="preserve"> and even direct observations </w:t>
      </w:r>
      <w:bookmarkStart w:id="15" w:name="ZOTERO_BREF_tdgaoc7ZqJ1X"/>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43</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44</w:t>
      </w:r>
      <w:r>
        <w:rPr>
          <w:b w:val="false"/>
          <w:caps w:val="false"/>
          <w:smallCaps w:val="false"/>
          <w:position w:val="0"/>
          <w:sz w:val="24"/>
          <w:sz w:val="24"/>
          <w:u w:val="none"/>
          <w:vertAlign w:val="baseline"/>
        </w:rPr>
        <w:t>)</w:t>
      </w:r>
      <w:bookmarkEnd w:id="15"/>
      <w:r>
        <w:rPr>
          <w:rFonts w:cs="Times New Roman" w:ascii="Times New Roman" w:hAnsi="Times New Roman"/>
          <w:color w:val="000000"/>
          <w:szCs w:val="24"/>
        </w:rPr>
        <w:t xml:space="preserve"> in silicate melts. The structure of simple Al-free silicate melts has been related to </w:t>
      </w:r>
      <w:r>
        <w:rPr>
          <w:rFonts w:cs="Times New Roman" w:ascii="Times New Roman" w:hAnsi="Times New Roman"/>
          <w:i/>
          <w:iCs/>
          <w:color w:val="000000"/>
          <w:szCs w:val="24"/>
        </w:rPr>
        <w:t>S</w:t>
      </w:r>
      <w:r>
        <w:rPr>
          <w:rFonts w:cs="Times New Roman" w:ascii="Times New Roman" w:hAnsi="Times New Roman"/>
          <w:i/>
          <w:iCs/>
          <w:color w:val="000000"/>
          <w:szCs w:val="24"/>
          <w:vertAlign w:val="superscript"/>
        </w:rPr>
        <w:t>conf</w:t>
      </w:r>
      <w:r>
        <w:rPr>
          <w:rFonts w:cs="Times New Roman" w:ascii="Times New Roman" w:hAnsi="Times New Roman"/>
          <w:i/>
          <w:iCs/>
          <w:color w:val="000000"/>
          <w:szCs w:val="24"/>
        </w:rPr>
        <w:t>(T</w:t>
      </w:r>
      <w:r>
        <w:rPr>
          <w:rFonts w:cs="Times New Roman" w:ascii="Times New Roman" w:hAnsi="Times New Roman"/>
          <w:i/>
          <w:iCs/>
          <w:color w:val="000000"/>
          <w:szCs w:val="24"/>
          <w:vertAlign w:val="subscript"/>
        </w:rPr>
        <w:t>g</w:t>
      </w:r>
      <w:r>
        <w:rPr>
          <w:rFonts w:cs="Times New Roman" w:ascii="Times New Roman" w:hAnsi="Times New Roman"/>
          <w:i/>
          <w:iCs/>
          <w:color w:val="000000"/>
          <w:szCs w:val="24"/>
        </w:rPr>
        <w:t>)</w:t>
      </w:r>
      <w:r>
        <w:rPr>
          <w:rFonts w:cs="Times New Roman" w:ascii="Times New Roman" w:hAnsi="Times New Roman"/>
          <w:iCs/>
          <w:color w:val="000000"/>
          <w:szCs w:val="24"/>
        </w:rPr>
        <w:t xml:space="preserve"> </w:t>
      </w:r>
      <w:bookmarkStart w:id="16" w:name="ZOTERO_BREF_X073itiJXPqv"/>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w:t>
      </w:r>
      <w:bookmarkEnd w:id="16"/>
      <w:r>
        <w:rPr>
          <w:rFonts w:cs="Times New Roman" w:ascii="Times New Roman" w:hAnsi="Times New Roman"/>
          <w:color w:val="000000"/>
          <w:szCs w:val="24"/>
        </w:rPr>
        <w:t xml:space="preserve"> and </w:t>
      </w:r>
      <w:r>
        <w:rPr>
          <w:rFonts w:cs="Times New Roman" w:ascii="Times New Roman" w:hAnsi="Times New Roman"/>
          <w:i/>
          <w:iCs/>
          <w:color w:val="000000"/>
          <w:szCs w:val="24"/>
        </w:rPr>
        <w:t>C</w:t>
      </w:r>
      <w:r>
        <w:rPr>
          <w:rFonts w:cs="Times New Roman" w:ascii="Times New Roman" w:hAnsi="Times New Roman"/>
          <w:i/>
          <w:iCs/>
          <w:color w:val="000000"/>
          <w:szCs w:val="24"/>
          <w:vertAlign w:val="subscript"/>
        </w:rPr>
        <w:t>p</w:t>
      </w:r>
      <w:r>
        <w:rPr>
          <w:rFonts w:cs="Times New Roman" w:ascii="Times New Roman" w:hAnsi="Times New Roman"/>
          <w:i/>
          <w:iCs/>
          <w:color w:val="000000"/>
          <w:szCs w:val="24"/>
          <w:vertAlign w:val="superscript"/>
        </w:rPr>
        <w:t>conf</w:t>
      </w:r>
      <w:r>
        <w:rPr>
          <w:rFonts w:cs="Times New Roman" w:ascii="Times New Roman" w:hAnsi="Times New Roman"/>
          <w:iCs/>
          <w:color w:val="000000"/>
          <w:szCs w:val="24"/>
        </w:rPr>
        <w:t xml:space="preserve"> </w:t>
      </w:r>
      <w:bookmarkStart w:id="17" w:name="ZOTERO_BREF_zGDHM5t6rtxJ"/>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45</w:t>
      </w:r>
      <w:r>
        <w:rPr>
          <w:b w:val="false"/>
          <w:caps w:val="false"/>
          <w:smallCaps w:val="false"/>
          <w:position w:val="0"/>
          <w:sz w:val="24"/>
          <w:sz w:val="24"/>
          <w:u w:val="none"/>
          <w:vertAlign w:val="baseline"/>
        </w:rPr>
        <w:t>)</w:t>
      </w:r>
      <w:bookmarkEnd w:id="17"/>
      <w:r>
        <w:rPr>
          <w:rFonts w:cs="Times New Roman" w:ascii="Times New Roman" w:hAnsi="Times New Roman"/>
          <w:color w:val="000000"/>
          <w:szCs w:val="24"/>
        </w:rPr>
        <w:t>, and this was leveraged to calculate melt viscosity in the ternary Na</w:t>
      </w:r>
      <w:r>
        <w:rPr>
          <w:rFonts w:cs="Times New Roman" w:ascii="Times New Roman" w:hAnsi="Times New Roman"/>
          <w:color w:val="000000"/>
          <w:szCs w:val="24"/>
          <w:vertAlign w:val="subscript"/>
        </w:rPr>
        <w:t>2</w:t>
      </w:r>
      <w:r>
        <w:rPr>
          <w:rFonts w:cs="Times New Roman" w:ascii="Times New Roman" w:hAnsi="Times New Roman"/>
          <w:color w:val="000000"/>
          <w:szCs w:val="24"/>
        </w:rPr>
        <w:t>O-K</w:t>
      </w:r>
      <w:r>
        <w:rPr>
          <w:rFonts w:cs="Times New Roman" w:ascii="Times New Roman" w:hAnsi="Times New Roman"/>
          <w:color w:val="000000"/>
          <w:szCs w:val="24"/>
          <w:vertAlign w:val="subscript"/>
        </w:rPr>
        <w:t>2</w:t>
      </w:r>
      <w:r>
        <w:rPr>
          <w:rFonts w:cs="Times New Roman" w:ascii="Times New Roman" w:hAnsi="Times New Roman"/>
          <w:color w:val="000000"/>
          <w:szCs w:val="24"/>
        </w:rPr>
        <w:t>O-SiO</w:t>
      </w:r>
      <w:r>
        <w:rPr>
          <w:rFonts w:cs="Times New Roman" w:ascii="Times New Roman" w:hAnsi="Times New Roman"/>
          <w:color w:val="000000"/>
          <w:szCs w:val="24"/>
          <w:vertAlign w:val="subscript"/>
        </w:rPr>
        <w:t>2</w:t>
      </w:r>
      <w:r>
        <w:rPr>
          <w:rFonts w:cs="Times New Roman" w:ascii="Times New Roman" w:hAnsi="Times New Roman"/>
          <w:color w:val="000000"/>
          <w:szCs w:val="24"/>
        </w:rPr>
        <w:t xml:space="preserve"> system with an unrivaled precision of 0.2 log Pa·s </w:t>
      </w:r>
      <w:bookmarkStart w:id="18" w:name="ZOTERO_BREF_3q5xVdlRgkWo"/>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w:t>
      </w:r>
      <w:bookmarkEnd w:id="18"/>
      <w:r>
        <w:rPr>
          <w:rFonts w:cs="Times New Roman" w:ascii="Times New Roman" w:hAnsi="Times New Roman"/>
          <w:color w:val="000000"/>
          <w:szCs w:val="24"/>
        </w:rPr>
        <w:t xml:space="preserve">. However, it is very difficult to extend to more complex composition like aluminosilicates because of the many new degrees of complexity generated by the addition of one critical elements like Al. </w:t>
      </w:r>
    </w:p>
    <w:p>
      <w:pPr>
        <w:pStyle w:val="PreformattedText"/>
        <w:rPr>
          <w:rFonts w:ascii="Times New Roman" w:hAnsi="Times New Roman" w:cs="Times New Roman"/>
          <w:color w:val="000000"/>
          <w:szCs w:val="24"/>
        </w:rPr>
      </w:pPr>
      <w:r>
        <w:rPr>
          <w:rFonts w:cs="Times New Roman" w:ascii="Times New Roman" w:hAnsi="Times New Roman"/>
          <w:color w:val="000000"/>
          <w:szCs w:val="24"/>
        </w:rPr>
      </w:r>
    </w:p>
    <w:p>
      <w:pPr>
        <w:pStyle w:val="PreformattedText"/>
        <w:rPr/>
      </w:pPr>
      <w:r>
        <w:rPr>
          <w:rFonts w:cs="Times New Roman" w:ascii="Times New Roman" w:hAnsi="Times New Roman"/>
          <w:color w:val="000000"/>
          <w:szCs w:val="24"/>
        </w:rPr>
        <w:t xml:space="preserve">Indeed, it is actually difficult to experimentally validate models of melt structure for aluminosilicate compositions, representative of most natural and industrial glasses. In such compositions, </w:t>
      </w:r>
      <w:r>
        <w:rPr>
          <w:rFonts w:cs="Times New Roman" w:ascii="Times New Roman" w:hAnsi="Times New Roman"/>
          <w:color w:val="000000"/>
          <w:szCs w:val="24"/>
          <w:vertAlign w:val="superscript"/>
        </w:rPr>
        <w:t>29</w:t>
      </w:r>
      <w:r>
        <w:rPr>
          <w:rFonts w:cs="Times New Roman" w:ascii="Times New Roman" w:hAnsi="Times New Roman"/>
          <w:color w:val="000000"/>
          <w:szCs w:val="24"/>
        </w:rPr>
        <w:t>Si NMR spectroscopy, which usually brings the necessary information to quantify the connectivity of SiO</w:t>
      </w:r>
      <w:r>
        <w:rPr>
          <w:rFonts w:cs="Times New Roman" w:ascii="Times New Roman" w:hAnsi="Times New Roman"/>
          <w:color w:val="000000"/>
          <w:szCs w:val="24"/>
          <w:vertAlign w:val="subscript"/>
        </w:rPr>
        <w:t>2</w:t>
      </w:r>
      <w:r>
        <w:rPr>
          <w:rFonts w:cs="Times New Roman" w:ascii="Times New Roman" w:hAnsi="Times New Roman"/>
          <w:color w:val="000000"/>
          <w:szCs w:val="24"/>
        </w:rPr>
        <w:t xml:space="preserve"> tetrahedral units, becomes blind due to Si-Al interactions causing significant signal broadening; signal interpretation relies on various hypothesis and back-end models of melt structure </w:t>
      </w:r>
      <w:bookmarkStart w:id="19" w:name="ZOTERO_BREF_opfWGJdmqzC0"/>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46</w:t>
      </w:r>
      <w:r>
        <w:rPr>
          <w:b w:val="false"/>
          <w:caps w:val="false"/>
          <w:smallCaps w:val="false"/>
          <w:position w:val="0"/>
          <w:sz w:val="24"/>
          <w:sz w:val="24"/>
          <w:u w:val="none"/>
          <w:vertAlign w:val="baseline"/>
        </w:rPr>
        <w:t>)</w:t>
      </w:r>
      <w:bookmarkEnd w:id="19"/>
      <w:r>
        <w:rPr>
          <w:rFonts w:cs="Times New Roman" w:ascii="Times New Roman" w:hAnsi="Times New Roman"/>
          <w:color w:val="000000"/>
          <w:szCs w:val="24"/>
        </w:rPr>
        <w:t xml:space="preserve">. Raman spectroscopy, another method to explore glass structure, does not solve this problem as it cannot be calibrated against reliable NMR data to distinguish the molecular subunits in the glasses. Furthermore, the aluminum content of the melt also affects interactions between, and the environment of the metal cations, as well as Al-Si ordering, Al coordinance and the potential presence of three-fold coordinated oxygen </w:t>
      </w:r>
      <w:bookmarkStart w:id="20" w:name="ZOTERO_BREF_ZRmAa7EYRGwe"/>
      <w:r>
        <w:rPr>
          <w:rFonts w:cs="Times New Roman" w:ascii="Times New Roman" w:hAnsi="Times New Roman"/>
          <w:b w:val="false"/>
          <w:caps w:val="false"/>
          <w:smallCaps w:val="false"/>
          <w:color w:val="000000"/>
          <w:position w:val="0"/>
          <w:sz w:val="24"/>
          <w:sz w:val="24"/>
          <w:szCs w:val="24"/>
          <w:u w:val="none"/>
          <w:vertAlign w:val="baseline"/>
        </w:rPr>
        <w:t xml:space="preserve">(see </w:t>
      </w:r>
      <w:r>
        <w:rPr>
          <w:b w:val="false"/>
          <w:i/>
          <w:caps w:val="false"/>
          <w:smallCaps w:val="false"/>
          <w:position w:val="0"/>
          <w:sz w:val="24"/>
          <w:sz w:val="24"/>
          <w:u w:val="none"/>
          <w:vertAlign w:val="baseline"/>
        </w:rPr>
        <w:t>10</w:t>
      </w:r>
      <w:r>
        <w:rPr>
          <w:b w:val="false"/>
          <w:caps w:val="false"/>
          <w:smallCaps w:val="false"/>
          <w:position w:val="0"/>
          <w:sz w:val="24"/>
          <w:sz w:val="24"/>
          <w:u w:val="none"/>
          <w:vertAlign w:val="baseline"/>
        </w:rPr>
        <w:t xml:space="preserve"> for a review)</w:t>
      </w:r>
      <w:bookmarkEnd w:id="20"/>
      <w:r>
        <w:rPr>
          <w:rFonts w:cs="Times New Roman" w:ascii="Times New Roman" w:hAnsi="Times New Roman"/>
          <w:color w:val="000000"/>
          <w:szCs w:val="24"/>
        </w:rPr>
        <w:t xml:space="preserve">. Such problems severely affect our ability to construct models in the presence of aluminum, and strongly question the theoretical viability of proposed models based on untested structural calculations </w:t>
      </w:r>
      <w:bookmarkStart w:id="21" w:name="ZOTERO_BREF_KpJTRYfzrfpR"/>
      <w:r>
        <w:rPr>
          <w:rFonts w:cs="Times New Roman" w:ascii="Times New Roman" w:hAnsi="Times New Roman"/>
          <w:b w:val="false"/>
          <w:caps w:val="false"/>
          <w:smallCaps w:val="false"/>
          <w:color w:val="000000"/>
          <w:position w:val="0"/>
          <w:sz w:val="24"/>
          <w:sz w:val="24"/>
          <w:szCs w:val="24"/>
          <w:u w:val="none"/>
          <w:vertAlign w:val="baseline"/>
        </w:rPr>
        <w:t xml:space="preserve">(e.g. </w:t>
      </w:r>
      <w:r>
        <w:rPr>
          <w:b w:val="false"/>
          <w:i/>
          <w:caps w:val="false"/>
          <w:smallCaps w:val="false"/>
          <w:position w:val="0"/>
          <w:sz w:val="24"/>
          <w:sz w:val="24"/>
          <w:u w:val="none"/>
          <w:vertAlign w:val="baseline"/>
        </w:rPr>
        <w:t>8</w:t>
      </w:r>
      <w:r>
        <w:rPr>
          <w:b w:val="false"/>
          <w:caps w:val="false"/>
          <w:smallCaps w:val="false"/>
          <w:position w:val="0"/>
          <w:sz w:val="24"/>
          <w:sz w:val="24"/>
          <w:u w:val="none"/>
          <w:vertAlign w:val="baseline"/>
        </w:rPr>
        <w:t>)</w:t>
      </w:r>
      <w:bookmarkEnd w:id="21"/>
      <w:r>
        <w:rPr>
          <w:rFonts w:cs="Times New Roman" w:ascii="Times New Roman" w:hAnsi="Times New Roman"/>
          <w:color w:val="000000"/>
          <w:szCs w:val="24"/>
        </w:rPr>
        <w:t xml:space="preserve">. This complexity pushed existing models to simply link chemical composition of aluminosilicate melts to their viscosity using a set of polynomial equations </w:t>
      </w:r>
      <w:bookmarkStart w:id="22" w:name="ZOTERO_BREF_scnvKlf90diq"/>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48</w:t>
      </w:r>
      <w:r>
        <w:rPr>
          <w:b w:val="false"/>
          <w:caps w:val="false"/>
          <w:smallCaps w:val="false"/>
          <w:position w:val="0"/>
          <w:sz w:val="24"/>
          <w:sz w:val="24"/>
          <w:u w:val="none"/>
          <w:vertAlign w:val="baseline"/>
        </w:rPr>
        <w:t>)</w:t>
      </w:r>
      <w:bookmarkEnd w:id="22"/>
      <w:r>
        <w:rPr>
          <w:rFonts w:cs="Times New Roman" w:ascii="Times New Roman" w:hAnsi="Times New Roman"/>
          <w:color w:val="000000"/>
          <w:szCs w:val="24"/>
        </w:rPr>
        <w:t xml:space="preserve">. A more complex model was proposed by Starodub et al. </w:t>
      </w:r>
      <w:bookmarkStart w:id="23" w:name="ZOTERO_BREF_tHRBm6sfAU1T"/>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8</w:t>
      </w:r>
      <w:r>
        <w:rPr>
          <w:b w:val="false"/>
          <w:caps w:val="false"/>
          <w:smallCaps w:val="false"/>
          <w:position w:val="0"/>
          <w:sz w:val="24"/>
          <w:sz w:val="24"/>
          <w:u w:val="none"/>
          <w:vertAlign w:val="baseline"/>
        </w:rPr>
        <w:t>)</w:t>
      </w:r>
      <w:bookmarkEnd w:id="23"/>
      <w:r>
        <w:rPr>
          <w:rFonts w:cs="Times New Roman" w:ascii="Times New Roman" w:hAnsi="Times New Roman"/>
          <w:color w:val="000000"/>
          <w:szCs w:val="24"/>
        </w:rPr>
        <w:t xml:space="preserve"> for the system Na</w:t>
      </w:r>
      <w:r>
        <w:rPr>
          <w:rFonts w:cs="Times New Roman" w:ascii="Times New Roman" w:hAnsi="Times New Roman"/>
          <w:color w:val="000000"/>
          <w:szCs w:val="24"/>
          <w:vertAlign w:val="subscript"/>
        </w:rPr>
        <w:t>2</w:t>
      </w:r>
      <w:r>
        <w:rPr>
          <w:rFonts w:cs="Times New Roman" w:ascii="Times New Roman" w:hAnsi="Times New Roman"/>
          <w:color w:val="000000"/>
          <w:szCs w:val="24"/>
        </w:rPr>
        <w:t>O-K</w:t>
      </w:r>
      <w:r>
        <w:rPr>
          <w:rFonts w:cs="Times New Roman" w:ascii="Times New Roman" w:hAnsi="Times New Roman"/>
          <w:color w:val="000000"/>
          <w:szCs w:val="24"/>
          <w:vertAlign w:val="subscript"/>
        </w:rPr>
        <w:t>2</w:t>
      </w:r>
      <w:r>
        <w:rPr>
          <w:rFonts w:cs="Times New Roman" w:ascii="Times New Roman" w:hAnsi="Times New Roman"/>
          <w:color w:val="000000"/>
          <w:szCs w:val="24"/>
        </w:rPr>
        <w:t>O-Al</w:t>
      </w:r>
      <w:r>
        <w:rPr>
          <w:rFonts w:cs="Times New Roman" w:ascii="Times New Roman" w:hAnsi="Times New Roman"/>
          <w:color w:val="000000"/>
          <w:szCs w:val="24"/>
          <w:vertAlign w:val="subscript"/>
        </w:rPr>
        <w:t>2</w:t>
      </w:r>
      <w:r>
        <w:rPr>
          <w:rFonts w:cs="Times New Roman" w:ascii="Times New Roman" w:hAnsi="Times New Roman"/>
          <w:color w:val="000000"/>
          <w:szCs w:val="24"/>
        </w:rPr>
        <w:t>O</w:t>
      </w:r>
      <w:r>
        <w:rPr>
          <w:rFonts w:cs="Times New Roman" w:ascii="Times New Roman" w:hAnsi="Times New Roman"/>
          <w:color w:val="000000"/>
          <w:szCs w:val="24"/>
          <w:vertAlign w:val="subscript"/>
        </w:rPr>
        <w:t>3</w:t>
      </w:r>
      <w:r>
        <w:rPr>
          <w:rFonts w:cs="Times New Roman" w:ascii="Times New Roman" w:hAnsi="Times New Roman"/>
          <w:color w:val="000000"/>
          <w:szCs w:val="24"/>
        </w:rPr>
        <w:t>-SiO</w:t>
      </w:r>
      <w:r>
        <w:rPr>
          <w:rFonts w:cs="Times New Roman" w:ascii="Times New Roman" w:hAnsi="Times New Roman"/>
          <w:color w:val="000000"/>
          <w:szCs w:val="24"/>
          <w:vertAlign w:val="subscript"/>
        </w:rPr>
        <w:t>2</w:t>
      </w:r>
      <w:r>
        <w:rPr>
          <w:rFonts w:cs="Times New Roman" w:ascii="Times New Roman" w:hAnsi="Times New Roman"/>
          <w:color w:val="000000"/>
          <w:szCs w:val="24"/>
        </w:rPr>
        <w:t>. They proposed an associate-solution model for calculating the structure of melts in this system. Their model is interesting but one should keep in mind that the structural calculations was not validated by experimental data for aluminosilicate melts, and therefore there may be biases due to our inability to determine the structure of aluminosilicate compositions. Other biases also come from the absence of viscosity data selection in their model calibration. This can severely damage the model results since melt viscosity can be difficult to measure with precision, particularly at undercooled conditions close to the glass transition temperature.</w:t>
      </w:r>
    </w:p>
    <w:p>
      <w:pPr>
        <w:pStyle w:val="SMText"/>
        <w:ind w:hanging="0"/>
        <w:rPr/>
      </w:pPr>
      <w:r>
        <w:rPr/>
      </w:r>
    </w:p>
    <w:p>
      <w:pPr>
        <w:pStyle w:val="SMSubheading"/>
        <w:rPr>
          <w:b/>
          <w:b/>
          <w:bCs/>
          <w:i/>
          <w:i/>
          <w:iCs/>
          <w:u w:val="none"/>
        </w:rPr>
      </w:pPr>
      <w:r>
        <w:rPr>
          <w:b/>
          <w:bCs/>
          <w:i/>
          <w:iCs/>
          <w:u w:val="none"/>
        </w:rPr>
        <w:t xml:space="preserve">Internal consistency of the </w:t>
      </w:r>
      <w:r>
        <w:rPr>
          <w:rFonts w:eastAsia="Times New Roman" w:cs="Times New Roman"/>
          <w:b/>
          <w:bCs/>
          <w:i/>
          <w:iCs/>
          <w:color w:val="auto"/>
          <w:kern w:val="0"/>
          <w:sz w:val="24"/>
          <w:szCs w:val="20"/>
          <w:u w:val="none"/>
          <w:lang w:val="en-US" w:eastAsia="en-US" w:bidi="ar-SA"/>
        </w:rPr>
        <w:t>deep learning framework</w:t>
      </w:r>
    </w:p>
    <w:p>
      <w:pPr>
        <w:pStyle w:val="Normal"/>
        <w:rPr/>
      </w:pPr>
      <w:r>
        <w:rPr>
          <w:iCs/>
          <w:szCs w:val="24"/>
        </w:rPr>
        <w:t xml:space="preserve">The ability to predict the melt fragility </w:t>
      </w:r>
      <w:r>
        <w:rPr>
          <w:i/>
          <w:iCs/>
          <w:szCs w:val="24"/>
        </w:rPr>
        <w:t>m</w:t>
      </w:r>
      <w:r>
        <w:rPr>
          <w:iCs/>
          <w:szCs w:val="24"/>
        </w:rPr>
        <w:t xml:space="preserve"> allows further testing of the internal consistency of our </w:t>
      </w:r>
      <w:r>
        <w:rPr>
          <w:rFonts w:eastAsia="Times New Roman" w:cs="Times New Roman"/>
          <w:iCs/>
          <w:color w:val="auto"/>
          <w:kern w:val="0"/>
          <w:sz w:val="24"/>
          <w:szCs w:val="24"/>
          <w:lang w:val="en-US" w:eastAsia="en-US" w:bidi="ar-SA"/>
        </w:rPr>
        <w:t>deep learning framework</w:t>
      </w:r>
      <w:r>
        <w:rPr>
          <w:iCs/>
          <w:szCs w:val="24"/>
        </w:rPr>
        <w:t xml:space="preserve"> predictions. Indeed, experimental data indicate that a direct correlation between </w:t>
      </w:r>
      <w:r>
        <w:rPr>
          <w:i/>
          <w:iCs/>
          <w:szCs w:val="24"/>
        </w:rPr>
        <w:t>m</w:t>
      </w:r>
      <w:r>
        <w:rPr>
          <w:iCs/>
          <w:szCs w:val="24"/>
        </w:rPr>
        <w:t xml:space="preserve"> and the ratio between the configurational heat capacity at </w:t>
      </w:r>
      <w:r>
        <w:rPr>
          <w:i/>
          <w:iCs/>
          <w:szCs w:val="24"/>
        </w:rPr>
        <w:t>T</w:t>
      </w:r>
      <w:r>
        <w:rPr>
          <w:i/>
          <w:iCs/>
          <w:szCs w:val="24"/>
          <w:vertAlign w:val="subscript"/>
        </w:rPr>
        <w:t>g</w:t>
      </w:r>
      <w:r>
        <w:rPr>
          <w:iCs/>
          <w:szCs w:val="24"/>
        </w:rPr>
        <w:t xml:space="preserve"> and </w:t>
      </w:r>
      <w:r>
        <w:rPr>
          <w:i/>
          <w:iCs/>
          <w:szCs w:val="24"/>
        </w:rPr>
        <w:t>S</w:t>
      </w:r>
      <w:r>
        <w:rPr>
          <w:i/>
          <w:iCs/>
          <w:szCs w:val="24"/>
          <w:vertAlign w:val="superscript"/>
        </w:rPr>
        <w:t>conf</w:t>
      </w:r>
      <w:r>
        <w:rPr>
          <w:iCs/>
          <w:szCs w:val="24"/>
        </w:rPr>
        <w:t>(</w:t>
      </w:r>
      <w:r>
        <w:rPr>
          <w:i/>
          <w:iCs/>
          <w:szCs w:val="24"/>
        </w:rPr>
        <w:t>T</w:t>
      </w:r>
      <w:r>
        <w:rPr>
          <w:i/>
          <w:iCs/>
          <w:szCs w:val="24"/>
          <w:vertAlign w:val="subscript"/>
        </w:rPr>
        <w:t>g</w:t>
      </w:r>
      <w:r>
        <w:rPr>
          <w:i/>
          <w:iCs/>
          <w:szCs w:val="24"/>
        </w:rPr>
        <w:t>), C</w:t>
      </w:r>
      <w:r>
        <w:rPr>
          <w:i/>
          <w:iCs/>
          <w:szCs w:val="24"/>
          <w:vertAlign w:val="subscript"/>
        </w:rPr>
        <w:t>p</w:t>
      </w:r>
      <w:r>
        <w:rPr>
          <w:i/>
          <w:iCs/>
          <w:szCs w:val="24"/>
          <w:vertAlign w:val="superscript"/>
        </w:rPr>
        <w:t>conf</w:t>
      </w:r>
      <w:r>
        <w:rPr>
          <w:i/>
          <w:iCs/>
          <w:szCs w:val="24"/>
        </w:rPr>
        <w:t>(T</w:t>
      </w:r>
      <w:r>
        <w:rPr>
          <w:i/>
          <w:iCs/>
          <w:szCs w:val="24"/>
          <w:vertAlign w:val="subscript"/>
        </w:rPr>
        <w:t>g</w:t>
      </w:r>
      <w:r>
        <w:rPr>
          <w:i/>
          <w:iCs/>
          <w:szCs w:val="24"/>
        </w:rPr>
        <w:t>)/S</w:t>
      </w:r>
      <w:r>
        <w:rPr>
          <w:i/>
          <w:iCs/>
          <w:szCs w:val="24"/>
          <w:vertAlign w:val="superscript"/>
        </w:rPr>
        <w:t>conf</w:t>
      </w:r>
      <w:r>
        <w:rPr>
          <w:i/>
          <w:iCs/>
          <w:szCs w:val="24"/>
        </w:rPr>
        <w:t>(T</w:t>
      </w:r>
      <w:r>
        <w:rPr>
          <w:i/>
          <w:iCs/>
          <w:szCs w:val="24"/>
          <w:vertAlign w:val="subscript"/>
        </w:rPr>
        <w:t>g</w:t>
      </w:r>
      <w:r>
        <w:rPr>
          <w:i/>
          <w:iCs/>
          <w:szCs w:val="24"/>
        </w:rPr>
        <w:t xml:space="preserve">) </w:t>
      </w:r>
      <w:r>
        <w:rPr>
          <w:iCs/>
          <w:szCs w:val="24"/>
        </w:rPr>
        <w:t xml:space="preserve">shall be observed </w:t>
      </w:r>
      <w:bookmarkStart w:id="24" w:name="ZOTERO_BREF_AeucQWXXEcSL"/>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49</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50</w:t>
      </w:r>
      <w:r>
        <w:rPr>
          <w:b w:val="false"/>
          <w:caps w:val="false"/>
          <w:smallCaps w:val="false"/>
          <w:position w:val="0"/>
          <w:sz w:val="24"/>
          <w:sz w:val="24"/>
          <w:u w:val="none"/>
          <w:vertAlign w:val="baseline"/>
        </w:rPr>
        <w:t>)</w:t>
      </w:r>
      <w:bookmarkEnd w:id="24"/>
      <w:r>
        <w:rPr>
          <w:iCs/>
          <w:szCs w:val="24"/>
        </w:rPr>
        <w:t xml:space="preserve">. The </w:t>
      </w:r>
      <w:r>
        <w:rPr>
          <w:rFonts w:eastAsia="Times New Roman" w:cs="Times New Roman"/>
          <w:iCs/>
          <w:color w:val="auto"/>
          <w:kern w:val="0"/>
          <w:sz w:val="24"/>
          <w:szCs w:val="24"/>
          <w:lang w:val="en-US" w:eastAsia="en-US" w:bidi="ar-SA"/>
        </w:rPr>
        <w:t>deep learning framework</w:t>
      </w:r>
      <w:r>
        <w:rPr>
          <w:iCs/>
          <w:szCs w:val="24"/>
        </w:rPr>
        <w:t xml:space="preserve"> predicts this linear correlation (Figure S5), albeit some scattering that most probably arises from the way melt and glass </w:t>
      </w:r>
      <w:r>
        <w:rPr>
          <w:i/>
          <w:iCs/>
          <w:szCs w:val="24"/>
        </w:rPr>
        <w:t>C</w:t>
      </w:r>
      <w:r>
        <w:rPr>
          <w:i/>
          <w:iCs/>
          <w:szCs w:val="24"/>
          <w:vertAlign w:val="subscript"/>
        </w:rPr>
        <w:t>p</w:t>
      </w:r>
      <w:r>
        <w:rPr>
          <w:i/>
          <w:iCs/>
          <w:szCs w:val="24"/>
          <w:vertAlign w:val="superscript"/>
        </w:rPr>
        <w:t>conf</w:t>
      </w:r>
      <w:r>
        <w:rPr>
          <w:szCs w:val="24"/>
        </w:rPr>
        <w:t xml:space="preserve"> values</w:t>
      </w:r>
      <w:r>
        <w:rPr>
          <w:iCs/>
          <w:szCs w:val="24"/>
        </w:rPr>
        <w:t xml:space="preserve"> are determined in the model. Indeed, the </w:t>
      </w:r>
      <w:r>
        <w:rPr>
          <w:rFonts w:eastAsia="Times New Roman" w:cs="Times New Roman"/>
          <w:iCs/>
          <w:color w:val="auto"/>
          <w:kern w:val="0"/>
          <w:sz w:val="24"/>
          <w:szCs w:val="24"/>
          <w:lang w:val="en-US" w:eastAsia="en-US" w:bidi="ar-SA"/>
        </w:rPr>
        <w:t xml:space="preserve">deep learning framework </w:t>
      </w:r>
      <w:r>
        <w:rPr>
          <w:iCs/>
          <w:szCs w:val="24"/>
        </w:rPr>
        <w:t xml:space="preserve">calculates </w:t>
      </w:r>
      <w:r>
        <w:rPr>
          <w:i/>
          <w:iCs/>
          <w:szCs w:val="24"/>
        </w:rPr>
        <w:t>C</w:t>
      </w:r>
      <w:r>
        <w:rPr>
          <w:i/>
          <w:iCs/>
          <w:szCs w:val="24"/>
          <w:vertAlign w:val="subscript"/>
        </w:rPr>
        <w:t>p</w:t>
      </w:r>
      <w:r>
        <w:rPr>
          <w:i/>
          <w:iCs/>
          <w:szCs w:val="24"/>
          <w:vertAlign w:val="superscript"/>
        </w:rPr>
        <w:t>conf</w:t>
      </w:r>
      <w:r>
        <w:rPr>
          <w:i/>
          <w:iCs/>
          <w:szCs w:val="24"/>
        </w:rPr>
        <w:t>(T</w:t>
      </w:r>
      <w:r>
        <w:rPr>
          <w:i/>
          <w:iCs/>
          <w:szCs w:val="24"/>
          <w:vertAlign w:val="subscript"/>
        </w:rPr>
        <w:t>g</w:t>
      </w:r>
      <w:r>
        <w:rPr>
          <w:i/>
          <w:iCs/>
          <w:szCs w:val="24"/>
        </w:rPr>
        <w:t xml:space="preserve">) </w:t>
      </w:r>
      <w:r>
        <w:rPr>
          <w:iCs/>
          <w:szCs w:val="24"/>
        </w:rPr>
        <w:t>as</w:t>
      </w:r>
      <w:r>
        <w:rPr>
          <w:i/>
          <w:iCs/>
          <w:szCs w:val="24"/>
        </w:rPr>
        <w:t xml:space="preserve"> C</w:t>
      </w:r>
      <w:r>
        <w:rPr>
          <w:i/>
          <w:iCs/>
          <w:szCs w:val="24"/>
          <w:vertAlign w:val="subscript"/>
        </w:rPr>
        <w:t>p</w:t>
      </w:r>
      <w:r>
        <w:rPr>
          <w:i/>
          <w:iCs/>
          <w:szCs w:val="24"/>
          <w:vertAlign w:val="superscript"/>
        </w:rPr>
        <w:t>liquid</w:t>
      </w:r>
      <w:r>
        <w:rPr>
          <w:i/>
          <w:iCs/>
          <w:szCs w:val="24"/>
        </w:rPr>
        <w:t>(T</w:t>
      </w:r>
      <w:r>
        <w:rPr>
          <w:i/>
          <w:iCs/>
          <w:szCs w:val="24"/>
          <w:vertAlign w:val="subscript"/>
        </w:rPr>
        <w:t>g</w:t>
      </w:r>
      <w:r>
        <w:rPr>
          <w:i/>
          <w:iCs/>
          <w:szCs w:val="24"/>
        </w:rPr>
        <w:t>)  – C</w:t>
      </w:r>
      <w:r>
        <w:rPr>
          <w:i/>
          <w:iCs/>
          <w:szCs w:val="24"/>
          <w:vertAlign w:val="subscript"/>
        </w:rPr>
        <w:t>p</w:t>
      </w:r>
      <w:r>
        <w:rPr>
          <w:i/>
          <w:iCs/>
          <w:szCs w:val="24"/>
          <w:vertAlign w:val="superscript"/>
        </w:rPr>
        <w:t>glass</w:t>
      </w:r>
      <w:r>
        <w:rPr>
          <w:i/>
          <w:iCs/>
          <w:szCs w:val="24"/>
        </w:rPr>
        <w:t>(T</w:t>
      </w:r>
      <w:r>
        <w:rPr>
          <w:i/>
          <w:iCs/>
          <w:szCs w:val="24"/>
          <w:vertAlign w:val="subscript"/>
        </w:rPr>
        <w:t>g</w:t>
      </w:r>
      <w:r>
        <w:rPr>
          <w:i/>
          <w:iCs/>
          <w:szCs w:val="24"/>
        </w:rPr>
        <w:t xml:space="preserve">), </w:t>
      </w:r>
      <w:r>
        <w:rPr>
          <w:iCs/>
          <w:szCs w:val="24"/>
        </w:rPr>
        <w:t>with</w:t>
      </w:r>
      <w:r>
        <w:rPr>
          <w:i/>
          <w:iCs/>
          <w:szCs w:val="24"/>
        </w:rPr>
        <w:t xml:space="preserve"> C</w:t>
      </w:r>
      <w:r>
        <w:rPr>
          <w:i/>
          <w:iCs/>
          <w:szCs w:val="24"/>
          <w:vertAlign w:val="subscript"/>
        </w:rPr>
        <w:t>p</w:t>
      </w:r>
      <w:r>
        <w:rPr>
          <w:i/>
          <w:iCs/>
          <w:szCs w:val="24"/>
          <w:vertAlign w:val="superscript"/>
        </w:rPr>
        <w:t>liquid</w:t>
      </w:r>
      <w:r>
        <w:rPr>
          <w:i/>
          <w:iCs/>
          <w:szCs w:val="24"/>
        </w:rPr>
        <w:t>(T</w:t>
      </w:r>
      <w:r>
        <w:rPr>
          <w:i/>
          <w:iCs/>
          <w:szCs w:val="24"/>
          <w:vertAlign w:val="subscript"/>
        </w:rPr>
        <w:t>g</w:t>
      </w:r>
      <w:r>
        <w:rPr>
          <w:i/>
          <w:iCs/>
          <w:szCs w:val="24"/>
        </w:rPr>
        <w:t xml:space="preserve">) </w:t>
      </w:r>
      <w:r>
        <w:rPr>
          <w:iCs/>
          <w:szCs w:val="24"/>
        </w:rPr>
        <w:t xml:space="preserve">predicted from the model of </w:t>
      </w:r>
      <w:bookmarkStart w:id="25" w:name="ZOTERO_BREF_FqxpKbjTt3kO"/>
      <w:r>
        <w:rPr>
          <w:b w:val="false"/>
          <w:i/>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51</w:t>
      </w:r>
      <w:r>
        <w:rPr>
          <w:b w:val="false"/>
          <w:caps w:val="false"/>
          <w:smallCaps w:val="false"/>
          <w:position w:val="0"/>
          <w:sz w:val="24"/>
          <w:sz w:val="24"/>
          <w:u w:val="none"/>
          <w:vertAlign w:val="baseline"/>
        </w:rPr>
        <w:t>)</w:t>
      </w:r>
      <w:bookmarkEnd w:id="25"/>
      <w:r>
        <w:rPr>
          <w:i/>
          <w:iCs/>
          <w:szCs w:val="24"/>
        </w:rPr>
        <w:t xml:space="preserve"> </w:t>
      </w:r>
      <w:r>
        <w:rPr>
          <w:iCs/>
          <w:szCs w:val="24"/>
        </w:rPr>
        <w:t>and</w:t>
      </w:r>
      <w:r>
        <w:rPr>
          <w:i/>
          <w:iCs/>
          <w:szCs w:val="24"/>
        </w:rPr>
        <w:t xml:space="preserve"> C</w:t>
      </w:r>
      <w:r>
        <w:rPr>
          <w:i/>
          <w:iCs/>
          <w:szCs w:val="24"/>
          <w:vertAlign w:val="subscript"/>
        </w:rPr>
        <w:t>p</w:t>
      </w:r>
      <w:r>
        <w:rPr>
          <w:i/>
          <w:iCs/>
          <w:szCs w:val="24"/>
          <w:vertAlign w:val="superscript"/>
        </w:rPr>
        <w:t>glass</w:t>
      </w:r>
      <w:r>
        <w:rPr>
          <w:i/>
          <w:iCs/>
          <w:szCs w:val="24"/>
        </w:rPr>
        <w:t>(T</w:t>
      </w:r>
      <w:r>
        <w:rPr>
          <w:i/>
          <w:iCs/>
          <w:szCs w:val="24"/>
          <w:vertAlign w:val="subscript"/>
        </w:rPr>
        <w:t>g</w:t>
      </w:r>
      <w:r>
        <w:rPr>
          <w:i/>
          <w:iCs/>
          <w:szCs w:val="24"/>
        </w:rPr>
        <w:t xml:space="preserve">) </w:t>
      </w:r>
      <w:r>
        <w:rPr>
          <w:iCs/>
          <w:szCs w:val="24"/>
        </w:rPr>
        <w:t>calculated from the Dulong-Petit limit of 3R, with R the perfect gas constant</w:t>
      </w:r>
      <w:r>
        <w:rPr>
          <w:i/>
          <w:iCs/>
          <w:szCs w:val="24"/>
        </w:rPr>
        <w:t>.</w:t>
      </w:r>
      <w:r>
        <w:rPr>
          <w:iCs/>
          <w:szCs w:val="24"/>
        </w:rPr>
        <w:t xml:space="preserve"> Models of </w:t>
      </w:r>
      <w:r>
        <w:rPr>
          <w:i/>
          <w:iCs/>
          <w:szCs w:val="24"/>
        </w:rPr>
        <w:t>C</w:t>
      </w:r>
      <w:r>
        <w:rPr>
          <w:i/>
          <w:iCs/>
          <w:szCs w:val="24"/>
          <w:vertAlign w:val="subscript"/>
        </w:rPr>
        <w:t>p</w:t>
      </w:r>
      <w:r>
        <w:rPr>
          <w:i/>
          <w:iCs/>
          <w:szCs w:val="24"/>
          <w:vertAlign w:val="superscript"/>
        </w:rPr>
        <w:t>liquid</w:t>
      </w:r>
      <w:r>
        <w:rPr>
          <w:i/>
          <w:iCs/>
          <w:szCs w:val="24"/>
        </w:rPr>
        <w:t>(T</w:t>
      </w:r>
      <w:r>
        <w:rPr>
          <w:i/>
          <w:iCs/>
          <w:szCs w:val="24"/>
          <w:vertAlign w:val="subscript"/>
        </w:rPr>
        <w:t>g</w:t>
      </w:r>
      <w:r>
        <w:rPr>
          <w:i/>
          <w:iCs/>
          <w:szCs w:val="24"/>
        </w:rPr>
        <w:t xml:space="preserve">) </w:t>
      </w:r>
      <w:r>
        <w:rPr>
          <w:szCs w:val="24"/>
        </w:rPr>
        <w:t xml:space="preserve">and the theoretical calculation of </w:t>
      </w:r>
      <w:r>
        <w:rPr>
          <w:i/>
          <w:iCs/>
          <w:szCs w:val="24"/>
        </w:rPr>
        <w:t>C</w:t>
      </w:r>
      <w:r>
        <w:rPr>
          <w:i/>
          <w:iCs/>
          <w:szCs w:val="24"/>
          <w:vertAlign w:val="subscript"/>
        </w:rPr>
        <w:t>p</w:t>
      </w:r>
      <w:r>
        <w:rPr>
          <w:i/>
          <w:iCs/>
          <w:szCs w:val="24"/>
          <w:vertAlign w:val="superscript"/>
        </w:rPr>
        <w:t>glass</w:t>
      </w:r>
      <w:r>
        <w:rPr>
          <w:i/>
          <w:iCs/>
          <w:szCs w:val="24"/>
        </w:rPr>
        <w:t>(T</w:t>
      </w:r>
      <w:r>
        <w:rPr>
          <w:i/>
          <w:iCs/>
          <w:szCs w:val="24"/>
          <w:vertAlign w:val="subscript"/>
        </w:rPr>
        <w:t>g</w:t>
      </w:r>
      <w:r>
        <w:rPr>
          <w:i/>
          <w:iCs/>
          <w:szCs w:val="24"/>
        </w:rPr>
        <w:t xml:space="preserve">) </w:t>
      </w:r>
      <w:r>
        <w:rPr>
          <w:szCs w:val="24"/>
        </w:rPr>
        <w:t>do not yield exact values, and t</w:t>
      </w:r>
      <w:r>
        <w:rPr>
          <w:iCs/>
          <w:szCs w:val="24"/>
        </w:rPr>
        <w:t xml:space="preserve">his most probably explains the moderately good correlation between predicted </w:t>
      </w:r>
      <w:r>
        <w:rPr>
          <w:i/>
          <w:iCs/>
          <w:szCs w:val="24"/>
        </w:rPr>
        <w:t>m</w:t>
      </w:r>
      <w:r>
        <w:rPr>
          <w:iCs/>
          <w:szCs w:val="24"/>
        </w:rPr>
        <w:t xml:space="preserve"> and </w:t>
      </w:r>
      <w:r>
        <w:rPr>
          <w:i/>
          <w:iCs/>
          <w:szCs w:val="24"/>
        </w:rPr>
        <w:t>C</w:t>
      </w:r>
      <w:r>
        <w:rPr>
          <w:i/>
          <w:iCs/>
          <w:szCs w:val="24"/>
          <w:vertAlign w:val="subscript"/>
        </w:rPr>
        <w:t>p</w:t>
      </w:r>
      <w:r>
        <w:rPr>
          <w:i/>
          <w:iCs/>
          <w:szCs w:val="24"/>
          <w:vertAlign w:val="superscript"/>
        </w:rPr>
        <w:t>conf</w:t>
      </w:r>
      <w:r>
        <w:rPr>
          <w:i/>
          <w:iCs/>
          <w:szCs w:val="24"/>
        </w:rPr>
        <w:t>(T</w:t>
      </w:r>
      <w:r>
        <w:rPr>
          <w:i/>
          <w:iCs/>
          <w:szCs w:val="24"/>
          <w:vertAlign w:val="subscript"/>
        </w:rPr>
        <w:t>g</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values in the present work in comparison of other studies that used experimental values of </w:t>
      </w:r>
      <w:r>
        <w:rPr>
          <w:i/>
          <w:iCs/>
          <w:szCs w:val="24"/>
        </w:rPr>
        <w:t>C</w:t>
      </w:r>
      <w:r>
        <w:rPr>
          <w:i/>
          <w:iCs/>
          <w:szCs w:val="24"/>
          <w:vertAlign w:val="subscript"/>
        </w:rPr>
        <w:t>p</w:t>
      </w:r>
      <w:r>
        <w:rPr>
          <w:iCs/>
          <w:szCs w:val="24"/>
        </w:rPr>
        <w:t>. In turn, this result indicates a critical need for better heat capacity models of aluminosilicate melts</w:t>
      </w:r>
      <w:r>
        <w:rPr>
          <w:i/>
          <w:iCs/>
          <w:szCs w:val="24"/>
        </w:rPr>
        <w:t>.</w:t>
      </w:r>
      <w:r>
        <w:rPr>
          <w:iCs/>
          <w:szCs w:val="24"/>
        </w:rPr>
        <w:t xml:space="preserve"> </w:t>
      </w:r>
    </w:p>
    <w:p>
      <w:pPr>
        <w:pStyle w:val="Normal"/>
        <w:rPr>
          <w:iCs/>
          <w:szCs w:val="24"/>
        </w:rPr>
      </w:pPr>
      <w:r>
        <w:rPr>
          <w:iCs/>
          <w:szCs w:val="24"/>
        </w:rPr>
      </w:r>
    </w:p>
    <w:p>
      <w:pPr>
        <w:pStyle w:val="Normal"/>
        <w:tabs>
          <w:tab w:val="clear" w:pos="720"/>
          <w:tab w:val="left" w:pos="8505" w:leader="none"/>
        </w:tabs>
        <w:rPr>
          <w:u w:val="single"/>
        </w:rPr>
      </w:pPr>
      <w:r>
        <w:rPr>
          <w:b/>
          <w:bCs/>
          <w:i/>
          <w:iCs/>
          <w:szCs w:val="24"/>
        </w:rPr>
        <w:t>Deep learning for small dataset?</w:t>
      </w:r>
    </w:p>
    <w:p>
      <w:pPr>
        <w:pStyle w:val="Normal"/>
        <w:rPr/>
      </w:pPr>
      <w:r>
        <w:rPr>
          <w:iCs/>
          <w:szCs w:val="24"/>
        </w:rPr>
        <w:t xml:space="preserve">Using the viscosity dataset, we tested the effects of dataset size and network architecture on the </w:t>
      </w:r>
      <w:r>
        <w:rPr>
          <w:rFonts w:eastAsia="Times New Roman" w:cs="Times New Roman"/>
          <w:iCs/>
          <w:color w:val="auto"/>
          <w:kern w:val="0"/>
          <w:sz w:val="24"/>
          <w:szCs w:val="24"/>
          <w:lang w:val="en-US" w:eastAsia="en-US" w:bidi="ar-SA"/>
        </w:rPr>
        <w:t>deep learning framework</w:t>
      </w:r>
      <w:r>
        <w:rPr>
          <w:iCs/>
          <w:szCs w:val="24"/>
        </w:rPr>
        <w:t xml:space="preserve"> predictive abilities. Experimental data are often scarce because they are difficult to obtain, with each experiment requiring significant work, time, and potentially funds. The common idea is that this usually prohibits the use of “data-thirsty” machine learning methods. The present datasets are small, even extremely small (e.g. that of Raman spectra), raising the question: are we not simply overfitting or even encoding our data? We tested this by training the </w:t>
      </w:r>
      <w:r>
        <w:rPr>
          <w:rFonts w:eastAsia="Times New Roman" w:cs="Times New Roman"/>
          <w:iCs/>
          <w:color w:val="auto"/>
          <w:kern w:val="0"/>
          <w:sz w:val="24"/>
          <w:szCs w:val="24"/>
          <w:lang w:val="en-US" w:eastAsia="en-US" w:bidi="ar-SA"/>
        </w:rPr>
        <w:t>neural networks</w:t>
      </w:r>
      <w:r>
        <w:rPr>
          <w:iCs/>
          <w:szCs w:val="24"/>
        </w:rPr>
        <w:t xml:space="preserve"> on different </w:t>
      </w:r>
      <w:r>
        <w:rPr>
          <w:szCs w:val="24"/>
        </w:rPr>
        <w:t>training data</w:t>
      </w:r>
      <w:r>
        <w:rPr>
          <w:iCs/>
          <w:szCs w:val="24"/>
        </w:rPr>
        <w:t xml:space="preserve"> subsets with variable size and monitoring the RMSE loss on the same unseen </w:t>
      </w:r>
      <w:r>
        <w:rPr>
          <w:szCs w:val="24"/>
        </w:rPr>
        <w:t>test</w:t>
      </w:r>
      <w:r>
        <w:rPr>
          <w:iCs/>
          <w:szCs w:val="24"/>
        </w:rPr>
        <w:t xml:space="preserve"> data subset (Fig. S2A). As expected, the </w:t>
      </w:r>
      <w:r>
        <w:rPr>
          <w:rFonts w:eastAsia="Times New Roman" w:cs="Times New Roman"/>
          <w:iCs/>
          <w:color w:val="auto"/>
          <w:kern w:val="0"/>
          <w:sz w:val="24"/>
          <w:szCs w:val="24"/>
          <w:lang w:val="en-US" w:eastAsia="en-US" w:bidi="ar-SA"/>
        </w:rPr>
        <w:t>deep learning framework</w:t>
      </w:r>
      <w:r>
        <w:rPr>
          <w:iCs/>
          <w:szCs w:val="24"/>
        </w:rPr>
        <w:t xml:space="preserve"> predictive ability directly depends on the dataset size. Results become interesting only after reaching a threshold of around ~80 different compositions within the </w:t>
      </w:r>
      <w:r>
        <w:rPr>
          <w:szCs w:val="24"/>
        </w:rPr>
        <w:t>training</w:t>
      </w:r>
      <w:r>
        <w:rPr>
          <w:iCs/>
          <w:szCs w:val="24"/>
        </w:rPr>
        <w:t xml:space="preserve"> data subset. This yields testing RMSE lower than 0.6 log Pa</w:t>
      </w:r>
      <w:r>
        <w:rPr>
          <w:rFonts w:eastAsia="Symbol" w:cs="Symbol" w:ascii="Ubuntu" w:hAnsi="Ubuntu"/>
          <w:iCs/>
          <w:szCs w:val="24"/>
        </w:rPr>
        <w:t>·</w:t>
      </w:r>
      <w:r>
        <w:rPr>
          <w:iCs/>
          <w:szCs w:val="24"/>
        </w:rPr>
        <w:t xml:space="preserve">s on the </w:t>
      </w:r>
      <w:r>
        <w:rPr>
          <w:i/>
          <w:iCs/>
          <w:szCs w:val="24"/>
        </w:rPr>
        <w:t>testing</w:t>
      </w:r>
      <w:r>
        <w:rPr>
          <w:iCs/>
          <w:szCs w:val="24"/>
        </w:rPr>
        <w:t xml:space="preserve"> </w:t>
      </w:r>
      <w:r>
        <w:rPr>
          <w:i/>
          <w:iCs/>
          <w:color w:val="000000"/>
          <w:szCs w:val="24"/>
        </w:rPr>
        <w:t>D</w:t>
      </w:r>
      <w:r>
        <w:rPr>
          <w:i/>
          <w:iCs/>
          <w:color w:val="000000"/>
          <w:szCs w:val="24"/>
          <w:vertAlign w:val="subscript"/>
        </w:rPr>
        <w:t>viscosity</w:t>
      </w:r>
      <w:r>
        <w:rPr>
          <w:iCs/>
          <w:szCs w:val="24"/>
        </w:rPr>
        <w:t xml:space="preserve"> subset (Fig. S2A), a reasonable achievement as existing parametric models have RMSE values higher than 0.6 log Pa</w:t>
      </w:r>
      <w:r>
        <w:rPr>
          <w:rFonts w:eastAsia="Symbol" w:cs="Symbol" w:ascii="Ubuntu" w:hAnsi="Ubuntu"/>
          <w:iCs/>
          <w:szCs w:val="24"/>
        </w:rPr>
        <w:t>·</w:t>
      </w:r>
      <w:r>
        <w:rPr>
          <w:iCs/>
          <w:szCs w:val="24"/>
        </w:rPr>
        <w:t>s on the full 10</w:t>
      </w:r>
      <w:r>
        <w:rPr>
          <w:iCs/>
          <w:szCs w:val="24"/>
          <w:vertAlign w:val="superscript"/>
        </w:rPr>
        <w:t>0</w:t>
      </w:r>
      <w:r>
        <w:rPr>
          <w:iCs/>
          <w:szCs w:val="24"/>
        </w:rPr>
        <w:t>-10</w:t>
      </w:r>
      <w:r>
        <w:rPr>
          <w:iCs/>
          <w:szCs w:val="24"/>
          <w:vertAlign w:val="superscript"/>
        </w:rPr>
        <w:t>15</w:t>
      </w:r>
      <w:r>
        <w:rPr>
          <w:iCs/>
          <w:szCs w:val="24"/>
        </w:rPr>
        <w:t xml:space="preserve"> Pa</w:t>
      </w:r>
      <w:r>
        <w:rPr>
          <w:rFonts w:eastAsia="Symbol" w:cs="Symbol" w:ascii="Ubuntu" w:hAnsi="Ubuntu"/>
          <w:iCs/>
          <w:szCs w:val="24"/>
        </w:rPr>
        <w:t>·</w:t>
      </w:r>
      <w:r>
        <w:rPr>
          <w:iCs/>
          <w:szCs w:val="24"/>
        </w:rPr>
        <w:t xml:space="preserve">s range </w:t>
      </w:r>
      <w:bookmarkStart w:id="26" w:name="ZOTERO_BREF_bGfaMaqk69Ib"/>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48</w:t>
      </w:r>
      <w:r>
        <w:rPr>
          <w:b w:val="false"/>
          <w:caps w:val="false"/>
          <w:smallCaps w:val="false"/>
          <w:position w:val="0"/>
          <w:sz w:val="24"/>
          <w:sz w:val="24"/>
          <w:u w:val="none"/>
          <w:vertAlign w:val="baseline"/>
        </w:rPr>
        <w:t>)</w:t>
      </w:r>
      <w:bookmarkEnd w:id="26"/>
      <w:r>
        <w:rPr>
          <w:iCs/>
          <w:szCs w:val="24"/>
        </w:rPr>
        <w:t xml:space="preserve">. Lower numbers of compositions in the </w:t>
      </w:r>
      <w:r>
        <w:rPr>
          <w:i/>
          <w:iCs/>
          <w:szCs w:val="24"/>
        </w:rPr>
        <w:t>training</w:t>
      </w:r>
      <w:r>
        <w:rPr>
          <w:iCs/>
          <w:szCs w:val="24"/>
        </w:rPr>
        <w:t xml:space="preserve"> subset result in the </w:t>
      </w:r>
      <w:r>
        <w:rPr>
          <w:rFonts w:eastAsia="Times New Roman" w:cs="Times New Roman"/>
          <w:iCs/>
          <w:color w:val="auto"/>
          <w:kern w:val="0"/>
          <w:sz w:val="24"/>
          <w:szCs w:val="24"/>
          <w:lang w:val="en-US" w:eastAsia="en-US" w:bidi="ar-SA"/>
        </w:rPr>
        <w:t>deep learning framework</w:t>
      </w:r>
      <w:r>
        <w:rPr>
          <w:iCs/>
          <w:szCs w:val="24"/>
        </w:rPr>
        <w:t xml:space="preserve"> constantly over-fitting the data. With more data, the lowest achievable RMSE probably lies around 0.36 Pa</w:t>
      </w:r>
      <w:r>
        <w:rPr>
          <w:rFonts w:eastAsia="Symbol" w:cs="Symbol" w:ascii="Ubuntu" w:hAnsi="Ubuntu"/>
          <w:iCs/>
          <w:szCs w:val="24"/>
        </w:rPr>
        <w:t>·</w:t>
      </w:r>
      <w:r>
        <w:rPr>
          <w:iCs/>
          <w:szCs w:val="24"/>
        </w:rPr>
        <w:t>s as shown by the evolution of the training RMSE (Fig. S2A) and reflects errors affecting the dataset (see below).</w:t>
      </w:r>
    </w:p>
    <w:p>
      <w:pPr>
        <w:pStyle w:val="Normal"/>
        <w:rPr>
          <w:rFonts w:eastAsia="Symbol" w:cs="Symbol"/>
          <w:iCs/>
          <w:szCs w:val="24"/>
        </w:rPr>
      </w:pPr>
      <w:r>
        <w:rPr>
          <w:rFonts w:eastAsia="Symbol" w:cs="Symbol"/>
          <w:iCs/>
          <w:szCs w:val="24"/>
        </w:rPr>
      </w:r>
    </w:p>
    <w:p>
      <w:pPr>
        <w:pStyle w:val="Normal"/>
        <w:rPr/>
      </w:pPr>
      <w:r>
        <w:rPr>
          <w:iCs/>
          <w:szCs w:val="24"/>
        </w:rPr>
        <w:t xml:space="preserve">Aside from the number of training data, the network architecture has a direct effect on the </w:t>
      </w:r>
      <w:r>
        <w:rPr>
          <w:rFonts w:eastAsia="Times New Roman" w:cs="Times New Roman"/>
          <w:iCs/>
          <w:color w:val="auto"/>
          <w:kern w:val="0"/>
          <w:sz w:val="24"/>
          <w:szCs w:val="24"/>
          <w:lang w:val="en-US" w:eastAsia="en-US" w:bidi="ar-SA"/>
        </w:rPr>
        <w:t>deep learning framework</w:t>
      </w:r>
      <w:r>
        <w:rPr>
          <w:iCs/>
          <w:szCs w:val="24"/>
        </w:rPr>
        <w:t xml:space="preserve"> predictive ability. For small datasets, common but outdated advice to avoid overfitting is to use networks with a limited number of activation units and layers. In our case, this is not true. More than a thousand hidden activation units are necessary to achieve good validation and testing RMSE on the viscosity dataset (Fig. S2). More precisely, network with more than 3 hidden layers provide better predictive abilities (Figure S2), confirming that deep networks perform better than shallow ones even on small datasets.</w:t>
      </w:r>
    </w:p>
    <w:p>
      <w:pPr>
        <w:pStyle w:val="Normal"/>
        <w:rPr>
          <w:iCs/>
          <w:szCs w:val="24"/>
          <w:u w:val="single"/>
        </w:rPr>
      </w:pPr>
      <w:r>
        <w:rPr>
          <w:iCs/>
          <w:szCs w:val="24"/>
          <w:u w:val="single"/>
        </w:rPr>
      </w:r>
    </w:p>
    <w:p>
      <w:pPr>
        <w:pStyle w:val="Normal"/>
        <w:rPr>
          <w:b/>
          <w:b/>
          <w:bCs/>
          <w:i/>
          <w:i/>
          <w:iCs/>
        </w:rPr>
      </w:pPr>
      <w:r>
        <w:rPr>
          <w:b/>
          <w:bCs/>
          <w:i/>
          <w:iCs/>
          <w:szCs w:val="24"/>
        </w:rPr>
        <w:t xml:space="preserve">Can we detect a lowest achievable limit for the </w:t>
      </w:r>
      <w:r>
        <w:rPr>
          <w:rFonts w:eastAsia="Times New Roman" w:cs="Times New Roman"/>
          <w:b/>
          <w:bCs/>
          <w:i/>
          <w:iCs/>
          <w:color w:val="auto"/>
          <w:kern w:val="0"/>
          <w:sz w:val="24"/>
          <w:szCs w:val="24"/>
          <w:lang w:val="en-US" w:eastAsia="en-US" w:bidi="ar-SA"/>
        </w:rPr>
        <w:t>deep learning framework</w:t>
      </w:r>
      <w:r>
        <w:rPr>
          <w:b/>
          <w:bCs/>
          <w:i/>
          <w:iCs/>
          <w:szCs w:val="24"/>
        </w:rPr>
        <w:t xml:space="preserve"> predictive error?</w:t>
      </w:r>
    </w:p>
    <w:p>
      <w:pPr>
        <w:pStyle w:val="Normal"/>
        <w:rPr/>
      </w:pPr>
      <w:r>
        <w:rPr>
          <w:iCs/>
          <w:szCs w:val="24"/>
        </w:rPr>
        <w:t>Interestingly, the training RMSE on viscosity is always of ~0.36 log Pa</w:t>
      </w:r>
      <w:r>
        <w:rPr>
          <w:rFonts w:eastAsia="Symbol" w:cs="Symbol" w:ascii="Ubuntu" w:hAnsi="Ubuntu"/>
          <w:iCs/>
          <w:szCs w:val="24"/>
        </w:rPr>
        <w:t>·</w:t>
      </w:r>
      <w:r>
        <w:rPr>
          <w:iCs/>
          <w:szCs w:val="24"/>
        </w:rPr>
        <w:t xml:space="preserve">s (Fig. S2A), regardless of the training data subset size. Artificial neural networks are extremely flexible and very prone to overfit the training data subset. Therefore, the fact that </w:t>
      </w:r>
      <w:r>
        <w:rPr>
          <w:rFonts w:eastAsia="Times New Roman" w:cs="Times New Roman"/>
          <w:iCs/>
          <w:color w:val="auto"/>
          <w:kern w:val="0"/>
          <w:sz w:val="24"/>
          <w:szCs w:val="24"/>
          <w:lang w:val="en-US" w:eastAsia="en-US" w:bidi="ar-SA"/>
        </w:rPr>
        <w:t>neural networks</w:t>
      </w:r>
      <w:r>
        <w:rPr>
          <w:iCs/>
          <w:szCs w:val="24"/>
        </w:rPr>
        <w:t xml:space="preserve"> trained on a small number of compositions clearly overfit the training data subset but do not provide viscosity predictions better than ~0.36 log Pa</w:t>
      </w:r>
      <w:r>
        <w:rPr>
          <w:rFonts w:eastAsia="Symbol" w:cs="Symbol" w:ascii="Ubuntu" w:hAnsi="Ubuntu"/>
          <w:iCs/>
          <w:szCs w:val="24"/>
        </w:rPr>
        <w:t>·</w:t>
      </w:r>
      <w:r>
        <w:rPr>
          <w:iCs/>
          <w:szCs w:val="24"/>
        </w:rPr>
        <w:t>s brings an important information: this places a lowest achievable RMSE at ~0.36 log Pa</w:t>
      </w:r>
      <w:r>
        <w:rPr>
          <w:rFonts w:eastAsia="Symbol" w:cs="Symbol" w:ascii="Ubuntu" w:hAnsi="Ubuntu"/>
          <w:iCs/>
          <w:szCs w:val="24"/>
        </w:rPr>
        <w:t>·</w:t>
      </w:r>
      <w:r>
        <w:rPr>
          <w:iCs/>
          <w:szCs w:val="24"/>
        </w:rPr>
        <w:t>s on the present dataset. We infer that this limit reflects contributions from experimental errors affecting viscosity measurements and chemical composition values, those errors varying between different laboratories, as well as from the accuracy of the glass and melt heat capacity determination (see above).</w:t>
      </w:r>
    </w:p>
    <w:p>
      <w:pPr>
        <w:pStyle w:val="Normal"/>
        <w:rPr>
          <w:iCs/>
          <w:szCs w:val="24"/>
        </w:rPr>
      </w:pPr>
      <w:r>
        <w:rPr>
          <w:iCs/>
          <w:szCs w:val="24"/>
        </w:rPr>
      </w:r>
    </w:p>
    <w:p>
      <w:pPr>
        <w:pStyle w:val="Normal"/>
        <w:rPr>
          <w:b/>
          <w:b/>
          <w:bCs/>
          <w:i/>
          <w:i/>
          <w:iCs/>
        </w:rPr>
      </w:pPr>
      <w:r>
        <w:rPr>
          <w:b/>
          <w:bCs/>
          <w:i/>
          <w:iCs/>
          <w:szCs w:val="24"/>
        </w:rPr>
        <w:t>Configurational entropy at the glass transition: chemical and topological contributions</w:t>
      </w:r>
    </w:p>
    <w:p>
      <w:pPr>
        <w:pStyle w:val="Paragraph"/>
        <w:rPr/>
      </w:pPr>
      <w:r>
        <w:rPr>
          <w:rFonts w:eastAsia="Times New Roman" w:cs="Times New Roman"/>
          <w:iCs/>
          <w:color w:val="auto"/>
          <w:kern w:val="0"/>
          <w:sz w:val="24"/>
          <w:szCs w:val="24"/>
          <w:lang w:val="en-US" w:eastAsia="en-US" w:bidi="ar-SA"/>
        </w:rPr>
        <w:t>Deep learning framework</w:t>
      </w:r>
      <w:r>
        <w:rPr/>
        <w:t xml:space="preserve"> results show large, non-linear variations of </w:t>
      </w:r>
      <w:r>
        <w:rPr>
          <w:i/>
        </w:rPr>
        <w:t>S</w:t>
      </w:r>
      <w:r>
        <w:rPr>
          <w:i/>
          <w:vertAlign w:val="superscript"/>
        </w:rPr>
        <w:t>conf</w:t>
      </w:r>
      <w:r>
        <w:rPr>
          <w:i/>
        </w:rPr>
        <w:t>(T</w:t>
      </w:r>
      <w:r>
        <w:rPr>
          <w:i/>
          <w:vertAlign w:val="subscript"/>
        </w:rPr>
        <w:t>g</w:t>
      </w:r>
      <w:r>
        <w:rPr>
          <w:i/>
        </w:rPr>
        <w:t xml:space="preserve">) </w:t>
      </w:r>
      <w:r>
        <w:rPr/>
        <w:t xml:space="preserve">with glass composition. Such variations are better understood when considering that </w:t>
      </w:r>
      <w:r>
        <w:rPr>
          <w:i/>
        </w:rPr>
        <w:t>S</w:t>
      </w:r>
      <w:r>
        <w:rPr>
          <w:i/>
          <w:vertAlign w:val="superscript"/>
        </w:rPr>
        <w:t>conf</w:t>
      </w:r>
      <w:r>
        <w:rPr>
          <w:i/>
        </w:rPr>
        <w:t>(T</w:t>
      </w:r>
      <w:r>
        <w:rPr>
          <w:i/>
          <w:vertAlign w:val="subscript"/>
        </w:rPr>
        <w:t>g</w:t>
      </w:r>
      <w:r>
        <w:rPr>
          <w:i/>
        </w:rPr>
        <w:t>)</w:t>
      </w:r>
      <w:r>
        <w:rPr>
          <w:iCs/>
        </w:rPr>
        <w:t xml:space="preserve"> should be considered as originating from various sources, of topological and chemical nature. As a result, it varies in a complex way with melt chemistry, and those variations are difficult to rationalize without making severe simplifications and/or assumptions. Even for the simple SiO</w:t>
      </w:r>
      <w:r>
        <w:rPr>
          <w:iCs/>
          <w:vertAlign w:val="subscript"/>
        </w:rPr>
        <w:t>2</w:t>
      </w:r>
      <w:r>
        <w:rPr>
          <w:iCs/>
        </w:rPr>
        <w:t xml:space="preserve"> glass, not all the configurational entropy can be assigned to a topological origin with certainty. Indeed, the Raman signal of the A1 vibrational doublet at high frequency arising from symmetric stretching of the SiO</w:t>
      </w:r>
      <w:r>
        <w:rPr>
          <w:iCs/>
          <w:vertAlign w:val="subscript"/>
        </w:rPr>
        <w:t>2</w:t>
      </w:r>
      <w:r>
        <w:rPr>
          <w:iCs/>
        </w:rPr>
        <w:t xml:space="preserve"> tetrahedral units is split in two components, which fractions represent 0.68 and 0.32 of the A1 signal </w:t>
      </w:r>
      <w:bookmarkStart w:id="27" w:name="ZOTERO_BREF_qBubpPgpn1k2"/>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20</w:t>
      </w:r>
      <w:r>
        <w:rPr>
          <w:b w:val="false"/>
          <w:caps w:val="false"/>
          <w:smallCaps w:val="false"/>
          <w:position w:val="0"/>
          <w:sz w:val="24"/>
          <w:sz w:val="24"/>
          <w:u w:val="none"/>
          <w:vertAlign w:val="baseline"/>
        </w:rPr>
        <w:t>)</w:t>
      </w:r>
      <w:bookmarkEnd w:id="27"/>
      <w:r>
        <w:rPr>
          <w:iCs/>
        </w:rPr>
        <w:t xml:space="preserve">; assuming an ideal mixing of the two vibrators, one finds a Raman-derived </w:t>
      </w:r>
      <w:r>
        <w:rPr>
          <w:i/>
          <w:iCs/>
        </w:rPr>
        <w:t>S</w:t>
      </w:r>
      <w:r>
        <w:rPr>
          <w:i/>
          <w:iCs/>
          <w:vertAlign w:val="superscript"/>
        </w:rPr>
        <w:t>conf</w:t>
      </w:r>
      <w:r>
        <w:rPr>
          <w:i/>
          <w:iCs/>
        </w:rPr>
        <w:t>(T</w:t>
      </w:r>
      <w:r>
        <w:rPr>
          <w:i/>
          <w:iCs/>
          <w:vertAlign w:val="subscript"/>
        </w:rPr>
        <w:t>g</w:t>
      </w:r>
      <w:r>
        <w:rPr>
          <w:i/>
          <w:iCs/>
        </w:rPr>
        <w:t>)</w:t>
      </w:r>
      <w:r>
        <w:rPr>
          <w:iCs/>
        </w:rPr>
        <w:t xml:space="preserve"> = 5.2 ± 0.4 J mol</w:t>
      </w:r>
      <w:r>
        <w:rPr>
          <w:iCs/>
          <w:vertAlign w:val="superscript"/>
        </w:rPr>
        <w:t>-1</w:t>
      </w:r>
      <w:r>
        <w:rPr>
          <w:iCs/>
        </w:rPr>
        <w:t xml:space="preserve"> K</w:t>
      </w:r>
      <w:r>
        <w:rPr>
          <w:iCs/>
          <w:vertAlign w:val="superscript"/>
        </w:rPr>
        <w:t>-1</w:t>
      </w:r>
      <w:r>
        <w:rPr>
          <w:iCs/>
        </w:rPr>
        <w:t>. This value is surprisingly realistic, very close to the 5.1 ± 2 J mol</w:t>
      </w:r>
      <w:r>
        <w:rPr>
          <w:iCs/>
          <w:vertAlign w:val="superscript"/>
        </w:rPr>
        <w:t>-1</w:t>
      </w:r>
      <w:r>
        <w:rPr>
          <w:iCs/>
        </w:rPr>
        <w:t xml:space="preserve"> K</w:t>
      </w:r>
      <w:r>
        <w:rPr>
          <w:iCs/>
          <w:vertAlign w:val="superscript"/>
        </w:rPr>
        <w:t>-1</w:t>
      </w:r>
      <w:r>
        <w:rPr>
          <w:iCs/>
        </w:rPr>
        <w:t xml:space="preserve"> value returned from calorimetric measurements </w:t>
      </w:r>
      <w:bookmarkStart w:id="28" w:name="ZOTERO_BREF_NBQjwq6FJCje"/>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52</w:t>
      </w:r>
      <w:r>
        <w:rPr>
          <w:b w:val="false"/>
          <w:caps w:val="false"/>
          <w:smallCaps w:val="false"/>
          <w:position w:val="0"/>
          <w:sz w:val="24"/>
          <w:sz w:val="24"/>
          <w:u w:val="none"/>
          <w:vertAlign w:val="baseline"/>
        </w:rPr>
        <w:t>)</w:t>
      </w:r>
      <w:bookmarkEnd w:id="28"/>
      <w:r>
        <w:rPr>
          <w:iCs/>
        </w:rPr>
        <w:t xml:space="preserve"> and not very different from the 8.3 ± 2.8 J mol</w:t>
      </w:r>
      <w:r>
        <w:rPr>
          <w:iCs/>
          <w:vertAlign w:val="superscript"/>
        </w:rPr>
        <w:t>-1</w:t>
      </w:r>
      <w:r>
        <w:rPr>
          <w:iCs/>
        </w:rPr>
        <w:t xml:space="preserve"> K</w:t>
      </w:r>
      <w:r>
        <w:rPr>
          <w:iCs/>
          <w:vertAlign w:val="superscript"/>
        </w:rPr>
        <w:t>-1</w:t>
      </w:r>
      <w:r>
        <w:rPr>
          <w:iCs/>
        </w:rPr>
        <w:t xml:space="preserve"> value calculated from the SiO</w:t>
      </w:r>
      <w:r>
        <w:rPr>
          <w:iCs/>
          <w:vertAlign w:val="subscript"/>
        </w:rPr>
        <w:t>2</w:t>
      </w:r>
      <w:r>
        <w:rPr>
          <w:iCs/>
        </w:rPr>
        <w:t xml:space="preserve"> viscosity data </w:t>
      </w:r>
      <w:bookmarkStart w:id="29" w:name="ZOTERO_BREF_OMqubTv8wJJu"/>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w:t>
      </w:r>
      <w:bookmarkEnd w:id="29"/>
      <w:r>
        <w:rPr>
          <w:iCs/>
        </w:rPr>
        <w:t>. The same treatment for the nepheline glass yields a value of 4.6 ± 0.7 J mol</w:t>
      </w:r>
      <w:r>
        <w:rPr>
          <w:iCs/>
          <w:vertAlign w:val="superscript"/>
        </w:rPr>
        <w:t>-1</w:t>
      </w:r>
      <w:r>
        <w:rPr>
          <w:iCs/>
        </w:rPr>
        <w:t xml:space="preserve"> K</w:t>
      </w:r>
      <w:r>
        <w:rPr>
          <w:iCs/>
          <w:vertAlign w:val="superscript"/>
        </w:rPr>
        <w:t>-1</w:t>
      </w:r>
      <w:r>
        <w:rPr>
          <w:iCs/>
        </w:rPr>
        <w:t>, close to the calorimetric value of 4.85 J mol</w:t>
      </w:r>
      <w:r>
        <w:rPr>
          <w:iCs/>
          <w:vertAlign w:val="superscript"/>
        </w:rPr>
        <w:t>-1</w:t>
      </w:r>
      <w:r>
        <w:rPr>
          <w:iCs/>
        </w:rPr>
        <w:t xml:space="preserve"> K</w:t>
      </w:r>
      <w:r>
        <w:rPr>
          <w:iCs/>
          <w:vertAlign w:val="superscript"/>
        </w:rPr>
        <w:t>-1</w:t>
      </w:r>
      <w:r>
        <w:rPr>
          <w:iCs/>
        </w:rPr>
        <w:t xml:space="preserve">, this being explained by the high ordering of the Si-Al distribution in nepheline </w:t>
      </w:r>
      <w:bookmarkStart w:id="30" w:name="ZOTERO_BREF_YwHN4IAw7QpF"/>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53</w:t>
      </w:r>
      <w:r>
        <w:rPr>
          <w:b w:val="false"/>
          <w:caps w:val="false"/>
          <w:smallCaps w:val="false"/>
          <w:position w:val="0"/>
          <w:sz w:val="24"/>
          <w:sz w:val="24"/>
          <w:u w:val="none"/>
          <w:vertAlign w:val="baseline"/>
        </w:rPr>
        <w:t>)</w:t>
      </w:r>
      <w:bookmarkEnd w:id="30"/>
      <w:r>
        <w:rPr>
          <w:iCs/>
        </w:rPr>
        <w:t xml:space="preserve"> and hence a limited chemical mixing of various units. However, as soon as chemical mixing becomes important, such calculations fail. This is shown by comparing the value of such calculation for albite, which yields a Raman-derived </w:t>
      </w:r>
      <w:r>
        <w:rPr>
          <w:i/>
          <w:iCs/>
        </w:rPr>
        <w:t>S</w:t>
      </w:r>
      <w:r>
        <w:rPr>
          <w:i/>
          <w:iCs/>
          <w:vertAlign w:val="superscript"/>
        </w:rPr>
        <w:t>conf</w:t>
      </w:r>
      <w:r>
        <w:rPr>
          <w:i/>
          <w:iCs/>
        </w:rPr>
        <w:t>(T</w:t>
      </w:r>
      <w:r>
        <w:rPr>
          <w:i/>
          <w:iCs/>
          <w:vertAlign w:val="subscript"/>
        </w:rPr>
        <w:t>g</w:t>
      </w:r>
      <w:r>
        <w:rPr>
          <w:i/>
          <w:iCs/>
        </w:rPr>
        <w:t>)</w:t>
      </w:r>
      <w:r>
        <w:rPr>
          <w:iCs/>
        </w:rPr>
        <w:t xml:space="preserve"> = 3.8 ± 1.1 J mol</w:t>
      </w:r>
      <w:r>
        <w:rPr>
          <w:iCs/>
          <w:vertAlign w:val="superscript"/>
        </w:rPr>
        <w:t>-1</w:t>
      </w:r>
      <w:r>
        <w:rPr>
          <w:iCs/>
        </w:rPr>
        <w:t xml:space="preserve"> K</w:t>
      </w:r>
      <w:r>
        <w:rPr>
          <w:iCs/>
          <w:vertAlign w:val="superscript"/>
        </w:rPr>
        <w:t>-1</w:t>
      </w:r>
      <w:r>
        <w:rPr>
          <w:iCs/>
        </w:rPr>
        <w:t>, a value much lower than the calorimetric one equal to 9.2 ± 2 J mol</w:t>
      </w:r>
      <w:r>
        <w:rPr>
          <w:iCs/>
          <w:vertAlign w:val="superscript"/>
        </w:rPr>
        <w:t>-1</w:t>
      </w:r>
      <w:r>
        <w:rPr>
          <w:iCs/>
        </w:rPr>
        <w:t xml:space="preserve"> K</w:t>
      </w:r>
      <w:r>
        <w:rPr>
          <w:iCs/>
          <w:vertAlign w:val="superscript"/>
        </w:rPr>
        <w:t xml:space="preserve">-1 </w:t>
      </w:r>
      <w:bookmarkStart w:id="31" w:name="ZOTERO_BREF_H3t4g1CmYfdv"/>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52</w:t>
      </w:r>
      <w:r>
        <w:rPr>
          <w:b w:val="false"/>
          <w:caps w:val="false"/>
          <w:smallCaps w:val="false"/>
          <w:position w:val="0"/>
          <w:sz w:val="24"/>
          <w:sz w:val="24"/>
          <w:u w:val="none"/>
          <w:vertAlign w:val="baseline"/>
        </w:rPr>
        <w:t>)</w:t>
      </w:r>
      <w:bookmarkEnd w:id="31"/>
      <w:r>
        <w:rPr>
          <w:iCs/>
        </w:rPr>
        <w:t>. Assuming that Na repartition in CCRN is not accompanied by any mixing effect (this seems reasonable as Na is the only cation that can occupy such environment), this difference can be assigned to Al-Si mixing. Assuming ideal mixing, one can calculate it and add it to the 3.8 ± 1.1 J mol</w:t>
      </w:r>
      <w:r>
        <w:rPr>
          <w:iCs/>
          <w:vertAlign w:val="superscript"/>
        </w:rPr>
        <w:t>-1</w:t>
      </w:r>
      <w:r>
        <w:rPr>
          <w:iCs/>
        </w:rPr>
        <w:t xml:space="preserve"> K</w:t>
      </w:r>
      <w:r>
        <w:rPr>
          <w:iCs/>
          <w:vertAlign w:val="superscript"/>
        </w:rPr>
        <w:t xml:space="preserve">-1 </w:t>
      </w:r>
      <w:r>
        <w:rPr>
          <w:iCs/>
        </w:rPr>
        <w:t>value to finally obtain a value of 8.46 ± 1.1 J mol</w:t>
      </w:r>
      <w:r>
        <w:rPr>
          <w:iCs/>
          <w:vertAlign w:val="superscript"/>
        </w:rPr>
        <w:t>-1</w:t>
      </w:r>
      <w:r>
        <w:rPr>
          <w:iCs/>
        </w:rPr>
        <w:t xml:space="preserve"> K</w:t>
      </w:r>
      <w:r>
        <w:rPr>
          <w:iCs/>
          <w:vertAlign w:val="superscript"/>
        </w:rPr>
        <w:t>-1</w:t>
      </w:r>
      <w:r>
        <w:rPr>
          <w:iCs/>
        </w:rPr>
        <w:t xml:space="preserve">, a value in much better agreement with the measured one. Such analysis may not be easily extrapolated to other compositions, but rather is an interesting exposition of the source of entropy affecting the melt configurational entropy at the glass transition, and, hence, the variations of its viscosity. In turn, the complexity of </w:t>
      </w:r>
      <w:r>
        <w:rPr>
          <w:i/>
          <w:iCs/>
        </w:rPr>
        <w:t>S</w:t>
      </w:r>
      <w:r>
        <w:rPr>
          <w:i/>
          <w:iCs/>
          <w:vertAlign w:val="superscript"/>
        </w:rPr>
        <w:t>conf</w:t>
      </w:r>
      <w:r>
        <w:rPr>
          <w:i/>
          <w:iCs/>
        </w:rPr>
        <w:t>(T</w:t>
      </w:r>
      <w:r>
        <w:rPr>
          <w:i/>
          <w:iCs/>
          <w:vertAlign w:val="subscript"/>
        </w:rPr>
        <w:t>g</w:t>
      </w:r>
      <w:r>
        <w:rPr>
          <w:i/>
          <w:iCs/>
        </w:rPr>
        <w:t>)</w:t>
      </w:r>
      <w:r>
        <w:rPr>
          <w:iCs/>
        </w:rPr>
        <w:t xml:space="preserve"> indicates that values for different glasses do not necessary embed interesting information about their relative ordering. Indeed, while two glasses may present similar </w:t>
      </w:r>
      <w:r>
        <w:rPr>
          <w:i/>
          <w:iCs/>
        </w:rPr>
        <w:t>S</w:t>
      </w:r>
      <w:r>
        <w:rPr>
          <w:i/>
          <w:iCs/>
          <w:vertAlign w:val="superscript"/>
        </w:rPr>
        <w:t>conf</w:t>
      </w:r>
      <w:r>
        <w:rPr>
          <w:i/>
          <w:iCs/>
        </w:rPr>
        <w:t>(T</w:t>
      </w:r>
      <w:r>
        <w:rPr>
          <w:i/>
          <w:iCs/>
          <w:vertAlign w:val="subscript"/>
        </w:rPr>
        <w:t>g</w:t>
      </w:r>
      <w:r>
        <w:rPr>
          <w:i/>
          <w:iCs/>
        </w:rPr>
        <w:t>)</w:t>
      </w:r>
      <w:r>
        <w:rPr>
          <w:iCs/>
        </w:rPr>
        <w:t xml:space="preserve">, their decomposition may yield very different topological and mixing  contributions, making any attempt in discussing glass structure using </w:t>
      </w:r>
      <w:r>
        <w:rPr>
          <w:i/>
          <w:iCs/>
        </w:rPr>
        <w:t>S</w:t>
      </w:r>
      <w:r>
        <w:rPr>
          <w:i/>
          <w:iCs/>
          <w:vertAlign w:val="superscript"/>
        </w:rPr>
        <w:t>conf</w:t>
      </w:r>
      <w:r>
        <w:rPr>
          <w:i/>
          <w:iCs/>
        </w:rPr>
        <w:t>(T</w:t>
      </w:r>
      <w:r>
        <w:rPr>
          <w:i/>
          <w:iCs/>
          <w:vertAlign w:val="subscript"/>
        </w:rPr>
        <w:t>g</w:t>
      </w:r>
      <w:r>
        <w:rPr>
          <w:i/>
          <w:iCs/>
        </w:rPr>
        <w:t xml:space="preserve">) </w:t>
      </w:r>
      <w:r>
        <w:rPr/>
        <w:t>pointless</w:t>
      </w:r>
      <w:r>
        <w:rPr>
          <w:i/>
          <w:iCs/>
        </w:rPr>
        <w:t>.</w:t>
      </w:r>
    </w:p>
    <w:p>
      <w:pPr>
        <w:pStyle w:val="SMSubheading"/>
        <w:rPr/>
      </w:pPr>
      <w:r>
        <w:rPr/>
      </w:r>
    </w:p>
    <w:p>
      <w:pPr>
        <w:pStyle w:val="SMSubheading"/>
        <w:rPr>
          <w:b/>
          <w:b/>
          <w:bCs/>
          <w:i/>
          <w:i/>
          <w:iCs/>
          <w:u w:val="none"/>
        </w:rPr>
      </w:pPr>
      <w:r>
        <w:rPr>
          <w:b/>
          <w:bCs/>
          <w:i/>
          <w:iCs/>
          <w:u w:val="none"/>
        </w:rPr>
        <w:t>Links between the Adam-Gibbs and the Free Volume theories?</w:t>
      </w:r>
    </w:p>
    <w:p>
      <w:pPr>
        <w:pStyle w:val="Paragraph"/>
        <w:spacing w:before="0" w:after="0"/>
        <w:ind w:hanging="0"/>
        <w:rPr/>
      </w:pPr>
      <w:r>
        <w:rPr/>
        <w:t xml:space="preserve">The trans-theoretical character of the present </w:t>
      </w:r>
      <w:r>
        <w:rPr>
          <w:rFonts w:eastAsia="Times New Roman" w:cs="Times New Roman"/>
          <w:iCs/>
          <w:color w:val="auto"/>
          <w:kern w:val="0"/>
          <w:sz w:val="24"/>
          <w:szCs w:val="24"/>
          <w:lang w:val="en-US" w:eastAsia="en-US" w:bidi="ar-SA"/>
        </w:rPr>
        <w:t>deep learning framework</w:t>
      </w:r>
      <w:r>
        <w:rPr/>
        <w:t xml:space="preserve"> allows adopting a new vision about problems such as melt viscous flow and glass transition. For aluminosilicate melts, it allows observing the link between two theories: Adam-Gibbs (AG) and Free Volume (FV). In the FV theory, solid-like and liquid-like molecular cells are distinguished and separated by a critical volume </w:t>
      </w:r>
      <w:bookmarkStart w:id="32" w:name="__DdeLink__33616_998215430"/>
      <w:r>
        <w:rPr>
          <w:i/>
        </w:rPr>
        <w:t>v</w:t>
      </w:r>
      <w:bookmarkEnd w:id="32"/>
      <w:r>
        <w:rPr>
          <w:i/>
          <w:vertAlign w:val="superscript"/>
        </w:rPr>
        <w:t>*</w:t>
      </w:r>
      <w:r>
        <w:rPr/>
        <w:t xml:space="preserve">, and viscous flow occurs via cooperative molecular movements between liquid-like cells. In the AG theory, viscous flow occurs via cooperative motions of molecular segments of a size </w:t>
      </w:r>
      <w:r>
        <w:rPr>
          <w:i/>
        </w:rPr>
        <w:t>z</w:t>
      </w:r>
      <w:r>
        <w:rPr>
          <w:i/>
          <w:vertAlign w:val="superscript"/>
        </w:rPr>
        <w:t>*</w:t>
      </w:r>
      <w:r>
        <w:rPr>
          <w:i/>
        </w:rPr>
        <w:t>(T),</w:t>
      </w:r>
      <w:r>
        <w:rPr/>
        <w:t xml:space="preserve"> characterized by an intrisic entropy </w:t>
      </w:r>
      <w:r>
        <w:rPr>
          <w:i/>
        </w:rPr>
        <w:t>S</w:t>
      </w:r>
      <w:r>
        <w:rPr>
          <w:i/>
          <w:vertAlign w:val="subscript"/>
        </w:rPr>
        <w:t>c</w:t>
      </w:r>
      <w:r>
        <w:rPr>
          <w:i/>
          <w:vertAlign w:val="superscript"/>
        </w:rPr>
        <w:t>*</w:t>
      </w:r>
      <w:r>
        <w:rPr/>
        <w:t xml:space="preserve">. The two theories thus share some common philosophical background: viscous flow is assumed to occur via some sort of cooperative movements of molecular entities in the melt. This background can be retrieved when diving into the details of the parameters of eqs. </w:t>
      </w:r>
      <w:r>
        <w:rPr>
          <w:rFonts w:eastAsia="Times New Roman" w:cs="Times New Roman"/>
          <w:color w:val="auto"/>
          <w:kern w:val="0"/>
          <w:sz w:val="24"/>
          <w:szCs w:val="24"/>
          <w:lang w:val="en-US" w:eastAsia="en-US" w:bidi="ar-SA"/>
        </w:rPr>
        <w:t>S1</w:t>
      </w:r>
      <w:r>
        <w:rPr/>
        <w:t xml:space="preserve"> and S2. Indeed, </w:t>
      </w:r>
      <w:r>
        <w:rPr>
          <w:i/>
        </w:rPr>
        <w:t>B</w:t>
      </w:r>
      <w:r>
        <w:rPr>
          <w:i/>
          <w:vertAlign w:val="subscript"/>
        </w:rPr>
        <w:t xml:space="preserve">CG </w:t>
      </w:r>
      <w:r>
        <w:rPr/>
        <w:t xml:space="preserve">embeds some structural information because it depends on </w:t>
      </w:r>
      <w:bookmarkStart w:id="33" w:name="__DdeLink__33616_9982154301"/>
      <w:r>
        <w:rPr>
          <w:i/>
        </w:rPr>
        <w:t>v</w:t>
      </w:r>
      <w:bookmarkEnd w:id="33"/>
      <w:r>
        <w:rPr>
          <w:i/>
          <w:vertAlign w:val="superscript"/>
        </w:rPr>
        <w:t>*</w:t>
      </w:r>
      <w:r>
        <w:rPr/>
        <w:t>:</w:t>
      </w:r>
    </w:p>
    <w:p>
      <w:pPr>
        <w:pStyle w:val="Paragraph"/>
        <w:tabs>
          <w:tab w:val="clear" w:pos="720"/>
          <w:tab w:val="left" w:pos="8222" w:leader="none"/>
        </w:tabs>
        <w:spacing w:before="0" w:after="0"/>
        <w:ind w:hanging="0"/>
        <w:rPr/>
      </w:pPr>
      <w:r>
        <w:rPr>
          <w:i/>
        </w:rPr>
        <w:t>B</w:t>
      </w:r>
      <w:r>
        <w:rPr>
          <w:i/>
          <w:vertAlign w:val="subscript"/>
        </w:rPr>
        <w:t>FV</w:t>
      </w:r>
      <w:r>
        <w:rPr>
          <w:i/>
        </w:rPr>
        <w:t xml:space="preserve"> = v</w:t>
      </w:r>
      <w:r>
        <w:rPr>
          <w:i/>
          <w:vertAlign w:val="superscript"/>
        </w:rPr>
        <w:t>*</w:t>
      </w:r>
      <w:r>
        <w:rPr>
          <w:i/>
        </w:rPr>
        <w:t xml:space="preserve"> z</w:t>
      </w:r>
      <w:r>
        <w:rPr>
          <w:i/>
          <w:vertAlign w:val="subscript"/>
        </w:rPr>
        <w:t>o</w:t>
      </w:r>
      <w:r>
        <w:rPr>
          <w:i/>
        </w:rPr>
        <w:t>,</w:t>
        <w:tab/>
        <w:t>(S8)</w:t>
      </w:r>
    </w:p>
    <w:p>
      <w:pPr>
        <w:pStyle w:val="Paragraph"/>
        <w:spacing w:before="0" w:after="0"/>
        <w:ind w:hanging="0"/>
        <w:rPr/>
      </w:pPr>
      <w:r>
        <w:rPr/>
        <w:t xml:space="preserve">where </w:t>
      </w:r>
      <w:r>
        <w:rPr>
          <w:i/>
        </w:rPr>
        <w:t>z</w:t>
      </w:r>
      <w:r>
        <w:rPr>
          <w:i/>
          <w:vertAlign w:val="subscript"/>
        </w:rPr>
        <w:t>o</w:t>
      </w:r>
      <w:r>
        <w:rPr/>
        <w:t xml:space="preserve"> is an adjustable parameter. Similarly, the ratio </w:t>
      </w:r>
      <w:r>
        <w:rPr>
          <w:i/>
        </w:rPr>
        <w:t>B</w:t>
      </w:r>
      <w:r>
        <w:rPr>
          <w:i/>
          <w:vertAlign w:val="subscript"/>
        </w:rPr>
        <w:t>e</w:t>
      </w:r>
      <w:r>
        <w:rPr>
          <w:i/>
        </w:rPr>
        <w:t>/S</w:t>
      </w:r>
      <w:r>
        <w:rPr>
          <w:i/>
          <w:vertAlign w:val="superscript"/>
        </w:rPr>
        <w:t>conf</w:t>
      </w:r>
      <w:r>
        <w:rPr>
          <w:i/>
        </w:rPr>
        <w:t>(T</w:t>
      </w:r>
      <w:r>
        <w:rPr>
          <w:i/>
          <w:vertAlign w:val="subscript"/>
        </w:rPr>
        <w:t>g</w:t>
      </w:r>
      <w:r>
        <w:rPr>
          <w:i/>
        </w:rPr>
        <w:t>)</w:t>
      </w:r>
      <w:r>
        <w:rPr/>
        <w:t xml:space="preserve"> embeds molecular subunit lengthscale information as</w:t>
      </w:r>
    </w:p>
    <w:p>
      <w:pPr>
        <w:pStyle w:val="Paragraph"/>
        <w:tabs>
          <w:tab w:val="clear" w:pos="720"/>
          <w:tab w:val="left" w:pos="8238" w:leader="none"/>
        </w:tabs>
        <w:spacing w:before="0" w:after="0"/>
        <w:ind w:hanging="0"/>
        <w:rPr/>
      </w:pPr>
      <w:r>
        <w:rPr>
          <w:i/>
        </w:rPr>
        <w:t>B</w:t>
      </w:r>
      <w:r>
        <w:rPr>
          <w:i/>
          <w:vertAlign w:val="subscript"/>
        </w:rPr>
        <w:t>e</w:t>
      </w:r>
      <w:r>
        <w:rPr>
          <w:i/>
        </w:rPr>
        <w:t>/S</w:t>
      </w:r>
      <w:r>
        <w:rPr>
          <w:i/>
          <w:vertAlign w:val="superscript"/>
        </w:rPr>
        <w:t>conf</w:t>
      </w:r>
      <w:r>
        <w:rPr>
          <w:i/>
        </w:rPr>
        <w:t>(T</w:t>
      </w:r>
      <w:r>
        <w:rPr>
          <w:i/>
          <w:vertAlign w:val="subscript"/>
        </w:rPr>
        <w:t>g</w:t>
      </w:r>
      <w:r>
        <w:rPr>
          <w:i/>
        </w:rPr>
        <w:t>) = [</w:t>
      </w:r>
      <w:r>
        <w:rPr>
          <w:rFonts w:eastAsia="Symbol" w:cs="Symbol"/>
          <w:i/>
        </w:rPr>
        <w:t xml:space="preserve"> </w:t>
      </w:r>
      <w:r>
        <w:rPr>
          <w:rFonts w:ascii="Ubuntu" w:hAnsi="Ubuntu"/>
          <w:i/>
        </w:rPr>
        <w:t>Δ</w:t>
      </w:r>
      <w:r>
        <w:rPr>
          <w:rFonts w:ascii="Liberation Serif" w:hAnsi="Liberation Serif"/>
          <w:i/>
        </w:rPr>
        <w:t>µ</w:t>
      </w:r>
      <w:r>
        <w:rPr>
          <w:i/>
        </w:rPr>
        <w:t xml:space="preserve"> z</w:t>
      </w:r>
      <w:r>
        <w:rPr>
          <w:i/>
          <w:vertAlign w:val="superscript"/>
        </w:rPr>
        <w:t>*</w:t>
      </w:r>
      <w:r>
        <w:rPr>
          <w:i/>
        </w:rPr>
        <w:t>(T</w:t>
      </w:r>
      <w:r>
        <w:rPr>
          <w:i/>
          <w:vertAlign w:val="subscript"/>
        </w:rPr>
        <w:t>g</w:t>
      </w:r>
      <w:r>
        <w:rPr>
          <w:i/>
        </w:rPr>
        <w:t>) ] / R</w:t>
      </w:r>
      <w:r>
        <w:rPr>
          <w:i/>
          <w:vertAlign w:val="subscript"/>
        </w:rPr>
        <w:t xml:space="preserve"> </w:t>
      </w:r>
      <w:r>
        <w:rPr>
          <w:i/>
        </w:rPr>
        <w:t>,</w:t>
        <w:tab/>
        <w:t>(S9)</w:t>
      </w:r>
    </w:p>
    <w:p>
      <w:pPr>
        <w:pStyle w:val="Paragraph"/>
        <w:rPr>
          <w:iCs/>
          <w:sz w:val="24"/>
          <w:szCs w:val="24"/>
        </w:rPr>
      </w:pPr>
      <w:r>
        <w:rPr>
          <w:iCs/>
          <w:sz w:val="24"/>
          <w:szCs w:val="24"/>
        </w:rPr>
        <w:t xml:space="preserve">with </w:t>
      </w:r>
      <w:r>
        <w:rPr>
          <w:rFonts w:ascii="Ubuntu" w:hAnsi="Ubuntu"/>
          <w:i/>
          <w:iCs/>
          <w:sz w:val="24"/>
          <w:szCs w:val="24"/>
        </w:rPr>
        <w:t>Δ</w:t>
      </w:r>
      <w:r>
        <w:rPr>
          <w:rFonts w:ascii="Liberation Serif" w:hAnsi="Liberation Serif"/>
          <w:i/>
          <w:iCs/>
          <w:sz w:val="24"/>
          <w:szCs w:val="24"/>
        </w:rPr>
        <w:t>µ</w:t>
      </w:r>
      <w:r>
        <w:rPr>
          <w:iCs/>
          <w:sz w:val="24"/>
          <w:szCs w:val="24"/>
        </w:rPr>
        <w:t xml:space="preserve"> the energy barriers opposed to the rearrangement of molecular subunits of size </w:t>
      </w:r>
      <w:r>
        <w:rPr>
          <w:i/>
          <w:iCs/>
          <w:sz w:val="24"/>
          <w:szCs w:val="24"/>
        </w:rPr>
        <w:t>z</w:t>
      </w:r>
      <w:r>
        <w:rPr>
          <w:i/>
          <w:iCs/>
          <w:sz w:val="24"/>
          <w:szCs w:val="24"/>
          <w:vertAlign w:val="superscript"/>
        </w:rPr>
        <w:t>*</w:t>
      </w:r>
      <w:r>
        <w:rPr>
          <w:i/>
          <w:iCs/>
          <w:sz w:val="24"/>
          <w:szCs w:val="24"/>
        </w:rPr>
        <w:t>(T</w:t>
      </w:r>
      <w:r>
        <w:rPr>
          <w:i/>
          <w:iCs/>
          <w:sz w:val="24"/>
          <w:szCs w:val="24"/>
          <w:vertAlign w:val="subscript"/>
        </w:rPr>
        <w:t>g</w:t>
      </w:r>
      <w:r>
        <w:rPr>
          <w:i/>
          <w:iCs/>
          <w:sz w:val="24"/>
          <w:szCs w:val="24"/>
        </w:rPr>
        <w:t>)</w:t>
      </w:r>
      <w:r>
        <w:rPr>
          <w:iCs/>
          <w:sz w:val="24"/>
          <w:szCs w:val="24"/>
        </w:rPr>
        <w:t xml:space="preserve">, and R the perfect gas constant. We can therefore consider </w:t>
      </w:r>
      <w:bookmarkStart w:id="34" w:name="__DdeLink__33616_99821543011"/>
      <w:r>
        <w:rPr>
          <w:i/>
          <w:iCs/>
          <w:sz w:val="24"/>
          <w:szCs w:val="24"/>
        </w:rPr>
        <w:t>v</w:t>
      </w:r>
      <w:bookmarkEnd w:id="34"/>
      <w:r>
        <w:rPr>
          <w:i/>
          <w:iCs/>
          <w:sz w:val="24"/>
          <w:szCs w:val="24"/>
          <w:vertAlign w:val="superscript"/>
        </w:rPr>
        <w:t>*</w:t>
      </w:r>
      <w:r>
        <w:rPr>
          <w:iCs/>
          <w:sz w:val="24"/>
          <w:szCs w:val="24"/>
        </w:rPr>
        <w:t xml:space="preserve"> and </w:t>
      </w:r>
      <w:r>
        <w:rPr>
          <w:i/>
          <w:iCs/>
          <w:sz w:val="24"/>
          <w:szCs w:val="24"/>
        </w:rPr>
        <w:t>z</w:t>
      </w:r>
      <w:r>
        <w:rPr>
          <w:i/>
          <w:iCs/>
          <w:sz w:val="24"/>
          <w:szCs w:val="24"/>
          <w:vertAlign w:val="superscript"/>
        </w:rPr>
        <w:t>*</w:t>
      </w:r>
      <w:r>
        <w:rPr>
          <w:iCs/>
          <w:sz w:val="24"/>
          <w:szCs w:val="24"/>
        </w:rPr>
        <w:t xml:space="preserve"> as structural parameters embedding information about the volume or lengthscale of cooperative molecular regions. In this case, they should directly depend on melt or glass structure. This is confirmed by the fact that both </w:t>
      </w:r>
      <w:r>
        <w:rPr>
          <w:i/>
          <w:iCs/>
          <w:sz w:val="24"/>
          <w:szCs w:val="24"/>
        </w:rPr>
        <w:t>B</w:t>
      </w:r>
      <w:r>
        <w:rPr>
          <w:i/>
          <w:iCs/>
          <w:sz w:val="24"/>
          <w:szCs w:val="24"/>
          <w:vertAlign w:val="subscript"/>
        </w:rPr>
        <w:t>FV</w:t>
      </w:r>
      <w:r>
        <w:rPr>
          <w:i/>
          <w:iCs/>
          <w:sz w:val="24"/>
          <w:szCs w:val="24"/>
        </w:rPr>
        <w:t xml:space="preserve"> </w:t>
      </w:r>
      <w:r>
        <w:rPr>
          <w:iCs/>
          <w:sz w:val="24"/>
          <w:szCs w:val="24"/>
        </w:rPr>
        <w:t xml:space="preserve">and </w:t>
      </w:r>
      <w:r>
        <w:rPr>
          <w:i/>
          <w:iCs/>
          <w:sz w:val="24"/>
          <w:szCs w:val="24"/>
        </w:rPr>
        <w:t>B</w:t>
      </w:r>
      <w:r>
        <w:rPr>
          <w:i/>
          <w:iCs/>
          <w:sz w:val="24"/>
          <w:szCs w:val="24"/>
          <w:vertAlign w:val="subscript"/>
        </w:rPr>
        <w:t>e</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correlate very well with</w:t>
      </w:r>
      <w:r>
        <w:rPr>
          <w:i/>
          <w:iCs/>
          <w:sz w:val="24"/>
          <w:szCs w:val="24"/>
        </w:rPr>
        <w:t xml:space="preserve"> R</w:t>
      </w:r>
      <w:r>
        <w:rPr>
          <w:i/>
          <w:iCs/>
          <w:sz w:val="24"/>
          <w:szCs w:val="24"/>
          <w:vertAlign w:val="subscript"/>
        </w:rPr>
        <w:t>Raman</w:t>
      </w:r>
      <w:r>
        <w:rPr>
          <w:iCs/>
          <w:sz w:val="24"/>
          <w:szCs w:val="24"/>
        </w:rPr>
        <w:t xml:space="preserve"> (</w:t>
      </w:r>
      <w:r>
        <w:rPr>
          <w:i/>
          <w:iCs/>
          <w:sz w:val="24"/>
          <w:szCs w:val="24"/>
        </w:rPr>
        <w:t>r</w:t>
      </w:r>
      <w:r>
        <w:rPr>
          <w:i/>
          <w:iCs/>
          <w:sz w:val="24"/>
          <w:szCs w:val="24"/>
          <w:vertAlign w:val="subscript"/>
        </w:rPr>
        <w:t>s</w:t>
      </w:r>
      <w:r>
        <w:rPr>
          <w:iCs/>
          <w:sz w:val="24"/>
          <w:szCs w:val="24"/>
        </w:rPr>
        <w:t xml:space="preserve"> = 0.987 and 0.985 respectively), which provides information about the network connectivity; the higher</w:t>
      </w:r>
      <w:r>
        <w:rPr>
          <w:i/>
          <w:iCs/>
          <w:sz w:val="24"/>
          <w:szCs w:val="24"/>
        </w:rPr>
        <w:t xml:space="preserve"> R</w:t>
      </w:r>
      <w:r>
        <w:rPr>
          <w:i/>
          <w:iCs/>
          <w:sz w:val="24"/>
          <w:szCs w:val="24"/>
          <w:vertAlign w:val="subscript"/>
        </w:rPr>
        <w:t>Raman</w:t>
      </w:r>
      <w:r>
        <w:rPr>
          <w:iCs/>
          <w:sz w:val="24"/>
          <w:szCs w:val="24"/>
        </w:rPr>
        <w:t xml:space="preserve"> is, the higher the interconnection between polyhedral units, thus the higher the 3D network topology</w:t>
      </w:r>
      <w:bookmarkStart w:id="35" w:name="ZOTERO_BREF_k8YcRWQcYbGhO91Lf1NmX"/>
      <w:r>
        <w:rPr>
          <w:b w:val="false"/>
          <w:i/>
          <w:iCs/>
          <w:caps w:val="false"/>
          <w:smallCaps w:val="false"/>
          <w:position w:val="0"/>
          <w:sz w:val="24"/>
          <w:sz w:val="24"/>
          <w:szCs w:val="24"/>
          <w:u w:val="none"/>
          <w:vertAlign w:val="baseline"/>
        </w:rPr>
        <w:t>(54</w:t>
      </w:r>
      <w:r>
        <w:rPr>
          <w:b w:val="false"/>
          <w:iCs/>
          <w:caps w:val="false"/>
          <w:smallCaps w:val="false"/>
          <w:position w:val="0"/>
          <w:sz w:val="24"/>
          <w:sz w:val="24"/>
          <w:szCs w:val="24"/>
          <w:u w:val="none"/>
          <w:vertAlign w:val="baseline"/>
        </w:rPr>
        <w:t>)</w:t>
      </w:r>
      <w:bookmarkEnd w:id="35"/>
      <w:r>
        <w:rPr>
          <w:i/>
          <w:iCs/>
          <w:sz w:val="24"/>
          <w:szCs w:val="24"/>
        </w:rPr>
        <w:t>.</w:t>
      </w:r>
      <w:r>
        <w:rPr>
          <w:iCs/>
          <w:sz w:val="24"/>
          <w:szCs w:val="24"/>
        </w:rPr>
        <w:t xml:space="preserve"> In detail, this implies that it actually should be possible to develop a free-volume version of the AG theory, as it has been proposed </w:t>
      </w:r>
      <w:bookmarkStart w:id="36" w:name="ZOTERO_BREF_Ei8I4Ed6H3lM"/>
      <w:r>
        <w:rPr>
          <w:b w:val="false"/>
          <w:iCs/>
          <w:caps w:val="false"/>
          <w:smallCaps w:val="false"/>
          <w:position w:val="0"/>
          <w:sz w:val="24"/>
          <w:sz w:val="24"/>
          <w:szCs w:val="24"/>
          <w:u w:val="none"/>
          <w:vertAlign w:val="baseline"/>
        </w:rPr>
        <w:t>(</w:t>
      </w:r>
      <w:r>
        <w:rPr>
          <w:b w:val="false"/>
          <w:i/>
          <w:iCs/>
          <w:caps w:val="false"/>
          <w:smallCaps w:val="false"/>
          <w:position w:val="0"/>
          <w:sz w:val="24"/>
          <w:sz w:val="24"/>
          <w:szCs w:val="24"/>
          <w:u w:val="none"/>
          <w:vertAlign w:val="baseline"/>
        </w:rPr>
        <w:t>55</w:t>
      </w:r>
      <w:r>
        <w:rPr>
          <w:b w:val="false"/>
          <w:iCs/>
          <w:caps w:val="false"/>
          <w:smallCaps w:val="false"/>
          <w:position w:val="0"/>
          <w:sz w:val="24"/>
          <w:sz w:val="24"/>
          <w:szCs w:val="24"/>
          <w:u w:val="none"/>
          <w:vertAlign w:val="baseline"/>
        </w:rPr>
        <w:t xml:space="preserve">, </w:t>
      </w:r>
      <w:r>
        <w:rPr>
          <w:b w:val="false"/>
          <w:i/>
          <w:iCs/>
          <w:caps w:val="false"/>
          <w:smallCaps w:val="false"/>
          <w:position w:val="0"/>
          <w:sz w:val="24"/>
          <w:sz w:val="24"/>
          <w:szCs w:val="24"/>
          <w:u w:val="none"/>
          <w:vertAlign w:val="baseline"/>
        </w:rPr>
        <w:t>56</w:t>
      </w:r>
      <w:r>
        <w:rPr>
          <w:b w:val="false"/>
          <w:iCs/>
          <w:caps w:val="false"/>
          <w:smallCaps w:val="false"/>
          <w:position w:val="0"/>
          <w:sz w:val="24"/>
          <w:sz w:val="24"/>
          <w:szCs w:val="24"/>
          <w:u w:val="none"/>
          <w:vertAlign w:val="baseline"/>
        </w:rPr>
        <w:t>)</w:t>
      </w:r>
      <w:bookmarkEnd w:id="36"/>
      <w:r>
        <w:rPr>
          <w:iCs/>
          <w:sz w:val="24"/>
          <w:szCs w:val="24"/>
        </w:rPr>
        <w:t xml:space="preserve">. More generally, the links between </w:t>
      </w:r>
      <w:r>
        <w:rPr>
          <w:i/>
          <w:iCs/>
          <w:sz w:val="24"/>
          <w:szCs w:val="24"/>
        </w:rPr>
        <w:t>B</w:t>
      </w:r>
      <w:r>
        <w:rPr>
          <w:i/>
          <w:iCs/>
          <w:sz w:val="24"/>
          <w:szCs w:val="24"/>
          <w:vertAlign w:val="subscript"/>
        </w:rPr>
        <w:t>FV</w:t>
      </w:r>
      <w:r>
        <w:rPr>
          <w:i/>
          <w:iCs/>
          <w:sz w:val="24"/>
          <w:szCs w:val="24"/>
        </w:rPr>
        <w:t>,</w:t>
      </w:r>
      <w:r>
        <w:rPr>
          <w:iCs/>
          <w:sz w:val="24"/>
          <w:szCs w:val="24"/>
        </w:rPr>
        <w:t xml:space="preserve"> </w:t>
      </w:r>
      <w:r>
        <w:rPr>
          <w:i/>
          <w:iCs/>
          <w:sz w:val="24"/>
          <w:szCs w:val="24"/>
        </w:rPr>
        <w:t>B</w:t>
      </w:r>
      <w:r>
        <w:rPr>
          <w:i/>
          <w:iCs/>
          <w:sz w:val="24"/>
          <w:szCs w:val="24"/>
          <w:vertAlign w:val="subscript"/>
        </w:rPr>
        <w:t>e</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and</w:t>
      </w:r>
      <w:r>
        <w:rPr>
          <w:i/>
          <w:iCs/>
          <w:sz w:val="24"/>
          <w:szCs w:val="24"/>
        </w:rPr>
        <w:t xml:space="preserve"> R</w:t>
      </w:r>
      <w:r>
        <w:rPr>
          <w:i/>
          <w:iCs/>
          <w:sz w:val="24"/>
          <w:szCs w:val="24"/>
          <w:vertAlign w:val="subscript"/>
        </w:rPr>
        <w:t>Raman</w:t>
      </w:r>
      <w:r>
        <w:rPr>
          <w:iCs/>
          <w:sz w:val="24"/>
          <w:szCs w:val="24"/>
        </w:rPr>
        <w:t xml:space="preserve"> support the general hypothesis that melt viscous flow occurs when a critical molecular lengthscale is reached. This lengthscale can be determined from Raman spectra (Fig. 2C,D) and strongly influences the glass transition temperature </w:t>
      </w:r>
      <w:r>
        <w:rPr>
          <w:i/>
          <w:iCs/>
          <w:sz w:val="24"/>
          <w:szCs w:val="24"/>
        </w:rPr>
        <w:t>T</w:t>
      </w:r>
      <w:r>
        <w:rPr>
          <w:i/>
          <w:iCs/>
          <w:sz w:val="24"/>
          <w:szCs w:val="24"/>
          <w:vertAlign w:val="subscript"/>
        </w:rPr>
        <w:t>g</w:t>
      </w:r>
      <w:r>
        <w:rPr>
          <w:iCs/>
          <w:sz w:val="24"/>
          <w:szCs w:val="24"/>
        </w:rPr>
        <w:t xml:space="preserve"> (Fig. 2A). In detail, entropic effects (like the excess of entropy resulting from the MAE) also affect </w:t>
      </w:r>
      <w:r>
        <w:rPr>
          <w:i/>
          <w:iCs/>
          <w:sz w:val="24"/>
          <w:szCs w:val="24"/>
        </w:rPr>
        <w:t>T</w:t>
      </w:r>
      <w:r>
        <w:rPr>
          <w:i/>
          <w:iCs/>
          <w:sz w:val="24"/>
          <w:szCs w:val="24"/>
          <w:vertAlign w:val="subscript"/>
        </w:rPr>
        <w:t>g</w:t>
      </w:r>
      <w:r>
        <w:rPr>
          <w:iCs/>
          <w:sz w:val="24"/>
          <w:szCs w:val="24"/>
        </w:rPr>
        <w:t xml:space="preserve">  </w:t>
      </w:r>
      <w:bookmarkStart w:id="37" w:name="ZOTERO_BREF_n40T7dCGCMLIEK8nkVG7i"/>
      <w:r>
        <w:rPr>
          <w:b w:val="false"/>
          <w:iCs/>
          <w:caps w:val="false"/>
          <w:smallCaps w:val="false"/>
          <w:position w:val="0"/>
          <w:sz w:val="24"/>
          <w:sz w:val="24"/>
          <w:szCs w:val="24"/>
          <w:u w:val="none"/>
          <w:vertAlign w:val="baseline"/>
        </w:rPr>
        <w:t>(</w:t>
      </w:r>
      <w:r>
        <w:rPr>
          <w:b w:val="false"/>
          <w:i/>
          <w:iCs/>
          <w:caps w:val="false"/>
          <w:smallCaps w:val="false"/>
          <w:position w:val="0"/>
          <w:sz w:val="24"/>
          <w:sz w:val="24"/>
          <w:szCs w:val="24"/>
          <w:u w:val="none"/>
          <w:vertAlign w:val="baseline"/>
        </w:rPr>
        <w:t>7</w:t>
      </w:r>
      <w:r>
        <w:rPr>
          <w:b w:val="false"/>
          <w:iCs/>
          <w:caps w:val="false"/>
          <w:smallCaps w:val="false"/>
          <w:position w:val="0"/>
          <w:sz w:val="24"/>
          <w:sz w:val="24"/>
          <w:szCs w:val="24"/>
          <w:u w:val="none"/>
          <w:vertAlign w:val="baseline"/>
        </w:rPr>
        <w:t xml:space="preserve"> and references cited therein)</w:t>
      </w:r>
      <w:bookmarkEnd w:id="37"/>
      <w:r>
        <w:rPr>
          <w:iCs/>
          <w:sz w:val="24"/>
          <w:szCs w:val="24"/>
        </w:rPr>
        <w:t xml:space="preserve">but their influence remains limited compared to that of the polyhedral network topology (Fig. </w:t>
      </w:r>
      <w:r>
        <w:rPr>
          <w:iCs/>
          <w:color w:val="000000"/>
          <w:sz w:val="24"/>
          <w:szCs w:val="24"/>
        </w:rPr>
        <w:t>2A</w:t>
      </w:r>
      <w:r>
        <w:rPr>
          <w:iCs/>
          <w:sz w:val="24"/>
          <w:szCs w:val="24"/>
        </w:rPr>
        <w:t xml:space="preserve">). On the other hand, entropic effects strongly control the rate at which supercooled melt viscosity changes as a function of T, or in other terms, the melt fragility </w:t>
      </w:r>
      <w:r>
        <w:rPr>
          <w:i/>
          <w:iCs/>
          <w:sz w:val="24"/>
          <w:szCs w:val="24"/>
        </w:rPr>
        <w:t xml:space="preserve">m </w:t>
      </w:r>
      <w:r>
        <w:rPr>
          <w:iCs/>
          <w:sz w:val="24"/>
          <w:szCs w:val="24"/>
        </w:rPr>
        <w:t xml:space="preserve">because </w:t>
      </w:r>
      <w:r>
        <w:rPr/>
      </w:r>
      <m:oMath xmlns:m="http://schemas.openxmlformats.org/officeDocument/2006/math">
        <m:r>
          <w:rPr>
            <w:rFonts w:ascii="Cambria Math" w:hAnsi="Cambria Math"/>
          </w:rPr>
          <m:t xml:space="preserve">m</m:t>
        </m:r>
        <m:r>
          <w:rPr>
            <w:rFonts w:ascii="Cambria Math" w:hAnsi="Cambria Math"/>
          </w:rPr>
          <m:t xml:space="preserve">∝</m:t>
        </m:r>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num>
          <m:den>
            <m:sSup>
              <m:e>
                <m:r>
                  <w:rPr>
                    <w:rFonts w:ascii="Cambria Math" w:hAnsi="Cambria Math"/>
                  </w:rPr>
                  <m:t xml:space="preserve">S</m:t>
                </m:r>
              </m:e>
              <m:sup>
                <m:r>
                  <w:rPr>
                    <w:rFonts w:ascii="Cambria Math" w:hAnsi="Cambria Math"/>
                  </w:rPr>
                  <m:t xml:space="preserve">conf</m:t>
                </m:r>
              </m:sup>
            </m:sSup>
          </m:den>
        </m:f>
        <m:d>
          <m:dPr>
            <m:begChr m:val="("/>
            <m:endChr m:val=")"/>
          </m:dPr>
          <m:e>
            <m:sSub>
              <m:e>
                <m:r>
                  <w:rPr>
                    <w:rFonts w:ascii="Cambria Math" w:hAnsi="Cambria Math"/>
                  </w:rPr>
                  <m:t xml:space="preserve">T</m:t>
                </m:r>
              </m:e>
              <m:sub>
                <m:r>
                  <w:rPr>
                    <w:rFonts w:ascii="Cambria Math" w:hAnsi="Cambria Math"/>
                  </w:rPr>
                  <m:t xml:space="preserve">g</m:t>
                </m:r>
              </m:sub>
            </m:sSub>
          </m:e>
        </m:d>
      </m:oMath>
      <w:r>
        <w:rPr>
          <w:iCs/>
          <w:sz w:val="24"/>
          <w:szCs w:val="24"/>
        </w:rPr>
        <w:t xml:space="preserve"> (Fig. S5)</w:t>
      </w:r>
      <w:r>
        <w:rPr>
          <w:i/>
          <w:iCs/>
          <w:sz w:val="24"/>
          <w:szCs w:val="24"/>
        </w:rPr>
        <w:t>.</w:t>
      </w:r>
      <w:r>
        <w:rPr>
          <w:iCs/>
          <w:sz w:val="24"/>
          <w:szCs w:val="24"/>
        </w:rPr>
        <w:t xml:space="preserve"> Actually, we may consider that such mixing phenomena are allowed by the non-ergotic nature of melts, their inhomogeneities being frozen into glasses below </w:t>
      </w:r>
      <w:r>
        <w:rPr>
          <w:i/>
          <w:iCs/>
          <w:sz w:val="24"/>
          <w:szCs w:val="24"/>
        </w:rPr>
        <w:t>T</w:t>
      </w:r>
      <w:r>
        <w:rPr>
          <w:i/>
          <w:iCs/>
          <w:sz w:val="24"/>
          <w:szCs w:val="24"/>
          <w:vertAlign w:val="subscript"/>
        </w:rPr>
        <w:t>g</w:t>
      </w:r>
      <w:r>
        <w:rPr>
          <w:iCs/>
          <w:sz w:val="24"/>
          <w:szCs w:val="24"/>
        </w:rPr>
        <w:t>. Following from this idea, it is possible to relate</w:t>
      </w:r>
      <w:r>
        <w:rPr>
          <w:i/>
          <w:iCs/>
          <w:sz w:val="24"/>
          <w:szCs w:val="24"/>
        </w:rPr>
        <w:t xml:space="preserve"> m </w:t>
      </w:r>
      <w:r>
        <w:rPr>
          <w:iCs/>
          <w:sz w:val="24"/>
          <w:szCs w:val="24"/>
        </w:rPr>
        <w:t>to ongoing density fluctuations inherited from dynamic heterogeneities formed at supercooled T, i.e. T</w:t>
      </w:r>
      <w:r>
        <w:rPr>
          <w:iCs/>
          <w:sz w:val="24"/>
          <w:szCs w:val="24"/>
          <w:vertAlign w:val="subscript"/>
        </w:rPr>
        <w:t>liquidus</w:t>
      </w:r>
      <w:r>
        <w:rPr>
          <w:iCs/>
          <w:sz w:val="24"/>
          <w:szCs w:val="24"/>
        </w:rPr>
        <w:t xml:space="preserve"> &lt; T &lt; T</w:t>
      </w:r>
      <w:r>
        <w:rPr>
          <w:iCs/>
          <w:sz w:val="24"/>
          <w:szCs w:val="24"/>
          <w:vertAlign w:val="subscript"/>
        </w:rPr>
        <w:t>g</w:t>
      </w:r>
      <w:r>
        <w:rPr>
          <w:iCs/>
          <w:sz w:val="24"/>
          <w:szCs w:val="24"/>
        </w:rPr>
        <w:t xml:space="preserve">  </w:t>
      </w:r>
      <w:bookmarkStart w:id="38" w:name="ZOTERO_BREF_rogTfhC0Hm3t"/>
      <w:r>
        <w:rPr>
          <w:b w:val="false"/>
          <w:iCs/>
          <w:caps w:val="false"/>
          <w:smallCaps w:val="false"/>
          <w:position w:val="0"/>
          <w:sz w:val="24"/>
          <w:sz w:val="24"/>
          <w:szCs w:val="24"/>
          <w:u w:val="none"/>
          <w:vertAlign w:val="baseline"/>
        </w:rPr>
        <w:t>(</w:t>
      </w:r>
      <w:r>
        <w:rPr>
          <w:b w:val="false"/>
          <w:i/>
          <w:iCs/>
          <w:caps w:val="false"/>
          <w:smallCaps w:val="false"/>
          <w:position w:val="0"/>
          <w:sz w:val="24"/>
          <w:sz w:val="24"/>
          <w:szCs w:val="24"/>
          <w:u w:val="none"/>
          <w:vertAlign w:val="baseline"/>
        </w:rPr>
        <w:t>57</w:t>
      </w:r>
      <w:r>
        <w:rPr>
          <w:b w:val="false"/>
          <w:iCs/>
          <w:caps w:val="false"/>
          <w:smallCaps w:val="false"/>
          <w:position w:val="0"/>
          <w:sz w:val="24"/>
          <w:sz w:val="24"/>
          <w:szCs w:val="24"/>
          <w:u w:val="none"/>
          <w:vertAlign w:val="baseline"/>
        </w:rPr>
        <w:t>)</w:t>
      </w:r>
      <w:bookmarkEnd w:id="38"/>
      <w:r>
        <w:rPr>
          <w:iCs/>
          <w:sz w:val="24"/>
          <w:szCs w:val="24"/>
        </w:rPr>
        <w:t>. The nature of such heterogeneities is expected to change largely with melt composition, as we can recognize different cases for network organization as described by the Random Network for simple AX</w:t>
      </w:r>
      <w:r>
        <w:rPr>
          <w:iCs/>
          <w:sz w:val="24"/>
          <w:szCs w:val="24"/>
          <w:vertAlign w:val="subscript"/>
        </w:rPr>
        <w:t>2</w:t>
      </w:r>
      <w:r>
        <w:rPr>
          <w:iCs/>
          <w:sz w:val="24"/>
          <w:szCs w:val="24"/>
        </w:rPr>
        <w:t xml:space="preserve"> glasses like SiO</w:t>
      </w:r>
      <w:r>
        <w:rPr>
          <w:iCs/>
          <w:sz w:val="24"/>
          <w:szCs w:val="24"/>
          <w:vertAlign w:val="subscript"/>
        </w:rPr>
        <w:t>2</w:t>
      </w:r>
      <w:r>
        <w:rPr>
          <w:iCs/>
          <w:sz w:val="24"/>
          <w:szCs w:val="24"/>
        </w:rPr>
        <w:t xml:space="preserve"> </w:t>
      </w:r>
      <w:bookmarkStart w:id="39" w:name="ZOTERO_BREF_UviRvoE5qr4T"/>
      <w:r>
        <w:rPr>
          <w:b w:val="false"/>
          <w:iCs/>
          <w:caps w:val="false"/>
          <w:smallCaps w:val="false"/>
          <w:position w:val="0"/>
          <w:sz w:val="24"/>
          <w:sz w:val="24"/>
          <w:szCs w:val="24"/>
          <w:u w:val="none"/>
          <w:vertAlign w:val="baseline"/>
        </w:rPr>
        <w:t>(</w:t>
      </w:r>
      <w:r>
        <w:rPr>
          <w:b w:val="false"/>
          <w:i/>
          <w:iCs/>
          <w:caps w:val="false"/>
          <w:smallCaps w:val="false"/>
          <w:position w:val="0"/>
          <w:sz w:val="24"/>
          <w:sz w:val="24"/>
          <w:szCs w:val="24"/>
          <w:u w:val="none"/>
          <w:vertAlign w:val="baseline"/>
        </w:rPr>
        <w:t>58</w:t>
      </w:r>
      <w:r>
        <w:rPr>
          <w:b w:val="false"/>
          <w:iCs/>
          <w:caps w:val="false"/>
          <w:smallCaps w:val="false"/>
          <w:position w:val="0"/>
          <w:sz w:val="24"/>
          <w:sz w:val="24"/>
          <w:szCs w:val="24"/>
          <w:u w:val="none"/>
          <w:vertAlign w:val="baseline"/>
        </w:rPr>
        <w:t>)</w:t>
      </w:r>
      <w:bookmarkEnd w:id="39"/>
      <w:r>
        <w:rPr>
          <w:iCs/>
          <w:sz w:val="24"/>
          <w:szCs w:val="24"/>
        </w:rPr>
        <w:t xml:space="preserve">, the Modified Random Network for silicate liquids </w:t>
      </w:r>
      <w:bookmarkStart w:id="40" w:name="ZOTERO_BREF_aOw4NgUoCIUR"/>
      <w:r>
        <w:rPr>
          <w:b w:val="false"/>
          <w:iCs/>
          <w:caps w:val="false"/>
          <w:smallCaps w:val="false"/>
          <w:position w:val="0"/>
          <w:sz w:val="24"/>
          <w:sz w:val="24"/>
          <w:szCs w:val="24"/>
          <w:u w:val="none"/>
          <w:vertAlign w:val="baseline"/>
        </w:rPr>
        <w:t>(</w:t>
      </w:r>
      <w:r>
        <w:rPr>
          <w:b w:val="false"/>
          <w:i/>
          <w:iCs/>
          <w:caps w:val="false"/>
          <w:smallCaps w:val="false"/>
          <w:position w:val="0"/>
          <w:sz w:val="24"/>
          <w:sz w:val="24"/>
          <w:szCs w:val="24"/>
          <w:u w:val="none"/>
          <w:vertAlign w:val="baseline"/>
        </w:rPr>
        <w:t>37</w:t>
      </w:r>
      <w:r>
        <w:rPr>
          <w:b w:val="false"/>
          <w:iCs/>
          <w:caps w:val="false"/>
          <w:smallCaps w:val="false"/>
          <w:position w:val="0"/>
          <w:sz w:val="24"/>
          <w:sz w:val="24"/>
          <w:szCs w:val="24"/>
          <w:u w:val="none"/>
          <w:vertAlign w:val="baseline"/>
        </w:rPr>
        <w:t>)</w:t>
      </w:r>
      <w:bookmarkEnd w:id="40"/>
      <w:r>
        <w:rPr>
          <w:iCs/>
          <w:sz w:val="24"/>
          <w:szCs w:val="24"/>
        </w:rPr>
        <w:t xml:space="preserve"> and the Continuous Compensated Random Network </w:t>
      </w:r>
      <w:bookmarkStart w:id="41" w:name="ZOTERO_BREF_kMDIc47nQ4z4"/>
      <w:r>
        <w:rPr>
          <w:b w:val="false"/>
          <w:iCs/>
          <w:caps w:val="false"/>
          <w:smallCaps w:val="false"/>
          <w:position w:val="0"/>
          <w:sz w:val="24"/>
          <w:sz w:val="24"/>
          <w:szCs w:val="24"/>
          <w:u w:val="none"/>
          <w:vertAlign w:val="baseline"/>
        </w:rPr>
        <w:t>(</w:t>
      </w:r>
      <w:r>
        <w:rPr>
          <w:b w:val="false"/>
          <w:i/>
          <w:iCs/>
          <w:caps w:val="false"/>
          <w:smallCaps w:val="false"/>
          <w:position w:val="0"/>
          <w:sz w:val="24"/>
          <w:sz w:val="24"/>
          <w:szCs w:val="24"/>
          <w:u w:val="none"/>
          <w:vertAlign w:val="baseline"/>
        </w:rPr>
        <w:t>4</w:t>
      </w:r>
      <w:r>
        <w:rPr>
          <w:b w:val="false"/>
          <w:iCs/>
          <w:caps w:val="false"/>
          <w:smallCaps w:val="false"/>
          <w:position w:val="0"/>
          <w:sz w:val="24"/>
          <w:sz w:val="24"/>
          <w:szCs w:val="24"/>
          <w:u w:val="none"/>
          <w:vertAlign w:val="baseline"/>
        </w:rPr>
        <w:t xml:space="preserve">, </w:t>
      </w:r>
      <w:r>
        <w:rPr>
          <w:b w:val="false"/>
          <w:i/>
          <w:iCs/>
          <w:caps w:val="false"/>
          <w:smallCaps w:val="false"/>
          <w:position w:val="0"/>
          <w:sz w:val="24"/>
          <w:sz w:val="24"/>
          <w:szCs w:val="24"/>
          <w:u w:val="none"/>
          <w:vertAlign w:val="baseline"/>
        </w:rPr>
        <w:t>41</w:t>
      </w:r>
      <w:r>
        <w:rPr>
          <w:b w:val="false"/>
          <w:iCs/>
          <w:caps w:val="false"/>
          <w:smallCaps w:val="false"/>
          <w:position w:val="0"/>
          <w:sz w:val="24"/>
          <w:sz w:val="24"/>
          <w:szCs w:val="24"/>
          <w:u w:val="none"/>
          <w:vertAlign w:val="baseline"/>
        </w:rPr>
        <w:t>)</w:t>
      </w:r>
      <w:bookmarkEnd w:id="41"/>
      <w:r>
        <w:rPr>
          <w:iCs/>
          <w:sz w:val="24"/>
          <w:szCs w:val="24"/>
        </w:rPr>
        <w:t xml:space="preserve"> for aluminum-rich aluminosilicates, each one presenting distinct and different extent of heterogeneities at medium and long range order with various associated cationic mixing within such heterogeneities that drive large and complex changes in glass configurational entropy and hence viscosity. </w:t>
      </w:r>
      <w:r>
        <w:br w:type="page"/>
      </w:r>
    </w:p>
    <w:p>
      <w:pPr>
        <w:pStyle w:val="SMHeading"/>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59436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5943600"/>
                    </a:xfrm>
                    <a:prstGeom prst="rect">
                      <a:avLst/>
                    </a:prstGeom>
                  </pic:spPr>
                </pic:pic>
              </a:graphicData>
            </a:graphic>
          </wp:anchor>
        </w:drawing>
      </w:r>
      <w:r>
        <w:rPr/>
        <w:t>F</w:t>
      </w:r>
      <w:r>
        <w:rPr/>
        <w:t xml:space="preserve">ig. S1. Viscosity (A), Raman (B), density (C) and refractive index (D) </w:t>
      </w:r>
      <w:r>
        <w:rPr>
          <w:iCs/>
        </w:rPr>
        <w:t xml:space="preserve">datasets used in this publication. </w:t>
      </w:r>
      <w:r>
        <w:rPr>
          <w:b w:val="false"/>
          <w:bCs w:val="false"/>
          <w:iCs/>
        </w:rPr>
        <w:t>Each symbol corresponds to a composition. The glass-forming domain at usual laboratory cooling rates is indicated in grey.</w:t>
      </w:r>
    </w:p>
    <w:p>
      <w:pPr>
        <w:pStyle w:val="SMcaption"/>
        <w:rPr/>
      </w:pPr>
      <w:r>
        <w:rPr/>
      </w:r>
    </w:p>
    <w:p>
      <w:pPr>
        <w:pStyle w:val="SMcaption"/>
        <w:rPr>
          <w:b w:val="false"/>
          <w:b w:val="false"/>
          <w:bCs w:val="false"/>
          <w:iCs/>
        </w:rPr>
      </w:pPr>
      <w:r>
        <w:rPr/>
      </w:r>
    </w:p>
    <w:p>
      <w:pPr>
        <w:pStyle w:val="SMHeading"/>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962400"/>
            <wp:effectExtent l="0" t="0" r="0" b="0"/>
            <wp:wrapSquare wrapText="bothSides"/>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943600" cy="3962400"/>
                    </a:xfrm>
                    <a:prstGeom prst="rect">
                      <a:avLst/>
                    </a:prstGeom>
                  </pic:spPr>
                </pic:pic>
              </a:graphicData>
            </a:graphic>
          </wp:anchor>
        </w:drawing>
      </w:r>
      <w:r>
        <w:rPr/>
        <w:t>F</w:t>
      </w:r>
      <w:r>
        <w:rPr/>
        <w:t>ig. S</w:t>
      </w:r>
      <w:r>
        <w:rPr/>
        <w:t>2</w:t>
      </w:r>
      <w:r>
        <w:rPr/>
        <w:t xml:space="preserve">. </w:t>
      </w:r>
      <w:r>
        <w:rPr>
          <w:iCs/>
        </w:rPr>
        <w:t>Comparison between predicted and measured viscosity in the Na</w:t>
      </w:r>
      <w:r>
        <w:rPr>
          <w:iCs/>
          <w:vertAlign w:val="subscript"/>
        </w:rPr>
        <w:t>2</w:t>
      </w:r>
      <w:r>
        <w:rPr>
          <w:iCs/>
        </w:rPr>
        <w:t>O-K</w:t>
      </w:r>
      <w:r>
        <w:rPr>
          <w:iCs/>
          <w:vertAlign w:val="subscript"/>
        </w:rPr>
        <w:t>2</w:t>
      </w:r>
      <w:r>
        <w:rPr>
          <w:iCs/>
        </w:rPr>
        <w:t>O-Al</w:t>
      </w:r>
      <w:r>
        <w:rPr>
          <w:iCs/>
          <w:vertAlign w:val="subscript"/>
        </w:rPr>
        <w:t>2</w:t>
      </w:r>
      <w:r>
        <w:rPr>
          <w:iCs/>
        </w:rPr>
        <w:t>O</w:t>
      </w:r>
      <w:r>
        <w:rPr>
          <w:iCs/>
          <w:vertAlign w:val="subscript"/>
        </w:rPr>
        <w:t>3</w:t>
      </w:r>
      <w:r>
        <w:rPr>
          <w:iCs/>
        </w:rPr>
        <w:t>-SiO</w:t>
      </w:r>
      <w:r>
        <w:rPr>
          <w:iCs/>
          <w:vertAlign w:val="subscript"/>
        </w:rPr>
        <w:t>2</w:t>
      </w:r>
      <w:r>
        <w:rPr>
          <w:iCs/>
        </w:rPr>
        <w:t xml:space="preserve"> system. </w:t>
      </w:r>
      <w:r>
        <w:rPr>
          <w:b w:val="false"/>
          <w:bCs w:val="false"/>
          <w:iCs/>
        </w:rPr>
        <w:t xml:space="preserve">Predictions can be made using theories like Adam-Gibbs (a) and free volume (b), or empirical equations like MYEGA (c), Avramov-Milchev (d), and Tamman-Vogel-Fulcher (e). </w:t>
      </w:r>
      <w:r>
        <w:rPr>
          <w:lang w:val="en-GB"/>
        </w:rPr>
        <w:t xml:space="preserve"> </w:t>
      </w:r>
      <w:r>
        <w:rPr>
          <w:b w:val="false"/>
          <w:bCs w:val="false"/>
          <w:lang w:val="en-GB"/>
        </w:rPr>
        <w:t>See table S3 for RMSE and text for the equations.</w:t>
      </w:r>
    </w:p>
    <w:p>
      <w:pPr>
        <w:pStyle w:val="SMHeading"/>
        <w:rPr/>
      </w:pPr>
      <w:r>
        <w:drawing>
          <wp:anchor behindDoc="0" distT="0" distB="0" distL="0" distR="0" simplePos="0" locked="0" layoutInCell="1" allowOverlap="1" relativeHeight="5">
            <wp:simplePos x="0" y="0"/>
            <wp:positionH relativeFrom="column">
              <wp:posOffset>116840</wp:posOffset>
            </wp:positionH>
            <wp:positionV relativeFrom="paragraph">
              <wp:posOffset>132715</wp:posOffset>
            </wp:positionV>
            <wp:extent cx="4120515" cy="5119370"/>
            <wp:effectExtent l="0" t="0" r="0" b="0"/>
            <wp:wrapTopAndBottom/>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4120515" cy="5119370"/>
                    </a:xfrm>
                    <a:prstGeom prst="rect">
                      <a:avLst/>
                    </a:prstGeom>
                  </pic:spPr>
                </pic:pic>
              </a:graphicData>
            </a:graphic>
          </wp:anchor>
        </w:drawing>
      </w:r>
      <w:r>
        <w:rPr/>
        <w:t>F</w:t>
      </w:r>
      <w:r>
        <w:rPr/>
        <w:t>ig. S</w:t>
      </w:r>
      <w:r>
        <w:rPr/>
        <w:t>3</w:t>
      </w:r>
      <w:r>
        <w:rPr/>
        <w:t xml:space="preserve">. </w:t>
      </w:r>
      <w:r>
        <w:rPr>
          <w:iCs/>
        </w:rPr>
        <w:t xml:space="preserve">Comparison between predictions and </w:t>
      </w:r>
      <w:r>
        <w:rPr>
          <w:iCs/>
          <w:lang w:val="en-GB"/>
        </w:rPr>
        <w:t xml:space="preserve">observed </w:t>
      </w:r>
      <w:r>
        <w:rPr>
          <w:iCs/>
        </w:rPr>
        <w:t xml:space="preserve">viscous glass transition temperature (a), </w:t>
      </w:r>
      <w:r>
        <w:rPr>
          <w:i/>
        </w:rPr>
        <w:t>S</w:t>
      </w:r>
      <w:r>
        <w:rPr>
          <w:i/>
          <w:vertAlign w:val="superscript"/>
        </w:rPr>
        <w:t>conf</w:t>
      </w:r>
      <w:r>
        <w:rPr>
          <w:i/>
        </w:rPr>
        <w:t>(T</w:t>
      </w:r>
      <w:r>
        <w:rPr>
          <w:i/>
          <w:vertAlign w:val="subscript"/>
        </w:rPr>
        <w:t>g</w:t>
      </w:r>
      <w:r>
        <w:rPr>
          <w:i/>
        </w:rPr>
        <w:t>)</w:t>
      </w:r>
      <w:r>
        <w:rPr>
          <w:iCs/>
        </w:rPr>
        <w:t xml:space="preserve"> </w:t>
      </w:r>
      <w:bookmarkStart w:id="42" w:name="__UnoMark__9949_1449571692"/>
      <w:bookmarkStart w:id="43" w:name="__UnoMark__21053_2551971298"/>
      <w:bookmarkStart w:id="44" w:name="__UnoMark__23538_2551971298"/>
      <w:bookmarkStart w:id="45" w:name="__UnoMark__11469_2187724418"/>
      <w:bookmarkStart w:id="46" w:name="__UnoMark__23744_2551971298"/>
      <w:bookmarkStart w:id="47" w:name="__UnoMark__22080_2551971298"/>
      <w:bookmarkStart w:id="48" w:name="__UnoMark__22286_2551971298"/>
      <w:bookmarkStart w:id="49" w:name="__UnoMark__18374_998215430"/>
      <w:bookmarkStart w:id="50" w:name="__UnoMark__18146_998215430"/>
      <w:bookmarkStart w:id="51" w:name="__UnoMark__22706_2551971298"/>
      <w:bookmarkStart w:id="52" w:name="__UnoMark__22920_2551971298"/>
      <w:bookmarkStart w:id="53" w:name="__UnoMark__22500_2551971298"/>
      <w:bookmarkStart w:id="54" w:name="__UnoMark__23126_2551971298"/>
      <w:bookmarkStart w:id="55" w:name="__UnoMark__23332_2551971298"/>
      <w:bookmarkStart w:id="56" w:name="__UnoMark__21256_2551971298"/>
      <w:bookmarkStart w:id="57" w:name="ZOTERO_BREF_JCXmip9xwEX5gKrboPV60"/>
      <w:bookmarkStart w:id="58" w:name="__UnoMark__21866_2551971298"/>
      <w:bookmarkStart w:id="59" w:name="__UnoMark__21459_2551971298"/>
      <w:bookmarkStart w:id="60" w:name="__UnoMark__21662_2551971298"/>
      <w:bookmarkStart w:id="61" w:name="__UnoMark__29471_2551971298"/>
      <w:bookmarkStart w:id="62" w:name="__UnoMark__7642_1449571692"/>
      <w:bookmarkStart w:id="63" w:name="__UnoMark__11238_2187724418"/>
      <w:bookmarkStart w:id="64" w:name="__UnoMark__18716_4168236645"/>
      <w:bookmarkStart w:id="65" w:name="__UnoMark__29311_2551971298"/>
      <w:r>
        <w:rPr>
          <w:rFonts w:eastAsia="Times New Roman" w:cs="Times New Roman"/>
          <w:b w:val="false"/>
          <w:bCs/>
          <w:color w:val="auto"/>
          <w:kern w:val="2"/>
          <w:sz w:val="24"/>
          <w:szCs w:val="24"/>
          <w:lang w:val="en-GB" w:eastAsia="en-US" w:bidi="ar-SA"/>
        </w:rPr>
        <w: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r>
        <w:rPr>
          <w:rFonts w:eastAsia="Times New Roman" w:cs="Times New Roman"/>
          <w:b w:val="false"/>
          <w:bCs/>
          <w:color w:val="auto"/>
          <w:kern w:val="2"/>
          <w:sz w:val="24"/>
          <w:szCs w:val="24"/>
          <w:lang w:val="en-GB" w:eastAsia="en-US" w:bidi="ar-SA"/>
        </w:rPr>
        <w:t>values from 4, 7, 19, 20, 23, 24)</w:t>
      </w:r>
      <w:r>
        <w:rPr>
          <w:lang w:val="en-GB"/>
        </w:rPr>
        <w:t xml:space="preserve"> (b), density (c), refractive index (d), and R</w:t>
      </w:r>
      <w:r>
        <w:rPr>
          <w:i/>
          <w:iCs/>
          <w:vertAlign w:val="subscript"/>
          <w:lang w:val="en-GB"/>
        </w:rPr>
        <w:t>Raman</w:t>
      </w:r>
      <w:r>
        <w:rPr>
          <w:lang w:val="en-GB"/>
        </w:rPr>
        <w:t xml:space="preserve"> (e). </w:t>
      </w:r>
      <w:r>
        <w:rPr>
          <w:b w:val="false"/>
          <w:bCs w:val="false"/>
          <w:lang w:val="en-GB"/>
        </w:rPr>
        <w:t>See table S3 for RMSE.</w:t>
      </w:r>
    </w:p>
    <w:p>
      <w:pPr>
        <w:pStyle w:val="SMcaption"/>
        <w:rPr/>
      </w:pPr>
      <w:r>
        <w:rPr/>
      </w:r>
    </w:p>
    <w:p>
      <w:pPr>
        <w:pStyle w:val="Paragraph"/>
        <w:spacing w:before="0" w:after="0"/>
        <w:ind w:hanging="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943860" cy="2943860"/>
            <wp:effectExtent l="0" t="0" r="0" b="0"/>
            <wp:wrapTopAndBottom/>
            <wp:docPr id="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descr=""/>
                    <pic:cNvPicPr>
                      <a:picLocks noChangeAspect="1" noChangeArrowheads="1"/>
                    </pic:cNvPicPr>
                  </pic:nvPicPr>
                  <pic:blipFill>
                    <a:blip r:embed="rId5"/>
                    <a:stretch>
                      <a:fillRect/>
                    </a:stretch>
                  </pic:blipFill>
                  <pic:spPr bwMode="auto">
                    <a:xfrm>
                      <a:off x="0" y="0"/>
                      <a:ext cx="2943860" cy="2943860"/>
                    </a:xfrm>
                    <a:prstGeom prst="rect">
                      <a:avLst/>
                    </a:prstGeom>
                  </pic:spPr>
                </pic:pic>
              </a:graphicData>
            </a:graphic>
          </wp:anchor>
        </w:drawing>
      </w:r>
      <w:r>
        <w:rPr>
          <w:b/>
          <w:bCs/>
          <w:iCs/>
        </w:rPr>
        <w:t>F</w:t>
      </w:r>
      <w:r>
        <w:rPr>
          <w:b/>
          <w:bCs/>
          <w:iCs/>
        </w:rPr>
        <w:t>ig. S</w:t>
      </w:r>
      <w:r>
        <w:rPr>
          <w:b/>
          <w:bCs/>
          <w:iCs/>
        </w:rPr>
        <w:t>4</w:t>
      </w:r>
      <w:r>
        <w:rPr>
          <w:b/>
          <w:bCs/>
          <w:iCs/>
        </w:rPr>
        <w:t xml:space="preserve"> Glass fragility versus melt </w:t>
      </w:r>
      <w:r>
        <w:rPr>
          <w:b/>
          <w:bCs/>
          <w:i/>
          <w:iCs/>
        </w:rPr>
        <w:t>C</w:t>
      </w:r>
      <w:r>
        <w:rPr>
          <w:b/>
          <w:bCs/>
          <w:i/>
          <w:iCs/>
          <w:vertAlign w:val="subscript"/>
        </w:rPr>
        <w:t>p</w:t>
      </w:r>
      <w:r>
        <w:rPr>
          <w:b/>
          <w:bCs/>
          <w:i/>
          <w:iCs/>
          <w:vertAlign w:val="superscript"/>
        </w:rPr>
        <w:t>conf</w:t>
      </w:r>
      <w:r>
        <w:rPr>
          <w:b/>
          <w:bCs/>
          <w:i/>
          <w:iCs/>
        </w:rPr>
        <w:t>(T</w:t>
      </w:r>
      <w:r>
        <w:rPr>
          <w:b/>
          <w:bCs/>
          <w:i/>
          <w:iCs/>
          <w:vertAlign w:val="subscript"/>
        </w:rPr>
        <w:t>g</w:t>
      </w:r>
      <w:r>
        <w:rPr>
          <w:b/>
          <w:bCs/>
          <w:i/>
          <w:iCs/>
        </w:rPr>
        <w:t>)/S</w:t>
      </w:r>
      <w:r>
        <w:rPr>
          <w:b/>
          <w:bCs/>
          <w:i/>
          <w:iCs/>
          <w:vertAlign w:val="superscript"/>
        </w:rPr>
        <w:t>conf</w:t>
      </w:r>
      <w:r>
        <w:rPr>
          <w:b/>
          <w:bCs/>
          <w:i/>
          <w:iCs/>
        </w:rPr>
        <w:t>(T</w:t>
      </w:r>
      <w:r>
        <w:rPr>
          <w:b/>
          <w:bCs/>
          <w:i/>
          <w:iCs/>
          <w:vertAlign w:val="subscript"/>
        </w:rPr>
        <w:t>g</w:t>
      </w:r>
      <w:r>
        <w:rPr>
          <w:b/>
          <w:bCs/>
          <w:i/>
          <w:iCs/>
        </w:rPr>
        <w:t>)</w:t>
      </w:r>
      <w:r>
        <w:rPr>
          <w:b/>
          <w:bCs/>
          <w:iCs/>
        </w:rPr>
        <w:t xml:space="preserve"> ratio.</w:t>
      </w:r>
      <w:r>
        <w:rPr>
          <w:iCs/>
        </w:rPr>
        <w:t xml:space="preserve"> Symbols are predictions of the </w:t>
      </w:r>
      <w:r>
        <w:rPr>
          <w:rFonts w:eastAsia="Times New Roman" w:cs="Times New Roman"/>
          <w:iCs/>
          <w:color w:val="auto"/>
          <w:kern w:val="0"/>
          <w:sz w:val="24"/>
          <w:szCs w:val="24"/>
          <w:lang w:val="en-US" w:eastAsia="en-US" w:bidi="ar-SA"/>
        </w:rPr>
        <w:t>deep learning framework</w:t>
      </w:r>
      <w:r>
        <w:rPr>
          <w:iCs/>
        </w:rPr>
        <w:t xml:space="preserve"> on the different subsets of the </w:t>
      </w:r>
      <w:r>
        <w:rPr>
          <w:i/>
        </w:rPr>
        <w:t>D</w:t>
      </w:r>
      <w:r>
        <w:rPr>
          <w:i/>
          <w:vertAlign w:val="subscript"/>
        </w:rPr>
        <w:t>viscosity</w:t>
      </w:r>
      <w:r>
        <w:rPr>
          <w:iCs/>
        </w:rPr>
        <w:t xml:space="preserve"> dataset. The back dotted line is the relationship observed by </w:t>
      </w:r>
      <w:bookmarkStart w:id="66" w:name="__UnoMark__18375_998215430"/>
      <w:bookmarkStart w:id="67" w:name="__UnoMark__21054_2551971298"/>
      <w:bookmarkStart w:id="68" w:name="__UnoMark__21460_2551971298"/>
      <w:bookmarkStart w:id="69" w:name="__UnoMark__21663_2551971298"/>
      <w:bookmarkStart w:id="70" w:name="__UnoMark__22081_2551971298"/>
      <w:bookmarkStart w:id="71" w:name="__UnoMark__23539_2551971298"/>
      <w:bookmarkStart w:id="72" w:name="__UnoMark__7643_1449571692"/>
      <w:bookmarkStart w:id="73" w:name="__UnoMark__21257_2551971298"/>
      <w:bookmarkStart w:id="74" w:name="__UnoMark__29472_2551971298"/>
      <w:bookmarkStart w:id="75" w:name="__UnoMark__9950_1449571692"/>
      <w:bookmarkStart w:id="76" w:name="ZOTERO_BREF_WMegPio6VBBMeIO3pGBh8"/>
      <w:bookmarkStart w:id="77" w:name="__UnoMark__29312_2551971298"/>
      <w:bookmarkStart w:id="78" w:name="__UnoMark__21867_2551971298"/>
      <w:bookmarkStart w:id="79" w:name="__UnoMark__22707_2551971298"/>
      <w:bookmarkStart w:id="80" w:name="__UnoMark__22501_2551971298"/>
      <w:bookmarkStart w:id="81" w:name="__UnoMark__11239_2187724418"/>
      <w:bookmarkStart w:id="82" w:name="__UnoMark__18147_998215430"/>
      <w:bookmarkStart w:id="83" w:name="__UnoMark__22921_2551971298"/>
      <w:bookmarkStart w:id="84" w:name="__UnoMark__11470_2187724418"/>
      <w:bookmarkStart w:id="85" w:name="__UnoMark__23745_2551971298"/>
      <w:bookmarkStart w:id="86" w:name="__UnoMark__18717_4168236645"/>
      <w:bookmarkStart w:id="87" w:name="__UnoMark__23127_2551971298"/>
      <w:bookmarkStart w:id="88" w:name="__UnoMark__23333_2551971298"/>
      <w:bookmarkStart w:id="89" w:name="__UnoMark__22287_2551971298"/>
      <w:bookmarkStart w:id="90" w:name="__UnoMark__10538_2187724418"/>
      <w:bookmarkEnd w:id="90"/>
      <w:r>
        <w:rPr>
          <w:lang w:val="en-GB"/>
        </w:rPr>
        <w:t>(</w:t>
      </w:r>
      <w:r>
        <w:rPr>
          <w:rFonts w:eastAsia="Times New Roman" w:cs="Times New Roman"/>
          <w:i/>
          <w:color w:val="auto"/>
          <w:kern w:val="0"/>
          <w:sz w:val="24"/>
          <w:szCs w:val="24"/>
          <w:lang w:val="en-US" w:eastAsia="en-US" w:bidi="ar-SA"/>
        </w:rPr>
        <w:t>49</w:t>
      </w:r>
      <w:r>
        <w:rPr/>
        <w:t>)</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Pr>
          <w:lang w:val="en-GB"/>
        </w:rPr>
        <w:t xml:space="preserve"> using </w:t>
      </w:r>
      <w:r>
        <w:rPr>
          <w:iCs/>
        </w:rPr>
        <w:t>experimental heat capacity data</w:t>
      </w:r>
      <w:r>
        <w:rPr>
          <w:lang w:val="en-GB"/>
        </w:rPr>
        <w:t>. Except two extreme outliers that corresponds to Al</w:t>
      </w:r>
      <w:r>
        <w:rPr>
          <w:vertAlign w:val="subscript"/>
          <w:lang w:val="en-GB"/>
        </w:rPr>
        <w:t>2</w:t>
      </w:r>
      <w:r>
        <w:rPr>
          <w:lang w:val="en-GB"/>
        </w:rPr>
        <w:t>O</w:t>
      </w:r>
      <w:r>
        <w:rPr>
          <w:vertAlign w:val="subscript"/>
          <w:lang w:val="en-GB"/>
        </w:rPr>
        <w:t>3</w:t>
      </w:r>
      <w:r>
        <w:rPr>
          <w:lang w:val="en-GB"/>
        </w:rPr>
        <w:t>-SiO</w:t>
      </w:r>
      <w:r>
        <w:rPr>
          <w:vertAlign w:val="subscript"/>
          <w:lang w:val="en-GB"/>
        </w:rPr>
        <w:t>2</w:t>
      </w:r>
      <w:r>
        <w:rPr>
          <w:lang w:val="en-GB"/>
        </w:rPr>
        <w:t xml:space="preserve"> melts with more than 30 mol% Al</w:t>
      </w:r>
      <w:r>
        <w:rPr>
          <w:vertAlign w:val="subscript"/>
          <w:lang w:val="en-GB"/>
        </w:rPr>
        <w:t>2</w:t>
      </w:r>
      <w:r>
        <w:rPr>
          <w:lang w:val="en-GB"/>
        </w:rPr>
        <w:t>O</w:t>
      </w:r>
      <w:r>
        <w:rPr>
          <w:vertAlign w:val="subscript"/>
          <w:lang w:val="en-GB"/>
        </w:rPr>
        <w:t>3</w:t>
      </w:r>
      <w:r>
        <w:rPr>
          <w:lang w:val="en-GB"/>
        </w:rPr>
        <w:t xml:space="preserve">, a general good agreement is observed. This validates the internal consistency of the </w:t>
      </w:r>
      <w:r>
        <w:rPr>
          <w:rFonts w:eastAsia="Times New Roman" w:cs="Times New Roman"/>
          <w:iCs/>
          <w:color w:val="auto"/>
          <w:kern w:val="0"/>
          <w:sz w:val="24"/>
          <w:szCs w:val="24"/>
          <w:lang w:val="en-US" w:eastAsia="en-US" w:bidi="ar-SA"/>
        </w:rPr>
        <w:t>deep learning framework</w:t>
      </w:r>
      <w:r>
        <w:rPr>
          <w:lang w:val="en-GB"/>
        </w:rPr>
        <w:t xml:space="preserve">. The scatter indicates that a better agreement could be obtained with using a better heat capacity model for aluminosilicate melts. Such </w:t>
      </w:r>
      <w:r>
        <w:rPr>
          <w:i/>
          <w:iCs/>
          <w:lang w:val="en-GB"/>
        </w:rPr>
        <w:t>C</w:t>
      </w:r>
      <w:r>
        <w:rPr>
          <w:i/>
          <w:iCs/>
          <w:vertAlign w:val="subscript"/>
          <w:lang w:val="en-GB"/>
        </w:rPr>
        <w:t>p</w:t>
      </w:r>
      <w:r>
        <w:rPr>
          <w:lang w:val="en-GB"/>
        </w:rPr>
        <w:t xml:space="preserve"> calculation could be integrated in the present </w:t>
      </w:r>
      <w:r>
        <w:rPr>
          <w:rFonts w:eastAsia="Times New Roman" w:cs="Times New Roman"/>
          <w:iCs/>
          <w:color w:val="auto"/>
          <w:kern w:val="0"/>
          <w:sz w:val="24"/>
          <w:szCs w:val="24"/>
          <w:lang w:val="en-US" w:eastAsia="en-US" w:bidi="ar-SA"/>
        </w:rPr>
        <w:t>deep learning framework</w:t>
      </w:r>
      <w:r>
        <w:rPr>
          <w:lang w:val="en-GB"/>
        </w:rPr>
        <w:t xml:space="preserve"> in the future albeit the acquisition of additional </w:t>
      </w:r>
      <w:r>
        <w:rPr>
          <w:i/>
          <w:iCs/>
          <w:lang w:val="en-GB"/>
        </w:rPr>
        <w:t>C</w:t>
      </w:r>
      <w:r>
        <w:rPr>
          <w:i/>
          <w:iCs/>
          <w:vertAlign w:val="subscript"/>
          <w:lang w:val="en-GB"/>
        </w:rPr>
        <w:t>p</w:t>
      </w:r>
      <w:r>
        <w:rPr>
          <w:lang w:val="en-GB"/>
        </w:rPr>
        <w:t xml:space="preserve"> data for ternary and quaternary aluminosilicate melts.</w:t>
      </w:r>
    </w:p>
    <w:p>
      <w:pPr>
        <w:pStyle w:val="Paragraph"/>
        <w:spacing w:before="0" w:after="0"/>
        <w:ind w:hanging="0"/>
        <w:rPr>
          <w:lang w:val="en-GB"/>
        </w:rPr>
      </w:pPr>
      <w:r>
        <w:rPr>
          <w:lang w:val="en-GB"/>
        </w:rPr>
      </w:r>
      <w:r>
        <w:br w:type="page"/>
      </w:r>
    </w:p>
    <w:p>
      <w:pPr>
        <w:pStyle w:val="SMHeading"/>
        <w:rPr/>
      </w:pPr>
      <w:r>
        <w:rPr/>
        <w:drawing>
          <wp:anchor behindDoc="0" distT="0" distB="0" distL="0" distR="0" simplePos="0" locked="0" layoutInCell="1" allowOverlap="1" relativeHeight="6">
            <wp:simplePos x="0" y="0"/>
            <wp:positionH relativeFrom="column">
              <wp:posOffset>287020</wp:posOffset>
            </wp:positionH>
            <wp:positionV relativeFrom="paragraph">
              <wp:posOffset>162560</wp:posOffset>
            </wp:positionV>
            <wp:extent cx="5059680" cy="5110480"/>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059680" cy="5110480"/>
                    </a:xfrm>
                    <a:prstGeom prst="rect">
                      <a:avLst/>
                    </a:prstGeom>
                  </pic:spPr>
                </pic:pic>
              </a:graphicData>
            </a:graphic>
          </wp:anchor>
        </w:drawing>
      </w:r>
    </w:p>
    <w:p>
      <w:pPr>
        <w:pStyle w:val="SMHeading"/>
        <w:rPr/>
      </w:pPr>
      <w:r>
        <w:rPr/>
        <w:t>Figure S</w:t>
      </w:r>
      <w:r>
        <w:rPr/>
        <w:t>5</w:t>
      </w:r>
      <w:r>
        <w:rPr/>
        <w:t xml:space="preserve">: Melt fragility variations with composition. </w:t>
      </w:r>
      <w:r>
        <w:rPr>
          <w:b w:val="false"/>
          <w:bCs w:val="false"/>
        </w:rPr>
        <w:t>Fragility is represented in the glass forming domains of the ternary sodium (a) and potassium (b) aluminosilicate systems, as well as as a function of the silica fraction and the potassium to total alkali ratio of silicate (c) and tectosilicate (d) melts. No MAE is observed on melt fragility, which depends largely on melt silica content.</w:t>
      </w:r>
    </w:p>
    <w:p>
      <w:pPr>
        <w:pStyle w:val="SMHeading"/>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801870" cy="608901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801870" cy="6089015"/>
                    </a:xfrm>
                    <a:prstGeom prst="rect">
                      <a:avLst/>
                    </a:prstGeom>
                  </pic:spPr>
                </pic:pic>
              </a:graphicData>
            </a:graphic>
          </wp:anchor>
        </w:drawing>
      </w:r>
      <w:r>
        <w:rPr/>
        <w:t>F</w:t>
      </w:r>
      <w:r>
        <w:rPr/>
        <w:t>ig. S</w:t>
      </w:r>
      <w:r>
        <w:rPr/>
        <w:t>6</w:t>
      </w:r>
      <w:r>
        <w:rPr/>
        <w:t xml:space="preserve"> </w:t>
      </w:r>
      <w:r>
        <w:rPr>
          <w:b w:val="false"/>
          <w:bCs w:val="false"/>
        </w:rPr>
        <w:t>Deep learning framework predicted v</w:t>
      </w:r>
      <w:r>
        <w:rPr>
          <w:rFonts w:eastAsia="Times New Roman" w:cs="Times New Roman"/>
          <w:b w:val="false"/>
          <w:bCs w:val="false"/>
          <w:color w:val="auto"/>
          <w:kern w:val="2"/>
          <w:sz w:val="24"/>
          <w:szCs w:val="24"/>
          <w:lang w:val="en-US" w:eastAsia="en-US" w:bidi="ar-SA"/>
        </w:rPr>
        <w:t>ariations in glass transition temperature, relative density and refractive index in the ternary Na and K aluminosilicate diagrams.</w:t>
      </w:r>
    </w:p>
    <w:p>
      <w:pPr>
        <w:pStyle w:val="SMHeading"/>
        <w:rPr/>
      </w:pPr>
      <w:r>
        <w:rPr/>
      </w:r>
    </w:p>
    <w:p>
      <w:pPr>
        <w:pStyle w:val="SOMContent"/>
        <w:spacing w:lineRule="auto" w:line="480" w:before="0" w:after="0"/>
        <w:ind w:left="720" w:firstLine="720"/>
        <w:jc w:val="both"/>
        <w:rPr>
          <w:i/>
          <w:i/>
        </w:rPr>
      </w:pPr>
      <w:r>
        <w:rPr>
          <w:i/>
        </w:rPr>
      </w:r>
    </w:p>
    <w:p>
      <w:pPr>
        <w:pStyle w:val="SOMContent"/>
        <w:spacing w:lineRule="auto" w:line="480" w:before="0" w:after="0"/>
        <w:ind w:left="720" w:firstLine="720"/>
        <w:jc w:val="both"/>
        <w:rPr>
          <w:i/>
          <w:i/>
        </w:rPr>
      </w:pPr>
      <w:r>
        <w:rPr>
          <w:i/>
        </w:rPr>
      </w:r>
    </w:p>
    <w:p>
      <w:pPr>
        <w:pStyle w:val="SOMContent"/>
        <w:spacing w:lineRule="auto" w:line="480" w:before="0" w:after="0"/>
        <w:ind w:left="720" w:firstLine="720"/>
        <w:jc w:val="both"/>
        <w:rPr>
          <w:i/>
          <w:i/>
        </w:rPr>
      </w:pPr>
      <w:r>
        <w:rPr>
          <w:i/>
        </w:rPr>
      </w:r>
    </w:p>
    <w:tbl>
      <w:tblPr>
        <w:tblW w:w="8164" w:type="dxa"/>
        <w:jc w:val="left"/>
        <w:tblInd w:w="-12" w:type="dxa"/>
        <w:tblCellMar>
          <w:top w:w="0" w:type="dxa"/>
          <w:left w:w="138" w:type="dxa"/>
          <w:bottom w:w="0" w:type="dxa"/>
          <w:right w:w="108" w:type="dxa"/>
        </w:tblCellMar>
        <w:tblLook w:val="04a0" w:noVBand="1" w:noHBand="0" w:lastColumn="0" w:firstColumn="1" w:lastRow="0" w:firstRow="1"/>
      </w:tblPr>
      <w:tblGrid>
        <w:gridCol w:w="1249"/>
        <w:gridCol w:w="1201"/>
        <w:gridCol w:w="1049"/>
        <w:gridCol w:w="1049"/>
        <w:gridCol w:w="1050"/>
        <w:gridCol w:w="1049"/>
        <w:gridCol w:w="1516"/>
      </w:tblGrid>
      <w:tr>
        <w:trPr/>
        <w:tc>
          <w:tcPr>
            <w:tcW w:w="1249" w:type="dxa"/>
            <w:tcBorders/>
            <w:shd w:color="auto" w:fill="auto" w:val="clear"/>
          </w:tcPr>
          <w:p>
            <w:pPr>
              <w:pStyle w:val="Paragraph"/>
              <w:spacing w:before="0" w:after="0"/>
              <w:ind w:hanging="0"/>
              <w:rPr/>
            </w:pPr>
            <w:r>
              <w:rPr>
                <w:b/>
                <w:iCs/>
                <w:sz w:val="20"/>
                <w:szCs w:val="20"/>
              </w:rPr>
              <w:t>Glass name</w:t>
            </w:r>
          </w:p>
        </w:tc>
        <w:tc>
          <w:tcPr>
            <w:tcW w:w="1201" w:type="dxa"/>
            <w:tcBorders/>
            <w:shd w:color="auto" w:fill="auto" w:val="clear"/>
          </w:tcPr>
          <w:p>
            <w:pPr>
              <w:pStyle w:val="Paragraph"/>
              <w:spacing w:before="0" w:after="0"/>
              <w:ind w:hanging="0"/>
              <w:rPr>
                <w:b/>
                <w:b/>
                <w:iCs/>
                <w:sz w:val="20"/>
                <w:szCs w:val="20"/>
              </w:rPr>
            </w:pPr>
            <w:r>
              <w:rPr>
                <w:b/>
                <w:iCs/>
                <w:sz w:val="20"/>
                <w:szCs w:val="20"/>
              </w:rPr>
            </w:r>
          </w:p>
        </w:tc>
        <w:tc>
          <w:tcPr>
            <w:tcW w:w="1049" w:type="dxa"/>
            <w:tcBorders/>
            <w:shd w:color="auto" w:fill="auto" w:val="clear"/>
          </w:tcPr>
          <w:p>
            <w:pPr>
              <w:pStyle w:val="Paragraph"/>
              <w:spacing w:before="0" w:after="0"/>
              <w:ind w:hanging="0"/>
              <w:rPr/>
            </w:pPr>
            <w:r>
              <w:rPr>
                <w:b/>
                <w:iCs/>
                <w:sz w:val="20"/>
                <w:szCs w:val="20"/>
              </w:rPr>
              <w:t>%SiO</w:t>
            </w:r>
            <w:r>
              <w:rPr>
                <w:b/>
                <w:iCs/>
                <w:sz w:val="20"/>
                <w:szCs w:val="20"/>
                <w:vertAlign w:val="subscript"/>
              </w:rPr>
              <w:t>2</w:t>
            </w:r>
          </w:p>
        </w:tc>
        <w:tc>
          <w:tcPr>
            <w:tcW w:w="1049" w:type="dxa"/>
            <w:tcBorders/>
            <w:shd w:color="auto" w:fill="auto" w:val="clear"/>
          </w:tcPr>
          <w:p>
            <w:pPr>
              <w:pStyle w:val="Paragraph"/>
              <w:spacing w:before="0" w:after="0"/>
              <w:ind w:hanging="0"/>
              <w:rPr/>
            </w:pPr>
            <w:r>
              <w:rPr>
                <w:b/>
                <w:iCs/>
                <w:sz w:val="20"/>
                <w:szCs w:val="20"/>
              </w:rPr>
              <w:t>%Al</w:t>
            </w:r>
            <w:r>
              <w:rPr>
                <w:b/>
                <w:iCs/>
                <w:sz w:val="20"/>
                <w:szCs w:val="20"/>
                <w:vertAlign w:val="subscript"/>
              </w:rPr>
              <w:t>2</w:t>
            </w:r>
            <w:r>
              <w:rPr>
                <w:b/>
                <w:iCs/>
                <w:sz w:val="20"/>
                <w:szCs w:val="20"/>
              </w:rPr>
              <w:t>O</w:t>
            </w:r>
            <w:r>
              <w:rPr>
                <w:b/>
                <w:iCs/>
                <w:sz w:val="20"/>
                <w:szCs w:val="20"/>
                <w:vertAlign w:val="subscript"/>
              </w:rPr>
              <w:t>3</w:t>
            </w:r>
          </w:p>
        </w:tc>
        <w:tc>
          <w:tcPr>
            <w:tcW w:w="1050" w:type="dxa"/>
            <w:tcBorders/>
            <w:shd w:color="auto" w:fill="auto" w:val="clear"/>
          </w:tcPr>
          <w:p>
            <w:pPr>
              <w:pStyle w:val="Paragraph"/>
              <w:spacing w:before="0" w:after="0"/>
              <w:ind w:hanging="0"/>
              <w:rPr/>
            </w:pPr>
            <w:r>
              <w:rPr>
                <w:b/>
                <w:iCs/>
                <w:sz w:val="20"/>
                <w:szCs w:val="20"/>
              </w:rPr>
              <w:t>%K</w:t>
            </w:r>
            <w:r>
              <w:rPr>
                <w:b/>
                <w:iCs/>
                <w:sz w:val="20"/>
                <w:szCs w:val="20"/>
                <w:vertAlign w:val="subscript"/>
              </w:rPr>
              <w:t>2</w:t>
            </w:r>
            <w:r>
              <w:rPr>
                <w:b/>
                <w:iCs/>
                <w:sz w:val="20"/>
                <w:szCs w:val="20"/>
              </w:rPr>
              <w:t>O</w:t>
            </w:r>
          </w:p>
        </w:tc>
        <w:tc>
          <w:tcPr>
            <w:tcW w:w="1049" w:type="dxa"/>
            <w:tcBorders/>
            <w:shd w:color="auto" w:fill="auto" w:val="clear"/>
          </w:tcPr>
          <w:p>
            <w:pPr>
              <w:pStyle w:val="Paragraph"/>
              <w:spacing w:before="0" w:after="0"/>
              <w:ind w:hanging="0"/>
              <w:rPr/>
            </w:pPr>
            <w:r>
              <w:rPr>
                <w:b/>
                <w:iCs/>
                <w:sz w:val="20"/>
                <w:szCs w:val="20"/>
              </w:rPr>
              <w:t>%Na</w:t>
            </w:r>
            <w:r>
              <w:rPr>
                <w:b/>
                <w:iCs/>
                <w:sz w:val="20"/>
                <w:szCs w:val="20"/>
                <w:vertAlign w:val="subscript"/>
              </w:rPr>
              <w:t>2</w:t>
            </w:r>
            <w:r>
              <w:rPr>
                <w:b/>
                <w:iCs/>
                <w:sz w:val="20"/>
                <w:szCs w:val="20"/>
              </w:rPr>
              <w:t>O</w:t>
            </w:r>
          </w:p>
        </w:tc>
        <w:tc>
          <w:tcPr>
            <w:tcW w:w="1516" w:type="dxa"/>
            <w:tcBorders/>
            <w:shd w:color="auto" w:fill="auto" w:val="clear"/>
          </w:tcPr>
          <w:p>
            <w:pPr>
              <w:pStyle w:val="Paragraph"/>
              <w:spacing w:before="0" w:after="0"/>
              <w:ind w:hanging="0"/>
              <w:rPr/>
            </w:pPr>
            <w:r>
              <w:rPr>
                <w:b/>
                <w:iCs/>
                <w:sz w:val="20"/>
                <w:szCs w:val="20"/>
              </w:rPr>
              <w:t>Density, g cm</w:t>
            </w:r>
            <w:r>
              <w:rPr>
                <w:b/>
                <w:iCs/>
                <w:sz w:val="20"/>
                <w:szCs w:val="20"/>
                <w:vertAlign w:val="superscript"/>
              </w:rPr>
              <w:t>-1</w:t>
            </w:r>
          </w:p>
        </w:tc>
      </w:tr>
      <w:tr>
        <w:trPr/>
        <w:tc>
          <w:tcPr>
            <w:tcW w:w="1249" w:type="dxa"/>
            <w:tcBorders/>
            <w:shd w:color="auto" w:fill="auto" w:val="clear"/>
          </w:tcPr>
          <w:p>
            <w:pPr>
              <w:pStyle w:val="Paragraph"/>
              <w:spacing w:before="0" w:after="0"/>
              <w:ind w:hanging="0"/>
              <w:rPr/>
            </w:pPr>
            <w:r>
              <w:rPr>
                <w:iCs/>
                <w:sz w:val="20"/>
                <w:szCs w:val="20"/>
              </w:rPr>
              <w:t>KA80.05</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80.00</w:t>
            </w:r>
          </w:p>
        </w:tc>
        <w:tc>
          <w:tcPr>
            <w:tcW w:w="1049" w:type="dxa"/>
            <w:tcBorders/>
            <w:shd w:color="auto" w:fill="auto" w:val="clear"/>
          </w:tcPr>
          <w:p>
            <w:pPr>
              <w:pStyle w:val="Paragraph"/>
              <w:spacing w:before="0" w:after="0"/>
              <w:ind w:hanging="0"/>
              <w:rPr/>
            </w:pPr>
            <w:r>
              <w:rPr>
                <w:iCs/>
                <w:sz w:val="20"/>
                <w:szCs w:val="20"/>
              </w:rPr>
              <w:t>5.00</w:t>
            </w:r>
          </w:p>
        </w:tc>
        <w:tc>
          <w:tcPr>
            <w:tcW w:w="1050" w:type="dxa"/>
            <w:tcBorders/>
            <w:shd w:color="auto" w:fill="auto" w:val="clear"/>
          </w:tcPr>
          <w:p>
            <w:pPr>
              <w:pStyle w:val="Paragraph"/>
              <w:spacing w:before="0" w:after="0"/>
              <w:ind w:hanging="0"/>
              <w:rPr/>
            </w:pPr>
            <w:r>
              <w:rPr>
                <w:iCs/>
                <w:sz w:val="20"/>
                <w:szCs w:val="20"/>
              </w:rPr>
              <w:t>15.00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71.40</w:t>
            </w:r>
          </w:p>
        </w:tc>
        <w:tc>
          <w:tcPr>
            <w:tcW w:w="1049" w:type="dxa"/>
            <w:tcBorders/>
            <w:shd w:color="auto" w:fill="auto" w:val="clear"/>
          </w:tcPr>
          <w:p>
            <w:pPr>
              <w:pStyle w:val="Paragraph"/>
              <w:spacing w:before="0" w:after="0"/>
              <w:ind w:hanging="0"/>
              <w:rPr/>
            </w:pPr>
            <w:r>
              <w:rPr>
                <w:iCs/>
                <w:sz w:val="20"/>
                <w:szCs w:val="20"/>
              </w:rPr>
              <w:t>7.60</w:t>
            </w:r>
          </w:p>
        </w:tc>
        <w:tc>
          <w:tcPr>
            <w:tcW w:w="1050" w:type="dxa"/>
            <w:tcBorders/>
            <w:shd w:color="auto" w:fill="auto" w:val="clear"/>
          </w:tcPr>
          <w:p>
            <w:pPr>
              <w:pStyle w:val="Paragraph"/>
              <w:spacing w:before="0" w:after="0"/>
              <w:ind w:hanging="0"/>
              <w:rPr/>
            </w:pPr>
            <w:r>
              <w:rPr>
                <w:iCs/>
                <w:sz w:val="20"/>
                <w:szCs w:val="20"/>
              </w:rPr>
              <w:t>21.00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74.85(44)</w:t>
            </w:r>
          </w:p>
        </w:tc>
        <w:tc>
          <w:tcPr>
            <w:tcW w:w="1049" w:type="dxa"/>
            <w:tcBorders/>
            <w:shd w:color="auto" w:fill="auto" w:val="clear"/>
          </w:tcPr>
          <w:p>
            <w:pPr>
              <w:pStyle w:val="Paragraph"/>
              <w:spacing w:before="0" w:after="0"/>
              <w:ind w:hanging="0"/>
              <w:rPr/>
            </w:pPr>
            <w:r>
              <w:rPr>
                <w:iCs/>
                <w:sz w:val="20"/>
                <w:szCs w:val="20"/>
              </w:rPr>
              <w:t>7.56(14)</w:t>
            </w:r>
          </w:p>
        </w:tc>
        <w:tc>
          <w:tcPr>
            <w:tcW w:w="1050" w:type="dxa"/>
            <w:tcBorders/>
            <w:shd w:color="auto" w:fill="auto" w:val="clear"/>
          </w:tcPr>
          <w:p>
            <w:pPr>
              <w:pStyle w:val="Paragraph"/>
              <w:spacing w:before="0" w:after="0"/>
              <w:ind w:hanging="0"/>
              <w:rPr/>
            </w:pPr>
            <w:r>
              <w:rPr>
                <w:iCs/>
                <w:sz w:val="20"/>
                <w:szCs w:val="20"/>
              </w:rPr>
              <w:t>15.12(22)</w:t>
            </w:r>
          </w:p>
        </w:tc>
        <w:tc>
          <w:tcPr>
            <w:tcW w:w="1049" w:type="dxa"/>
            <w:tcBorders/>
            <w:shd w:color="auto" w:fill="auto" w:val="clear"/>
          </w:tcPr>
          <w:p>
            <w:pPr>
              <w:pStyle w:val="Paragraph"/>
              <w:spacing w:before="0" w:after="0"/>
              <w:ind w:hanging="0"/>
              <w:rPr/>
            </w:pPr>
            <w:r>
              <w:rPr>
                <w:iCs/>
                <w:sz w:val="20"/>
                <w:szCs w:val="20"/>
              </w:rPr>
              <w:t>0.00(4)</w:t>
            </w:r>
          </w:p>
        </w:tc>
        <w:tc>
          <w:tcPr>
            <w:tcW w:w="1516" w:type="dxa"/>
            <w:tcBorders/>
            <w:shd w:color="auto" w:fill="auto" w:val="clear"/>
          </w:tcPr>
          <w:p>
            <w:pPr>
              <w:pStyle w:val="Paragraph"/>
              <w:spacing w:before="0" w:after="0"/>
              <w:ind w:hanging="0"/>
              <w:rPr/>
            </w:pPr>
            <w:r>
              <w:rPr>
                <w:iCs/>
                <w:sz w:val="20"/>
                <w:szCs w:val="20"/>
              </w:rPr>
              <w:t>2.320(1)</w:t>
            </w:r>
          </w:p>
        </w:tc>
      </w:tr>
      <w:tr>
        <w:trPr/>
        <w:tc>
          <w:tcPr>
            <w:tcW w:w="1249" w:type="dxa"/>
            <w:tcBorders/>
            <w:shd w:color="auto" w:fill="auto" w:val="clear"/>
          </w:tcPr>
          <w:p>
            <w:pPr>
              <w:pStyle w:val="Paragraph"/>
              <w:spacing w:before="0" w:after="0"/>
              <w:ind w:hanging="0"/>
              <w:rPr/>
            </w:pPr>
            <w:r>
              <w:rPr>
                <w:iCs/>
                <w:sz w:val="20"/>
                <w:szCs w:val="20"/>
              </w:rPr>
              <w:t>KA72.07</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72.00</w:t>
            </w:r>
          </w:p>
        </w:tc>
        <w:tc>
          <w:tcPr>
            <w:tcW w:w="1049" w:type="dxa"/>
            <w:tcBorders/>
            <w:shd w:color="auto" w:fill="auto" w:val="clear"/>
          </w:tcPr>
          <w:p>
            <w:pPr>
              <w:pStyle w:val="Paragraph"/>
              <w:spacing w:before="0" w:after="0"/>
              <w:ind w:hanging="0"/>
              <w:rPr/>
            </w:pPr>
            <w:r>
              <w:rPr>
                <w:iCs/>
                <w:sz w:val="20"/>
                <w:szCs w:val="20"/>
              </w:rPr>
              <w:t>7.00</w:t>
            </w:r>
          </w:p>
        </w:tc>
        <w:tc>
          <w:tcPr>
            <w:tcW w:w="1050" w:type="dxa"/>
            <w:tcBorders/>
            <w:shd w:color="auto" w:fill="auto" w:val="clear"/>
          </w:tcPr>
          <w:p>
            <w:pPr>
              <w:pStyle w:val="Paragraph"/>
              <w:spacing w:before="0" w:after="0"/>
              <w:ind w:hanging="0"/>
              <w:rPr/>
            </w:pPr>
            <w:r>
              <w:rPr>
                <w:iCs/>
                <w:sz w:val="20"/>
                <w:szCs w:val="20"/>
              </w:rPr>
              <w:t>21.00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61.60</w:t>
            </w:r>
          </w:p>
        </w:tc>
        <w:tc>
          <w:tcPr>
            <w:tcW w:w="1049" w:type="dxa"/>
            <w:tcBorders/>
            <w:shd w:color="auto" w:fill="auto" w:val="clear"/>
          </w:tcPr>
          <w:p>
            <w:pPr>
              <w:pStyle w:val="Paragraph"/>
              <w:spacing w:before="0" w:after="0"/>
              <w:ind w:hanging="0"/>
              <w:rPr/>
            </w:pPr>
            <w:r>
              <w:rPr>
                <w:iCs/>
                <w:sz w:val="20"/>
                <w:szCs w:val="20"/>
              </w:rPr>
              <w:t>10.20</w:t>
            </w:r>
          </w:p>
        </w:tc>
        <w:tc>
          <w:tcPr>
            <w:tcW w:w="1050" w:type="dxa"/>
            <w:tcBorders/>
            <w:shd w:color="auto" w:fill="auto" w:val="clear"/>
          </w:tcPr>
          <w:p>
            <w:pPr>
              <w:pStyle w:val="Paragraph"/>
              <w:spacing w:before="0" w:after="0"/>
              <w:ind w:hanging="0"/>
              <w:rPr/>
            </w:pPr>
            <w:r>
              <w:rPr>
                <w:iCs/>
                <w:sz w:val="20"/>
                <w:szCs w:val="20"/>
              </w:rPr>
              <w:t>28.20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61.41(28)</w:t>
            </w:r>
          </w:p>
        </w:tc>
        <w:tc>
          <w:tcPr>
            <w:tcW w:w="1049" w:type="dxa"/>
            <w:tcBorders/>
            <w:shd w:color="auto" w:fill="auto" w:val="clear"/>
          </w:tcPr>
          <w:p>
            <w:pPr>
              <w:pStyle w:val="Paragraph"/>
              <w:spacing w:before="0" w:after="0"/>
              <w:ind w:hanging="0"/>
              <w:rPr/>
            </w:pPr>
            <w:r>
              <w:rPr>
                <w:iCs/>
                <w:sz w:val="20"/>
                <w:szCs w:val="20"/>
              </w:rPr>
              <w:t>10.17(24)</w:t>
            </w:r>
          </w:p>
        </w:tc>
        <w:tc>
          <w:tcPr>
            <w:tcW w:w="1050" w:type="dxa"/>
            <w:tcBorders/>
            <w:shd w:color="auto" w:fill="auto" w:val="clear"/>
          </w:tcPr>
          <w:p>
            <w:pPr>
              <w:pStyle w:val="Paragraph"/>
              <w:spacing w:before="0" w:after="0"/>
              <w:ind w:hanging="0"/>
              <w:rPr/>
            </w:pPr>
            <w:r>
              <w:rPr>
                <w:iCs/>
                <w:sz w:val="20"/>
                <w:szCs w:val="20"/>
              </w:rPr>
              <w:t>27.42(33)</w:t>
            </w:r>
          </w:p>
        </w:tc>
        <w:tc>
          <w:tcPr>
            <w:tcW w:w="1049" w:type="dxa"/>
            <w:tcBorders/>
            <w:shd w:color="auto" w:fill="auto" w:val="clear"/>
          </w:tcPr>
          <w:p>
            <w:pPr>
              <w:pStyle w:val="Paragraph"/>
              <w:spacing w:before="0" w:after="0"/>
              <w:ind w:hanging="0"/>
              <w:rPr/>
            </w:pPr>
            <w:r>
              <w:rPr>
                <w:iCs/>
                <w:sz w:val="20"/>
                <w:szCs w:val="20"/>
              </w:rPr>
              <w:t>0.00(2)</w:t>
            </w:r>
          </w:p>
        </w:tc>
        <w:tc>
          <w:tcPr>
            <w:tcW w:w="1516" w:type="dxa"/>
            <w:tcBorders/>
            <w:shd w:color="auto" w:fill="auto" w:val="clear"/>
          </w:tcPr>
          <w:p>
            <w:pPr>
              <w:pStyle w:val="Paragraph"/>
              <w:spacing w:before="0" w:after="0"/>
              <w:ind w:hanging="0"/>
              <w:rPr/>
            </w:pPr>
            <w:r>
              <w:rPr>
                <w:iCs/>
                <w:sz w:val="20"/>
                <w:szCs w:val="20"/>
              </w:rPr>
              <w:t>2.408(1)</w:t>
            </w:r>
          </w:p>
        </w:tc>
      </w:tr>
      <w:tr>
        <w:trPr/>
        <w:tc>
          <w:tcPr>
            <w:tcW w:w="1249" w:type="dxa"/>
            <w:tcBorders/>
            <w:shd w:color="auto" w:fill="auto" w:val="clear"/>
          </w:tcPr>
          <w:p>
            <w:pPr>
              <w:pStyle w:val="Paragraph"/>
              <w:spacing w:before="0" w:after="0"/>
              <w:ind w:hanging="0"/>
              <w:rPr/>
            </w:pPr>
            <w:r>
              <w:rPr>
                <w:iCs/>
                <w:sz w:val="20"/>
                <w:szCs w:val="20"/>
              </w:rPr>
              <w:t>KA65.09</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65.00</w:t>
            </w:r>
          </w:p>
        </w:tc>
        <w:tc>
          <w:tcPr>
            <w:tcW w:w="1049" w:type="dxa"/>
            <w:tcBorders/>
            <w:shd w:color="auto" w:fill="auto" w:val="clear"/>
          </w:tcPr>
          <w:p>
            <w:pPr>
              <w:pStyle w:val="Paragraph"/>
              <w:spacing w:before="0" w:after="0"/>
              <w:ind w:hanging="0"/>
              <w:rPr/>
            </w:pPr>
            <w:r>
              <w:rPr>
                <w:iCs/>
                <w:sz w:val="20"/>
                <w:szCs w:val="20"/>
              </w:rPr>
              <w:t>8.75</w:t>
            </w:r>
          </w:p>
        </w:tc>
        <w:tc>
          <w:tcPr>
            <w:tcW w:w="1050" w:type="dxa"/>
            <w:tcBorders/>
            <w:shd w:color="auto" w:fill="auto" w:val="clear"/>
          </w:tcPr>
          <w:p>
            <w:pPr>
              <w:pStyle w:val="Paragraph"/>
              <w:spacing w:before="0" w:after="0"/>
              <w:ind w:hanging="0"/>
              <w:rPr/>
            </w:pPr>
            <w:r>
              <w:rPr>
                <w:iCs/>
                <w:sz w:val="20"/>
                <w:szCs w:val="20"/>
              </w:rPr>
              <w:t>26.25</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53.70</w:t>
            </w:r>
          </w:p>
        </w:tc>
        <w:tc>
          <w:tcPr>
            <w:tcW w:w="1049" w:type="dxa"/>
            <w:tcBorders/>
            <w:shd w:color="auto" w:fill="auto" w:val="clear"/>
          </w:tcPr>
          <w:p>
            <w:pPr>
              <w:pStyle w:val="Paragraph"/>
              <w:spacing w:before="0" w:after="0"/>
              <w:ind w:hanging="0"/>
              <w:rPr/>
            </w:pPr>
            <w:r>
              <w:rPr>
                <w:iCs/>
                <w:sz w:val="20"/>
                <w:szCs w:val="20"/>
              </w:rPr>
              <w:t>12.30</w:t>
            </w:r>
          </w:p>
        </w:tc>
        <w:tc>
          <w:tcPr>
            <w:tcW w:w="1050" w:type="dxa"/>
            <w:tcBorders/>
            <w:shd w:color="auto" w:fill="auto" w:val="clear"/>
          </w:tcPr>
          <w:p>
            <w:pPr>
              <w:pStyle w:val="Paragraph"/>
              <w:spacing w:before="0" w:after="0"/>
              <w:ind w:hanging="0"/>
              <w:rPr/>
            </w:pPr>
            <w:r>
              <w:rPr>
                <w:iCs/>
                <w:sz w:val="20"/>
                <w:szCs w:val="20"/>
              </w:rPr>
              <w:t>34.00</w:t>
            </w:r>
          </w:p>
        </w:tc>
        <w:tc>
          <w:tcPr>
            <w:tcW w:w="1049" w:type="dxa"/>
            <w:tcBorders/>
            <w:shd w:color="auto" w:fill="auto" w:val="clear"/>
          </w:tcPr>
          <w:p>
            <w:pPr>
              <w:pStyle w:val="Paragraph"/>
              <w:spacing w:before="0" w:after="0"/>
              <w:ind w:hanging="0"/>
              <w:rPr/>
            </w:pPr>
            <w:r>
              <w:rPr>
                <w:iCs/>
                <w:sz w:val="20"/>
                <w:szCs w:val="20"/>
              </w:rPr>
              <w:t>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53.32(55)</w:t>
            </w:r>
          </w:p>
        </w:tc>
        <w:tc>
          <w:tcPr>
            <w:tcW w:w="1049" w:type="dxa"/>
            <w:tcBorders/>
            <w:shd w:color="auto" w:fill="auto" w:val="clear"/>
          </w:tcPr>
          <w:p>
            <w:pPr>
              <w:pStyle w:val="Paragraph"/>
              <w:spacing w:before="0" w:after="0"/>
              <w:ind w:hanging="0"/>
              <w:rPr/>
            </w:pPr>
            <w:r>
              <w:rPr>
                <w:iCs/>
                <w:sz w:val="20"/>
                <w:szCs w:val="20"/>
              </w:rPr>
              <w:t>12.49(43)</w:t>
            </w:r>
          </w:p>
        </w:tc>
        <w:tc>
          <w:tcPr>
            <w:tcW w:w="1050" w:type="dxa"/>
            <w:tcBorders/>
            <w:shd w:color="auto" w:fill="auto" w:val="clear"/>
          </w:tcPr>
          <w:p>
            <w:pPr>
              <w:pStyle w:val="Paragraph"/>
              <w:spacing w:before="0" w:after="0"/>
              <w:ind w:hanging="0"/>
              <w:rPr/>
            </w:pPr>
            <w:r>
              <w:rPr>
                <w:iCs/>
                <w:sz w:val="20"/>
                <w:szCs w:val="20"/>
              </w:rPr>
              <w:t>31.68(28)</w:t>
            </w:r>
          </w:p>
        </w:tc>
        <w:tc>
          <w:tcPr>
            <w:tcW w:w="1049" w:type="dxa"/>
            <w:tcBorders/>
            <w:shd w:color="auto" w:fill="auto" w:val="clear"/>
          </w:tcPr>
          <w:p>
            <w:pPr>
              <w:pStyle w:val="Paragraph"/>
              <w:spacing w:before="0" w:after="0"/>
              <w:ind w:hanging="0"/>
              <w:rPr/>
            </w:pPr>
            <w:r>
              <w:rPr>
                <w:iCs/>
                <w:sz w:val="20"/>
                <w:szCs w:val="20"/>
              </w:rPr>
              <w:t>0.00(3)</w:t>
            </w:r>
          </w:p>
        </w:tc>
        <w:tc>
          <w:tcPr>
            <w:tcW w:w="1516" w:type="dxa"/>
            <w:tcBorders/>
            <w:shd w:color="auto" w:fill="auto" w:val="clear"/>
          </w:tcPr>
          <w:p>
            <w:pPr>
              <w:pStyle w:val="Paragraph"/>
              <w:spacing w:before="0" w:after="0"/>
              <w:ind w:hanging="0"/>
              <w:rPr/>
            </w:pPr>
            <w:r>
              <w:rPr>
                <w:iCs/>
                <w:sz w:val="20"/>
                <w:szCs w:val="20"/>
              </w:rPr>
              <w:t>2.451(10)</w:t>
            </w:r>
          </w:p>
        </w:tc>
      </w:tr>
      <w:tr>
        <w:trPr/>
        <w:tc>
          <w:tcPr>
            <w:tcW w:w="1249" w:type="dxa"/>
            <w:tcBorders/>
            <w:shd w:color="auto" w:fill="auto" w:val="clear"/>
          </w:tcPr>
          <w:p>
            <w:pPr>
              <w:pStyle w:val="Paragraph"/>
              <w:spacing w:before="0" w:after="0"/>
              <w:ind w:hanging="0"/>
              <w:rPr/>
            </w:pPr>
            <w:r>
              <w:rPr>
                <w:iCs/>
                <w:sz w:val="20"/>
                <w:szCs w:val="20"/>
              </w:rPr>
              <w:t>NA65.09</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65.00</w:t>
            </w:r>
          </w:p>
        </w:tc>
        <w:tc>
          <w:tcPr>
            <w:tcW w:w="1049" w:type="dxa"/>
            <w:tcBorders/>
            <w:shd w:color="auto" w:fill="auto" w:val="clear"/>
          </w:tcPr>
          <w:p>
            <w:pPr>
              <w:pStyle w:val="Paragraph"/>
              <w:spacing w:before="0" w:after="0"/>
              <w:ind w:hanging="0"/>
              <w:rPr/>
            </w:pPr>
            <w:r>
              <w:rPr>
                <w:iCs/>
                <w:sz w:val="20"/>
                <w:szCs w:val="20"/>
              </w:rPr>
              <w:t>8.75</w:t>
            </w:r>
          </w:p>
        </w:tc>
        <w:tc>
          <w:tcPr>
            <w:tcW w:w="1050" w:type="dxa"/>
            <w:tcBorders/>
            <w:shd w:color="auto" w:fill="auto" w:val="clear"/>
          </w:tcPr>
          <w:p>
            <w:pPr>
              <w:pStyle w:val="Paragraph"/>
              <w:spacing w:before="0" w:after="0"/>
              <w:ind w:hanging="0"/>
              <w:rPr/>
            </w:pPr>
            <w:r>
              <w:rPr>
                <w:iCs/>
                <w:sz w:val="20"/>
                <w:szCs w:val="20"/>
              </w:rPr>
              <w:t>0.00</w:t>
            </w:r>
          </w:p>
        </w:tc>
        <w:tc>
          <w:tcPr>
            <w:tcW w:w="1049" w:type="dxa"/>
            <w:tcBorders/>
            <w:shd w:color="auto" w:fill="auto" w:val="clear"/>
          </w:tcPr>
          <w:p>
            <w:pPr>
              <w:pStyle w:val="Paragraph"/>
              <w:spacing w:before="0" w:after="0"/>
              <w:ind w:hanging="0"/>
              <w:rPr/>
            </w:pPr>
            <w:r>
              <w:rPr>
                <w:iCs/>
                <w:sz w:val="20"/>
                <w:szCs w:val="20"/>
              </w:rPr>
              <w:t>26.25</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60.79</w:t>
            </w:r>
          </w:p>
        </w:tc>
        <w:tc>
          <w:tcPr>
            <w:tcW w:w="1049" w:type="dxa"/>
            <w:tcBorders/>
            <w:shd w:color="auto" w:fill="auto" w:val="clear"/>
          </w:tcPr>
          <w:p>
            <w:pPr>
              <w:pStyle w:val="Paragraph"/>
              <w:spacing w:before="0" w:after="0"/>
              <w:ind w:hanging="0"/>
              <w:rPr/>
            </w:pPr>
            <w:r>
              <w:rPr>
                <w:iCs/>
                <w:sz w:val="20"/>
                <w:szCs w:val="20"/>
              </w:rPr>
              <w:t>13.89</w:t>
            </w:r>
          </w:p>
        </w:tc>
        <w:tc>
          <w:tcPr>
            <w:tcW w:w="1050" w:type="dxa"/>
            <w:tcBorders/>
            <w:shd w:color="auto" w:fill="auto" w:val="clear"/>
          </w:tcPr>
          <w:p>
            <w:pPr>
              <w:pStyle w:val="Paragraph"/>
              <w:spacing w:before="0" w:after="0"/>
              <w:ind w:hanging="0"/>
              <w:rPr/>
            </w:pPr>
            <w:r>
              <w:rPr>
                <w:iCs/>
                <w:sz w:val="20"/>
                <w:szCs w:val="20"/>
              </w:rPr>
              <w:t>0.00</w:t>
            </w:r>
          </w:p>
        </w:tc>
        <w:tc>
          <w:tcPr>
            <w:tcW w:w="1049" w:type="dxa"/>
            <w:tcBorders/>
            <w:shd w:color="auto" w:fill="auto" w:val="clear"/>
          </w:tcPr>
          <w:p>
            <w:pPr>
              <w:pStyle w:val="Paragraph"/>
              <w:spacing w:before="0" w:after="0"/>
              <w:ind w:hanging="0"/>
              <w:rPr/>
            </w:pPr>
            <w:r>
              <w:rPr>
                <w:iCs/>
                <w:sz w:val="20"/>
                <w:szCs w:val="20"/>
              </w:rPr>
              <w:t>25.32</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61.75(45)</w:t>
            </w:r>
          </w:p>
        </w:tc>
        <w:tc>
          <w:tcPr>
            <w:tcW w:w="1049" w:type="dxa"/>
            <w:tcBorders/>
            <w:shd w:color="auto" w:fill="auto" w:val="clear"/>
          </w:tcPr>
          <w:p>
            <w:pPr>
              <w:pStyle w:val="Paragraph"/>
              <w:spacing w:before="0" w:after="0"/>
              <w:ind w:hanging="0"/>
              <w:rPr/>
            </w:pPr>
            <w:r>
              <w:rPr>
                <w:iCs/>
                <w:sz w:val="20"/>
                <w:szCs w:val="20"/>
              </w:rPr>
              <w:t>13.67(24)</w:t>
            </w:r>
          </w:p>
        </w:tc>
        <w:tc>
          <w:tcPr>
            <w:tcW w:w="1050" w:type="dxa"/>
            <w:tcBorders/>
            <w:shd w:color="auto" w:fill="auto" w:val="clear"/>
          </w:tcPr>
          <w:p>
            <w:pPr>
              <w:pStyle w:val="Paragraph"/>
              <w:spacing w:before="0" w:after="0"/>
              <w:ind w:hanging="0"/>
              <w:rPr/>
            </w:pPr>
            <w:r>
              <w:rPr>
                <w:iCs/>
                <w:sz w:val="20"/>
                <w:szCs w:val="20"/>
              </w:rPr>
              <w:t>0.03(2)</w:t>
            </w:r>
          </w:p>
        </w:tc>
        <w:tc>
          <w:tcPr>
            <w:tcW w:w="1049" w:type="dxa"/>
            <w:tcBorders/>
            <w:shd w:color="auto" w:fill="auto" w:val="clear"/>
          </w:tcPr>
          <w:p>
            <w:pPr>
              <w:pStyle w:val="Paragraph"/>
              <w:spacing w:before="0" w:after="0"/>
              <w:ind w:hanging="0"/>
              <w:rPr/>
            </w:pPr>
            <w:r>
              <w:rPr>
                <w:iCs/>
                <w:sz w:val="20"/>
                <w:szCs w:val="20"/>
              </w:rPr>
              <w:t>24.56(73)</w:t>
            </w:r>
          </w:p>
        </w:tc>
        <w:tc>
          <w:tcPr>
            <w:tcW w:w="1516" w:type="dxa"/>
            <w:tcBorders/>
            <w:shd w:color="auto" w:fill="auto" w:val="clear"/>
          </w:tcPr>
          <w:p>
            <w:pPr>
              <w:pStyle w:val="Paragraph"/>
              <w:spacing w:before="0" w:after="0"/>
              <w:ind w:hanging="0"/>
              <w:rPr/>
            </w:pPr>
            <w:r>
              <w:rPr>
                <w:iCs/>
                <w:sz w:val="20"/>
                <w:szCs w:val="20"/>
              </w:rPr>
              <w:t>2.472(4)</w:t>
            </w:r>
          </w:p>
        </w:tc>
      </w:tr>
      <w:tr>
        <w:trPr/>
        <w:tc>
          <w:tcPr>
            <w:tcW w:w="1249" w:type="dxa"/>
            <w:tcBorders/>
            <w:shd w:color="auto" w:fill="auto" w:val="clear"/>
          </w:tcPr>
          <w:p>
            <w:pPr>
              <w:pStyle w:val="Paragraph"/>
              <w:spacing w:before="0" w:after="0"/>
              <w:ind w:hanging="0"/>
              <w:rPr/>
            </w:pPr>
            <w:r>
              <w:rPr>
                <w:iCs/>
                <w:sz w:val="20"/>
                <w:szCs w:val="20"/>
              </w:rPr>
              <w:t>NA58.10</w:t>
            </w:r>
          </w:p>
        </w:tc>
        <w:tc>
          <w:tcPr>
            <w:tcW w:w="1201" w:type="dxa"/>
            <w:tcBorders/>
            <w:shd w:color="auto" w:fill="auto" w:val="clear"/>
          </w:tcPr>
          <w:p>
            <w:pPr>
              <w:pStyle w:val="Paragraph"/>
              <w:spacing w:before="0" w:after="0"/>
              <w:ind w:hanging="0"/>
              <w:rPr/>
            </w:pPr>
            <w:r>
              <w:rPr>
                <w:iCs/>
                <w:sz w:val="20"/>
                <w:szCs w:val="20"/>
              </w:rPr>
              <w:t>nom. mol%</w:t>
            </w:r>
          </w:p>
        </w:tc>
        <w:tc>
          <w:tcPr>
            <w:tcW w:w="1049" w:type="dxa"/>
            <w:tcBorders/>
            <w:shd w:color="auto" w:fill="auto" w:val="clear"/>
          </w:tcPr>
          <w:p>
            <w:pPr>
              <w:pStyle w:val="Paragraph"/>
              <w:spacing w:before="0" w:after="0"/>
              <w:ind w:hanging="0"/>
              <w:rPr/>
            </w:pPr>
            <w:r>
              <w:rPr>
                <w:iCs/>
                <w:sz w:val="20"/>
                <w:szCs w:val="20"/>
              </w:rPr>
              <w:t>58.00</w:t>
            </w:r>
          </w:p>
        </w:tc>
        <w:tc>
          <w:tcPr>
            <w:tcW w:w="1049" w:type="dxa"/>
            <w:tcBorders/>
            <w:shd w:color="auto" w:fill="auto" w:val="clear"/>
          </w:tcPr>
          <w:p>
            <w:pPr>
              <w:pStyle w:val="Paragraph"/>
              <w:spacing w:before="0" w:after="0"/>
              <w:ind w:hanging="0"/>
              <w:rPr/>
            </w:pPr>
            <w:r>
              <w:rPr>
                <w:iCs/>
                <w:sz w:val="20"/>
                <w:szCs w:val="20"/>
              </w:rPr>
              <w:t>10.50</w:t>
            </w:r>
          </w:p>
        </w:tc>
        <w:tc>
          <w:tcPr>
            <w:tcW w:w="1050" w:type="dxa"/>
            <w:tcBorders/>
            <w:shd w:color="auto" w:fill="auto" w:val="clear"/>
          </w:tcPr>
          <w:p>
            <w:pPr>
              <w:pStyle w:val="Paragraph"/>
              <w:spacing w:before="0" w:after="0"/>
              <w:ind w:hanging="0"/>
              <w:rPr/>
            </w:pPr>
            <w:r>
              <w:rPr>
                <w:iCs/>
                <w:sz w:val="20"/>
                <w:szCs w:val="20"/>
              </w:rPr>
              <w:t>0.00</w:t>
            </w:r>
          </w:p>
        </w:tc>
        <w:tc>
          <w:tcPr>
            <w:tcW w:w="1049" w:type="dxa"/>
            <w:tcBorders/>
            <w:shd w:color="auto" w:fill="auto" w:val="clear"/>
          </w:tcPr>
          <w:p>
            <w:pPr>
              <w:pStyle w:val="Paragraph"/>
              <w:spacing w:before="0" w:after="0"/>
              <w:ind w:hanging="0"/>
              <w:rPr/>
            </w:pPr>
            <w:r>
              <w:rPr>
                <w:iCs/>
                <w:sz w:val="20"/>
                <w:szCs w:val="20"/>
              </w:rPr>
              <w:t>31.50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nom. wt%</w:t>
            </w:r>
          </w:p>
        </w:tc>
        <w:tc>
          <w:tcPr>
            <w:tcW w:w="1049" w:type="dxa"/>
            <w:tcBorders/>
            <w:shd w:color="auto" w:fill="auto" w:val="clear"/>
          </w:tcPr>
          <w:p>
            <w:pPr>
              <w:pStyle w:val="Paragraph"/>
              <w:spacing w:before="0" w:after="0"/>
              <w:ind w:hanging="0"/>
              <w:rPr/>
            </w:pPr>
            <w:r>
              <w:rPr>
                <w:iCs/>
                <w:sz w:val="20"/>
                <w:szCs w:val="20"/>
              </w:rPr>
              <w:t>53.55</w:t>
            </w:r>
          </w:p>
        </w:tc>
        <w:tc>
          <w:tcPr>
            <w:tcW w:w="1049" w:type="dxa"/>
            <w:tcBorders/>
            <w:shd w:color="auto" w:fill="auto" w:val="clear"/>
          </w:tcPr>
          <w:p>
            <w:pPr>
              <w:pStyle w:val="Paragraph"/>
              <w:spacing w:before="0" w:after="0"/>
              <w:ind w:hanging="0"/>
              <w:rPr/>
            </w:pPr>
            <w:r>
              <w:rPr>
                <w:iCs/>
                <w:sz w:val="20"/>
                <w:szCs w:val="20"/>
              </w:rPr>
              <w:t>16.45</w:t>
            </w:r>
          </w:p>
        </w:tc>
        <w:tc>
          <w:tcPr>
            <w:tcW w:w="1050" w:type="dxa"/>
            <w:tcBorders/>
            <w:shd w:color="auto" w:fill="auto" w:val="clear"/>
          </w:tcPr>
          <w:p>
            <w:pPr>
              <w:pStyle w:val="Paragraph"/>
              <w:spacing w:before="0" w:after="0"/>
              <w:ind w:hanging="0"/>
              <w:rPr/>
            </w:pPr>
            <w:r>
              <w:rPr>
                <w:iCs/>
                <w:sz w:val="20"/>
                <w:szCs w:val="20"/>
              </w:rPr>
              <w:t>0.00</w:t>
            </w:r>
          </w:p>
        </w:tc>
        <w:tc>
          <w:tcPr>
            <w:tcW w:w="1049" w:type="dxa"/>
            <w:tcBorders/>
            <w:shd w:color="auto" w:fill="auto" w:val="clear"/>
          </w:tcPr>
          <w:p>
            <w:pPr>
              <w:pStyle w:val="Paragraph"/>
              <w:spacing w:before="0" w:after="0"/>
              <w:ind w:hanging="0"/>
              <w:rPr/>
            </w:pPr>
            <w:r>
              <w:rPr>
                <w:iCs/>
                <w:sz w:val="20"/>
                <w:szCs w:val="20"/>
              </w:rPr>
              <w:t>30.00</w:t>
            </w:r>
          </w:p>
        </w:tc>
        <w:tc>
          <w:tcPr>
            <w:tcW w:w="1516" w:type="dxa"/>
            <w:tcBorders/>
            <w:shd w:color="auto" w:fill="auto" w:val="clear"/>
          </w:tcPr>
          <w:p>
            <w:pPr>
              <w:pStyle w:val="Paragraph"/>
              <w:spacing w:before="0" w:after="0"/>
              <w:ind w:hanging="0"/>
              <w:rPr>
                <w:iCs/>
                <w:sz w:val="20"/>
                <w:szCs w:val="20"/>
              </w:rPr>
            </w:pPr>
            <w:r>
              <w:rPr>
                <w:iCs/>
                <w:sz w:val="20"/>
                <w:szCs w:val="20"/>
              </w:rPr>
            </w:r>
          </w:p>
        </w:tc>
      </w:tr>
      <w:tr>
        <w:trPr/>
        <w:tc>
          <w:tcPr>
            <w:tcW w:w="1249" w:type="dxa"/>
            <w:tcBorders/>
            <w:shd w:color="auto" w:fill="auto" w:val="clear"/>
          </w:tcPr>
          <w:p>
            <w:pPr>
              <w:pStyle w:val="Paragraph"/>
              <w:spacing w:before="0" w:after="0"/>
              <w:ind w:hanging="0"/>
              <w:rPr>
                <w:iCs/>
                <w:sz w:val="20"/>
                <w:szCs w:val="20"/>
              </w:rPr>
            </w:pPr>
            <w:r>
              <w:rPr>
                <w:iCs/>
                <w:sz w:val="20"/>
                <w:szCs w:val="20"/>
              </w:rPr>
            </w:r>
          </w:p>
        </w:tc>
        <w:tc>
          <w:tcPr>
            <w:tcW w:w="1201" w:type="dxa"/>
            <w:tcBorders/>
            <w:shd w:color="auto" w:fill="auto" w:val="clear"/>
          </w:tcPr>
          <w:p>
            <w:pPr>
              <w:pStyle w:val="Paragraph"/>
              <w:spacing w:before="0" w:after="0"/>
              <w:ind w:hanging="0"/>
              <w:rPr/>
            </w:pPr>
            <w:r>
              <w:rPr>
                <w:iCs/>
                <w:sz w:val="20"/>
                <w:szCs w:val="20"/>
              </w:rPr>
              <w:t>an. wt%</w:t>
            </w:r>
          </w:p>
        </w:tc>
        <w:tc>
          <w:tcPr>
            <w:tcW w:w="1049" w:type="dxa"/>
            <w:tcBorders/>
            <w:shd w:color="auto" w:fill="auto" w:val="clear"/>
          </w:tcPr>
          <w:p>
            <w:pPr>
              <w:pStyle w:val="Paragraph"/>
              <w:spacing w:before="0" w:after="0"/>
              <w:ind w:hanging="0"/>
              <w:rPr/>
            </w:pPr>
            <w:r>
              <w:rPr>
                <w:iCs/>
                <w:sz w:val="20"/>
                <w:szCs w:val="20"/>
              </w:rPr>
              <w:t>54.61(28)</w:t>
            </w:r>
          </w:p>
        </w:tc>
        <w:tc>
          <w:tcPr>
            <w:tcW w:w="1049" w:type="dxa"/>
            <w:tcBorders/>
            <w:shd w:color="auto" w:fill="auto" w:val="clear"/>
          </w:tcPr>
          <w:p>
            <w:pPr>
              <w:pStyle w:val="Paragraph"/>
              <w:spacing w:before="0" w:after="0"/>
              <w:ind w:hanging="0"/>
              <w:rPr/>
            </w:pPr>
            <w:r>
              <w:rPr>
                <w:iCs/>
                <w:sz w:val="20"/>
                <w:szCs w:val="20"/>
              </w:rPr>
              <w:t>16.42(18)</w:t>
            </w:r>
          </w:p>
        </w:tc>
        <w:tc>
          <w:tcPr>
            <w:tcW w:w="1050" w:type="dxa"/>
            <w:tcBorders/>
            <w:shd w:color="auto" w:fill="auto" w:val="clear"/>
          </w:tcPr>
          <w:p>
            <w:pPr>
              <w:pStyle w:val="Paragraph"/>
              <w:spacing w:before="0" w:after="0"/>
              <w:ind w:hanging="0"/>
              <w:rPr/>
            </w:pPr>
            <w:r>
              <w:rPr>
                <w:iCs/>
                <w:sz w:val="20"/>
                <w:szCs w:val="20"/>
              </w:rPr>
              <w:t>0.05(2)</w:t>
            </w:r>
          </w:p>
        </w:tc>
        <w:tc>
          <w:tcPr>
            <w:tcW w:w="1049" w:type="dxa"/>
            <w:tcBorders/>
            <w:shd w:color="auto" w:fill="auto" w:val="clear"/>
          </w:tcPr>
          <w:p>
            <w:pPr>
              <w:pStyle w:val="Paragraph"/>
              <w:spacing w:before="0" w:after="0"/>
              <w:ind w:hanging="0"/>
              <w:rPr/>
            </w:pPr>
            <w:r>
              <w:rPr>
                <w:iCs/>
                <w:sz w:val="20"/>
                <w:szCs w:val="20"/>
              </w:rPr>
              <w:t>28.92(37)</w:t>
            </w:r>
          </w:p>
        </w:tc>
        <w:tc>
          <w:tcPr>
            <w:tcW w:w="1516" w:type="dxa"/>
            <w:tcBorders/>
            <w:shd w:color="auto" w:fill="auto" w:val="clear"/>
          </w:tcPr>
          <w:p>
            <w:pPr>
              <w:pStyle w:val="Paragraph"/>
              <w:spacing w:before="0" w:after="0"/>
              <w:ind w:hanging="0"/>
              <w:rPr/>
            </w:pPr>
            <w:r>
              <w:rPr>
                <w:iCs/>
                <w:sz w:val="20"/>
                <w:szCs w:val="20"/>
              </w:rPr>
              <w:t>2.502(5)</w:t>
            </w:r>
          </w:p>
        </w:tc>
      </w:tr>
    </w:tbl>
    <w:p>
      <w:pPr>
        <w:pStyle w:val="Paragraph"/>
        <w:spacing w:before="0" w:after="0"/>
        <w:ind w:left="720" w:hanging="0"/>
        <w:rPr>
          <w:iCs/>
        </w:rPr>
      </w:pPr>
      <w:r>
        <w:rPr>
          <w:iCs/>
        </w:rPr>
      </w:r>
    </w:p>
    <w:p>
      <w:pPr>
        <w:pStyle w:val="Paragraph"/>
        <w:spacing w:before="0" w:after="0"/>
        <w:ind w:hanging="0"/>
        <w:rPr/>
      </w:pPr>
      <w:r>
        <w:rPr>
          <w:b/>
          <w:iCs/>
        </w:rPr>
        <w:t>Table S1. Composition of the synthesized glasses.</w:t>
      </w:r>
      <w:r>
        <w:rPr>
          <w:iCs/>
        </w:rPr>
        <w:t xml:space="preserve"> Nominal (nom.) and analyzed (an.) compositions are reported. Standard deviations on measured values on 10 different spots (for EPMA measurements) or glass chips (for density measurements) are given in parenthesis (1 sigma confidence interval).</w:t>
      </w:r>
    </w:p>
    <w:p>
      <w:pPr>
        <w:pStyle w:val="SMHeading"/>
        <w:rPr/>
      </w:pPr>
      <w:r>
        <w:rPr/>
      </w:r>
      <w:r>
        <w:br w:type="page"/>
      </w:r>
    </w:p>
    <w:p>
      <w:pPr>
        <w:pStyle w:val="SMHeading"/>
        <w:rPr/>
      </w:pPr>
      <w:r>
        <w:rPr/>
      </w:r>
    </w:p>
    <w:p>
      <w:pPr>
        <w:pStyle w:val="Paragraph"/>
        <w:spacing w:before="0" w:after="0"/>
        <w:ind w:left="720" w:hanging="0"/>
        <w:rPr>
          <w:iCs/>
        </w:rPr>
      </w:pPr>
      <w:r>
        <w:rPr>
          <w:iCs/>
        </w:rPr>
      </w:r>
    </w:p>
    <w:tbl>
      <w:tblPr>
        <w:tblW w:w="8748" w:type="dxa"/>
        <w:jc w:val="left"/>
        <w:tblInd w:w="-27" w:type="dxa"/>
        <w:tblCellMar>
          <w:top w:w="0" w:type="dxa"/>
          <w:left w:w="138" w:type="dxa"/>
          <w:bottom w:w="0" w:type="dxa"/>
          <w:right w:w="108" w:type="dxa"/>
        </w:tblCellMar>
        <w:tblLook w:val="04a0" w:noVBand="1" w:noHBand="0" w:lastColumn="0" w:firstColumn="1" w:lastRow="0" w:firstRow="1"/>
      </w:tblPr>
      <w:tblGrid>
        <w:gridCol w:w="817"/>
        <w:gridCol w:w="1018"/>
        <w:gridCol w:w="717"/>
        <w:gridCol w:w="1018"/>
        <w:gridCol w:w="720"/>
        <w:gridCol w:w="1020"/>
        <w:gridCol w:w="719"/>
        <w:gridCol w:w="1007"/>
        <w:gridCol w:w="719"/>
        <w:gridCol w:w="992"/>
      </w:tblGrid>
      <w:tr>
        <w:trPr/>
        <w:tc>
          <w:tcPr>
            <w:tcW w:w="817" w:type="dxa"/>
            <w:tcBorders/>
            <w:shd w:color="auto" w:fill="auto" w:val="clear"/>
          </w:tcPr>
          <w:p>
            <w:pPr>
              <w:pStyle w:val="Paragraph"/>
              <w:spacing w:before="0" w:after="0"/>
              <w:ind w:hanging="0"/>
              <w:rPr/>
            </w:pPr>
            <w:r>
              <w:rPr>
                <w:b/>
                <w:iCs/>
                <w:sz w:val="20"/>
                <w:szCs w:val="20"/>
              </w:rPr>
              <w:t>T, K</w:t>
            </w:r>
          </w:p>
        </w:tc>
        <w:tc>
          <w:tcPr>
            <w:tcW w:w="1018" w:type="dxa"/>
            <w:tcBorders/>
            <w:shd w:color="auto" w:fill="auto" w:val="clear"/>
          </w:tcPr>
          <w:p>
            <w:pPr>
              <w:pStyle w:val="Paragraph"/>
              <w:spacing w:before="0" w:after="0"/>
              <w:ind w:hanging="0"/>
              <w:rPr/>
            </w:pPr>
            <w:r>
              <w:rPr>
                <w:b/>
                <w:iCs/>
                <w:sz w:val="20"/>
                <w:szCs w:val="20"/>
              </w:rPr>
              <w:t>KA80.05</w:t>
            </w:r>
          </w:p>
        </w:tc>
        <w:tc>
          <w:tcPr>
            <w:tcW w:w="717" w:type="dxa"/>
            <w:tcBorders/>
            <w:shd w:color="auto" w:fill="auto" w:val="clear"/>
          </w:tcPr>
          <w:p>
            <w:pPr>
              <w:pStyle w:val="Paragraph"/>
              <w:spacing w:before="0" w:after="0"/>
              <w:ind w:hanging="0"/>
              <w:rPr/>
            </w:pPr>
            <w:r>
              <w:rPr>
                <w:b/>
                <w:iCs/>
                <w:sz w:val="20"/>
                <w:szCs w:val="20"/>
              </w:rPr>
              <w:t>T, K</w:t>
            </w:r>
          </w:p>
        </w:tc>
        <w:tc>
          <w:tcPr>
            <w:tcW w:w="1018" w:type="dxa"/>
            <w:tcBorders/>
            <w:shd w:color="auto" w:fill="auto" w:val="clear"/>
          </w:tcPr>
          <w:p>
            <w:pPr>
              <w:pStyle w:val="Paragraph"/>
              <w:spacing w:before="0" w:after="0"/>
              <w:ind w:hanging="0"/>
              <w:rPr/>
            </w:pPr>
            <w:r>
              <w:rPr>
                <w:b/>
                <w:iCs/>
                <w:sz w:val="20"/>
                <w:szCs w:val="20"/>
              </w:rPr>
              <w:t>KA72.07</w:t>
            </w:r>
          </w:p>
        </w:tc>
        <w:tc>
          <w:tcPr>
            <w:tcW w:w="720" w:type="dxa"/>
            <w:tcBorders/>
            <w:shd w:color="auto" w:fill="auto" w:val="clear"/>
          </w:tcPr>
          <w:p>
            <w:pPr>
              <w:pStyle w:val="Paragraph"/>
              <w:spacing w:before="0" w:after="0"/>
              <w:ind w:hanging="0"/>
              <w:rPr/>
            </w:pPr>
            <w:r>
              <w:rPr>
                <w:b/>
                <w:iCs/>
                <w:sz w:val="20"/>
                <w:szCs w:val="20"/>
              </w:rPr>
              <w:t>T, K</w:t>
            </w:r>
          </w:p>
        </w:tc>
        <w:tc>
          <w:tcPr>
            <w:tcW w:w="1020" w:type="dxa"/>
            <w:tcBorders/>
            <w:shd w:color="auto" w:fill="auto" w:val="clear"/>
          </w:tcPr>
          <w:p>
            <w:pPr>
              <w:pStyle w:val="Paragraph"/>
              <w:spacing w:before="0" w:after="0"/>
              <w:ind w:hanging="0"/>
              <w:rPr/>
            </w:pPr>
            <w:r>
              <w:rPr>
                <w:b/>
                <w:iCs/>
                <w:sz w:val="20"/>
                <w:szCs w:val="20"/>
              </w:rPr>
              <w:t>KA65.09</w:t>
            </w:r>
          </w:p>
        </w:tc>
        <w:tc>
          <w:tcPr>
            <w:tcW w:w="719" w:type="dxa"/>
            <w:tcBorders/>
            <w:shd w:color="auto" w:fill="auto" w:val="clear"/>
          </w:tcPr>
          <w:p>
            <w:pPr>
              <w:pStyle w:val="Paragraph"/>
              <w:spacing w:before="0" w:after="0"/>
              <w:ind w:hanging="0"/>
              <w:rPr/>
            </w:pPr>
            <w:r>
              <w:rPr>
                <w:b/>
                <w:iCs/>
                <w:sz w:val="20"/>
                <w:szCs w:val="20"/>
              </w:rPr>
              <w:t>T, K</w:t>
            </w:r>
          </w:p>
        </w:tc>
        <w:tc>
          <w:tcPr>
            <w:tcW w:w="1007" w:type="dxa"/>
            <w:tcBorders/>
            <w:shd w:color="auto" w:fill="auto" w:val="clear"/>
          </w:tcPr>
          <w:p>
            <w:pPr>
              <w:pStyle w:val="Paragraph"/>
              <w:spacing w:before="0" w:after="0"/>
              <w:ind w:hanging="0"/>
              <w:rPr/>
            </w:pPr>
            <w:r>
              <w:rPr>
                <w:b/>
                <w:iCs/>
                <w:sz w:val="20"/>
                <w:szCs w:val="20"/>
              </w:rPr>
              <w:t>NA65.09</w:t>
            </w:r>
          </w:p>
        </w:tc>
        <w:tc>
          <w:tcPr>
            <w:tcW w:w="719" w:type="dxa"/>
            <w:tcBorders/>
            <w:shd w:color="auto" w:fill="auto" w:val="clear"/>
          </w:tcPr>
          <w:p>
            <w:pPr>
              <w:pStyle w:val="Paragraph"/>
              <w:spacing w:before="0" w:after="0"/>
              <w:ind w:hanging="0"/>
              <w:rPr/>
            </w:pPr>
            <w:r>
              <w:rPr>
                <w:b/>
                <w:iCs/>
                <w:sz w:val="20"/>
                <w:szCs w:val="20"/>
              </w:rPr>
              <w:t>T, K</w:t>
            </w:r>
          </w:p>
        </w:tc>
        <w:tc>
          <w:tcPr>
            <w:tcW w:w="992" w:type="dxa"/>
            <w:tcBorders/>
            <w:shd w:color="auto" w:fill="auto" w:val="clear"/>
          </w:tcPr>
          <w:p>
            <w:pPr>
              <w:pStyle w:val="Paragraph"/>
              <w:spacing w:before="0" w:after="0"/>
              <w:ind w:hanging="0"/>
              <w:rPr/>
            </w:pPr>
            <w:r>
              <w:rPr>
                <w:b/>
                <w:iCs/>
                <w:sz w:val="20"/>
                <w:szCs w:val="20"/>
              </w:rPr>
              <w:t>NA58.10</w:t>
            </w:r>
          </w:p>
        </w:tc>
      </w:tr>
      <w:tr>
        <w:trPr/>
        <w:tc>
          <w:tcPr>
            <w:tcW w:w="817" w:type="dxa"/>
            <w:tcBorders/>
            <w:shd w:color="auto" w:fill="auto" w:val="clear"/>
          </w:tcPr>
          <w:p>
            <w:pPr>
              <w:pStyle w:val="Paragraph"/>
              <w:spacing w:before="0" w:after="0"/>
              <w:ind w:hanging="0"/>
              <w:rPr/>
            </w:pPr>
            <w:r>
              <w:rPr>
                <w:iCs/>
                <w:sz w:val="20"/>
                <w:szCs w:val="20"/>
              </w:rPr>
              <w:t>1013.1</w:t>
            </w:r>
          </w:p>
        </w:tc>
        <w:tc>
          <w:tcPr>
            <w:tcW w:w="1018" w:type="dxa"/>
            <w:tcBorders/>
            <w:shd w:color="auto" w:fill="auto" w:val="clear"/>
          </w:tcPr>
          <w:p>
            <w:pPr>
              <w:pStyle w:val="Paragraph"/>
              <w:spacing w:before="0" w:after="0"/>
              <w:ind w:hanging="0"/>
              <w:rPr/>
            </w:pPr>
            <w:r>
              <w:rPr>
                <w:iCs/>
                <w:sz w:val="20"/>
                <w:szCs w:val="20"/>
              </w:rPr>
              <w:t>9.10</w:t>
            </w:r>
          </w:p>
        </w:tc>
        <w:tc>
          <w:tcPr>
            <w:tcW w:w="717" w:type="dxa"/>
            <w:tcBorders/>
            <w:shd w:color="auto" w:fill="auto" w:val="clear"/>
          </w:tcPr>
          <w:p>
            <w:pPr>
              <w:pStyle w:val="Paragraph"/>
              <w:spacing w:before="0" w:after="0"/>
              <w:ind w:hanging="0"/>
              <w:rPr/>
            </w:pPr>
            <w:r>
              <w:rPr>
                <w:iCs/>
                <w:sz w:val="20"/>
                <w:szCs w:val="20"/>
              </w:rPr>
              <w:t>921.5</w:t>
            </w:r>
          </w:p>
        </w:tc>
        <w:tc>
          <w:tcPr>
            <w:tcW w:w="1018" w:type="dxa"/>
            <w:tcBorders/>
            <w:shd w:color="auto" w:fill="auto" w:val="clear"/>
          </w:tcPr>
          <w:p>
            <w:pPr>
              <w:pStyle w:val="Paragraph"/>
              <w:spacing w:before="0" w:after="0"/>
              <w:ind w:hanging="0"/>
              <w:rPr/>
            </w:pPr>
            <w:r>
              <w:rPr>
                <w:iCs/>
                <w:sz w:val="20"/>
                <w:szCs w:val="20"/>
              </w:rPr>
              <w:t>9.37</w:t>
            </w:r>
          </w:p>
        </w:tc>
        <w:tc>
          <w:tcPr>
            <w:tcW w:w="720" w:type="dxa"/>
            <w:tcBorders/>
            <w:shd w:color="auto" w:fill="auto" w:val="clear"/>
          </w:tcPr>
          <w:p>
            <w:pPr>
              <w:pStyle w:val="Paragraph"/>
              <w:spacing w:before="0" w:after="0"/>
              <w:ind w:hanging="0"/>
              <w:rPr/>
            </w:pPr>
            <w:r>
              <w:rPr>
                <w:iCs/>
                <w:sz w:val="20"/>
                <w:szCs w:val="20"/>
              </w:rPr>
              <w:t>941.3</w:t>
            </w:r>
          </w:p>
        </w:tc>
        <w:tc>
          <w:tcPr>
            <w:tcW w:w="1020" w:type="dxa"/>
            <w:tcBorders/>
            <w:shd w:color="auto" w:fill="auto" w:val="clear"/>
          </w:tcPr>
          <w:p>
            <w:pPr>
              <w:pStyle w:val="Paragraph"/>
              <w:spacing w:before="0" w:after="0"/>
              <w:ind w:hanging="0"/>
              <w:rPr/>
            </w:pPr>
            <w:r>
              <w:rPr>
                <w:iCs/>
                <w:sz w:val="20"/>
                <w:szCs w:val="20"/>
              </w:rPr>
              <w:t>9.55</w:t>
            </w:r>
          </w:p>
        </w:tc>
        <w:tc>
          <w:tcPr>
            <w:tcW w:w="719" w:type="dxa"/>
            <w:tcBorders/>
            <w:shd w:color="auto" w:fill="auto" w:val="clear"/>
          </w:tcPr>
          <w:p>
            <w:pPr>
              <w:pStyle w:val="Paragraph"/>
              <w:spacing w:before="0" w:after="0"/>
              <w:ind w:hanging="0"/>
              <w:rPr/>
            </w:pPr>
            <w:r>
              <w:rPr>
                <w:iCs/>
                <w:sz w:val="20"/>
                <w:szCs w:val="20"/>
              </w:rPr>
              <w:t>834.0</w:t>
            </w:r>
          </w:p>
        </w:tc>
        <w:tc>
          <w:tcPr>
            <w:tcW w:w="1007" w:type="dxa"/>
            <w:tcBorders/>
            <w:shd w:color="auto" w:fill="auto" w:val="clear"/>
          </w:tcPr>
          <w:p>
            <w:pPr>
              <w:pStyle w:val="Paragraph"/>
              <w:spacing w:before="0" w:after="0"/>
              <w:ind w:hanging="0"/>
              <w:rPr/>
            </w:pPr>
            <w:r>
              <w:rPr>
                <w:iCs/>
                <w:sz w:val="20"/>
                <w:szCs w:val="20"/>
              </w:rPr>
              <w:t>9.01</w:t>
            </w:r>
          </w:p>
        </w:tc>
        <w:tc>
          <w:tcPr>
            <w:tcW w:w="719" w:type="dxa"/>
            <w:tcBorders/>
            <w:shd w:color="auto" w:fill="auto" w:val="clear"/>
          </w:tcPr>
          <w:p>
            <w:pPr>
              <w:pStyle w:val="Paragraph"/>
              <w:spacing w:before="0" w:after="0"/>
              <w:ind w:hanging="0"/>
              <w:rPr/>
            </w:pPr>
            <w:r>
              <w:rPr>
                <w:iCs/>
                <w:sz w:val="20"/>
                <w:szCs w:val="20"/>
              </w:rPr>
              <w:t>827.3</w:t>
            </w:r>
          </w:p>
        </w:tc>
        <w:tc>
          <w:tcPr>
            <w:tcW w:w="992" w:type="dxa"/>
            <w:tcBorders/>
            <w:shd w:color="auto" w:fill="auto" w:val="clear"/>
          </w:tcPr>
          <w:p>
            <w:pPr>
              <w:pStyle w:val="Paragraph"/>
              <w:spacing w:before="0" w:after="0"/>
              <w:ind w:hanging="0"/>
              <w:rPr/>
            </w:pPr>
            <w:r>
              <w:rPr>
                <w:iCs/>
                <w:sz w:val="20"/>
                <w:szCs w:val="20"/>
              </w:rPr>
              <w:t>10.10</w:t>
            </w:r>
          </w:p>
        </w:tc>
      </w:tr>
      <w:tr>
        <w:trPr/>
        <w:tc>
          <w:tcPr>
            <w:tcW w:w="817" w:type="dxa"/>
            <w:tcBorders/>
            <w:shd w:color="auto" w:fill="auto" w:val="clear"/>
          </w:tcPr>
          <w:p>
            <w:pPr>
              <w:pStyle w:val="Paragraph"/>
              <w:spacing w:before="0" w:after="0"/>
              <w:ind w:hanging="0"/>
              <w:rPr/>
            </w:pPr>
            <w:r>
              <w:rPr>
                <w:iCs/>
                <w:sz w:val="20"/>
                <w:szCs w:val="20"/>
              </w:rPr>
              <w:t>1001.8</w:t>
            </w:r>
          </w:p>
        </w:tc>
        <w:tc>
          <w:tcPr>
            <w:tcW w:w="1018" w:type="dxa"/>
            <w:tcBorders/>
            <w:shd w:color="auto" w:fill="auto" w:val="clear"/>
          </w:tcPr>
          <w:p>
            <w:pPr>
              <w:pStyle w:val="Paragraph"/>
              <w:spacing w:before="0" w:after="0"/>
              <w:ind w:hanging="0"/>
              <w:rPr/>
            </w:pPr>
            <w:r>
              <w:rPr>
                <w:iCs/>
                <w:sz w:val="20"/>
                <w:szCs w:val="20"/>
              </w:rPr>
              <w:t>9.32</w:t>
            </w:r>
          </w:p>
        </w:tc>
        <w:tc>
          <w:tcPr>
            <w:tcW w:w="717" w:type="dxa"/>
            <w:tcBorders/>
            <w:shd w:color="auto" w:fill="auto" w:val="clear"/>
          </w:tcPr>
          <w:p>
            <w:pPr>
              <w:pStyle w:val="Paragraph"/>
              <w:spacing w:before="0" w:after="0"/>
              <w:ind w:hanging="0"/>
              <w:rPr/>
            </w:pPr>
            <w:r>
              <w:rPr>
                <w:iCs/>
                <w:sz w:val="20"/>
                <w:szCs w:val="20"/>
              </w:rPr>
              <w:t>891.0</w:t>
            </w:r>
          </w:p>
        </w:tc>
        <w:tc>
          <w:tcPr>
            <w:tcW w:w="1018" w:type="dxa"/>
            <w:tcBorders/>
            <w:shd w:color="auto" w:fill="auto" w:val="clear"/>
          </w:tcPr>
          <w:p>
            <w:pPr>
              <w:pStyle w:val="Paragraph"/>
              <w:spacing w:before="0" w:after="0"/>
              <w:ind w:hanging="0"/>
              <w:rPr/>
            </w:pPr>
            <w:r>
              <w:rPr>
                <w:iCs/>
                <w:sz w:val="20"/>
                <w:szCs w:val="20"/>
              </w:rPr>
              <w:t>10.17</w:t>
            </w:r>
          </w:p>
        </w:tc>
        <w:tc>
          <w:tcPr>
            <w:tcW w:w="720" w:type="dxa"/>
            <w:tcBorders/>
            <w:shd w:color="auto" w:fill="auto" w:val="clear"/>
          </w:tcPr>
          <w:p>
            <w:pPr>
              <w:pStyle w:val="Paragraph"/>
              <w:spacing w:before="0" w:after="0"/>
              <w:ind w:hanging="0"/>
              <w:rPr/>
            </w:pPr>
            <w:r>
              <w:rPr>
                <w:iCs/>
                <w:sz w:val="20"/>
                <w:szCs w:val="20"/>
              </w:rPr>
              <w:t>935.1</w:t>
            </w:r>
          </w:p>
        </w:tc>
        <w:tc>
          <w:tcPr>
            <w:tcW w:w="1020" w:type="dxa"/>
            <w:tcBorders/>
            <w:shd w:color="auto" w:fill="auto" w:val="clear"/>
          </w:tcPr>
          <w:p>
            <w:pPr>
              <w:pStyle w:val="Paragraph"/>
              <w:spacing w:before="0" w:after="0"/>
              <w:ind w:hanging="0"/>
              <w:rPr/>
            </w:pPr>
            <w:r>
              <w:rPr>
                <w:iCs/>
                <w:sz w:val="20"/>
                <w:szCs w:val="20"/>
              </w:rPr>
              <w:t>9.71</w:t>
            </w:r>
          </w:p>
        </w:tc>
        <w:tc>
          <w:tcPr>
            <w:tcW w:w="719" w:type="dxa"/>
            <w:tcBorders/>
            <w:shd w:color="auto" w:fill="auto" w:val="clear"/>
          </w:tcPr>
          <w:p>
            <w:pPr>
              <w:pStyle w:val="Paragraph"/>
              <w:spacing w:before="0" w:after="0"/>
              <w:ind w:hanging="0"/>
              <w:rPr/>
            </w:pPr>
            <w:r>
              <w:rPr>
                <w:iCs/>
                <w:sz w:val="20"/>
                <w:szCs w:val="20"/>
              </w:rPr>
              <w:t>829.0</w:t>
            </w:r>
          </w:p>
        </w:tc>
        <w:tc>
          <w:tcPr>
            <w:tcW w:w="1007" w:type="dxa"/>
            <w:tcBorders/>
            <w:shd w:color="auto" w:fill="auto" w:val="clear"/>
          </w:tcPr>
          <w:p>
            <w:pPr>
              <w:pStyle w:val="Paragraph"/>
              <w:spacing w:before="0" w:after="0"/>
              <w:ind w:hanging="0"/>
              <w:rPr/>
            </w:pPr>
            <w:r>
              <w:rPr>
                <w:iCs/>
                <w:sz w:val="20"/>
                <w:szCs w:val="20"/>
              </w:rPr>
              <w:t>9.18</w:t>
            </w:r>
          </w:p>
        </w:tc>
        <w:tc>
          <w:tcPr>
            <w:tcW w:w="719" w:type="dxa"/>
            <w:tcBorders/>
            <w:shd w:color="auto" w:fill="auto" w:val="clear"/>
          </w:tcPr>
          <w:p>
            <w:pPr>
              <w:pStyle w:val="Paragraph"/>
              <w:spacing w:before="0" w:after="0"/>
              <w:ind w:hanging="0"/>
              <w:rPr/>
            </w:pPr>
            <w:r>
              <w:rPr>
                <w:iCs/>
                <w:sz w:val="20"/>
                <w:szCs w:val="20"/>
              </w:rPr>
              <w:t>836.9</w:t>
            </w:r>
          </w:p>
        </w:tc>
        <w:tc>
          <w:tcPr>
            <w:tcW w:w="992" w:type="dxa"/>
            <w:tcBorders/>
            <w:shd w:color="auto" w:fill="auto" w:val="clear"/>
          </w:tcPr>
          <w:p>
            <w:pPr>
              <w:pStyle w:val="Paragraph"/>
              <w:spacing w:before="0" w:after="0"/>
              <w:ind w:hanging="0"/>
              <w:rPr/>
            </w:pPr>
            <w:r>
              <w:rPr>
                <w:iCs/>
                <w:sz w:val="20"/>
                <w:szCs w:val="20"/>
              </w:rPr>
              <w:t>9.73</w:t>
            </w:r>
          </w:p>
        </w:tc>
      </w:tr>
      <w:tr>
        <w:trPr/>
        <w:tc>
          <w:tcPr>
            <w:tcW w:w="817" w:type="dxa"/>
            <w:tcBorders/>
            <w:shd w:color="auto" w:fill="auto" w:val="clear"/>
          </w:tcPr>
          <w:p>
            <w:pPr>
              <w:pStyle w:val="Paragraph"/>
              <w:spacing w:before="0" w:after="0"/>
              <w:ind w:hanging="0"/>
              <w:rPr/>
            </w:pPr>
            <w:r>
              <w:rPr>
                <w:iCs/>
                <w:sz w:val="20"/>
                <w:szCs w:val="20"/>
              </w:rPr>
              <w:t>989.6</w:t>
            </w:r>
          </w:p>
        </w:tc>
        <w:tc>
          <w:tcPr>
            <w:tcW w:w="1018" w:type="dxa"/>
            <w:tcBorders/>
            <w:shd w:color="auto" w:fill="auto" w:val="clear"/>
          </w:tcPr>
          <w:p>
            <w:pPr>
              <w:pStyle w:val="Paragraph"/>
              <w:spacing w:before="0" w:after="0"/>
              <w:ind w:hanging="0"/>
              <w:rPr/>
            </w:pPr>
            <w:r>
              <w:rPr>
                <w:iCs/>
                <w:sz w:val="20"/>
                <w:szCs w:val="20"/>
              </w:rPr>
              <w:t>9.51</w:t>
            </w:r>
          </w:p>
        </w:tc>
        <w:tc>
          <w:tcPr>
            <w:tcW w:w="717" w:type="dxa"/>
            <w:tcBorders/>
            <w:shd w:color="auto" w:fill="auto" w:val="clear"/>
          </w:tcPr>
          <w:p>
            <w:pPr>
              <w:pStyle w:val="Paragraph"/>
              <w:spacing w:before="0" w:after="0"/>
              <w:ind w:hanging="0"/>
              <w:rPr/>
            </w:pPr>
            <w:r>
              <w:rPr>
                <w:iCs/>
                <w:sz w:val="20"/>
                <w:szCs w:val="20"/>
              </w:rPr>
              <w:t>872.0</w:t>
            </w:r>
          </w:p>
        </w:tc>
        <w:tc>
          <w:tcPr>
            <w:tcW w:w="1018" w:type="dxa"/>
            <w:tcBorders/>
            <w:shd w:color="auto" w:fill="auto" w:val="clear"/>
          </w:tcPr>
          <w:p>
            <w:pPr>
              <w:pStyle w:val="Paragraph"/>
              <w:spacing w:before="0" w:after="0"/>
              <w:ind w:hanging="0"/>
              <w:rPr/>
            </w:pPr>
            <w:r>
              <w:rPr>
                <w:iCs/>
                <w:sz w:val="20"/>
                <w:szCs w:val="20"/>
              </w:rPr>
              <w:t>10.75</w:t>
            </w:r>
          </w:p>
        </w:tc>
        <w:tc>
          <w:tcPr>
            <w:tcW w:w="720" w:type="dxa"/>
            <w:tcBorders/>
            <w:shd w:color="auto" w:fill="auto" w:val="clear"/>
          </w:tcPr>
          <w:p>
            <w:pPr>
              <w:pStyle w:val="Paragraph"/>
              <w:spacing w:before="0" w:after="0"/>
              <w:ind w:hanging="0"/>
              <w:rPr/>
            </w:pPr>
            <w:r>
              <w:rPr>
                <w:iCs/>
                <w:sz w:val="20"/>
                <w:szCs w:val="20"/>
              </w:rPr>
              <w:t>919.4</w:t>
            </w:r>
          </w:p>
        </w:tc>
        <w:tc>
          <w:tcPr>
            <w:tcW w:w="1020" w:type="dxa"/>
            <w:tcBorders/>
            <w:shd w:color="auto" w:fill="auto" w:val="clear"/>
          </w:tcPr>
          <w:p>
            <w:pPr>
              <w:pStyle w:val="Paragraph"/>
              <w:spacing w:before="0" w:after="0"/>
              <w:ind w:hanging="0"/>
              <w:rPr/>
            </w:pPr>
            <w:r>
              <w:rPr>
                <w:iCs/>
                <w:sz w:val="20"/>
                <w:szCs w:val="20"/>
              </w:rPr>
              <w:t>10.13</w:t>
            </w:r>
          </w:p>
        </w:tc>
        <w:tc>
          <w:tcPr>
            <w:tcW w:w="719" w:type="dxa"/>
            <w:tcBorders/>
            <w:shd w:color="auto" w:fill="auto" w:val="clear"/>
          </w:tcPr>
          <w:p>
            <w:pPr>
              <w:pStyle w:val="Paragraph"/>
              <w:spacing w:before="0" w:after="0"/>
              <w:ind w:hanging="0"/>
              <w:rPr/>
            </w:pPr>
            <w:r>
              <w:rPr>
                <w:iCs/>
                <w:sz w:val="20"/>
                <w:szCs w:val="20"/>
              </w:rPr>
              <w:t>813.8</w:t>
            </w:r>
          </w:p>
        </w:tc>
        <w:tc>
          <w:tcPr>
            <w:tcW w:w="1007" w:type="dxa"/>
            <w:tcBorders/>
            <w:shd w:color="auto" w:fill="auto" w:val="clear"/>
          </w:tcPr>
          <w:p>
            <w:pPr>
              <w:pStyle w:val="Paragraph"/>
              <w:spacing w:before="0" w:after="0"/>
              <w:ind w:hanging="0"/>
              <w:rPr/>
            </w:pPr>
            <w:r>
              <w:rPr>
                <w:iCs/>
                <w:sz w:val="20"/>
                <w:szCs w:val="20"/>
              </w:rPr>
              <w:t>9.61</w:t>
            </w:r>
          </w:p>
        </w:tc>
        <w:tc>
          <w:tcPr>
            <w:tcW w:w="719" w:type="dxa"/>
            <w:tcBorders/>
            <w:shd w:color="auto" w:fill="auto" w:val="clear"/>
          </w:tcPr>
          <w:p>
            <w:pPr>
              <w:pStyle w:val="Paragraph"/>
              <w:spacing w:before="0" w:after="0"/>
              <w:ind w:hanging="0"/>
              <w:rPr/>
            </w:pPr>
            <w:r>
              <w:rPr>
                <w:iCs/>
                <w:sz w:val="20"/>
                <w:szCs w:val="20"/>
              </w:rPr>
              <w:t>817.6</w:t>
            </w:r>
          </w:p>
        </w:tc>
        <w:tc>
          <w:tcPr>
            <w:tcW w:w="992" w:type="dxa"/>
            <w:tcBorders/>
            <w:shd w:color="auto" w:fill="auto" w:val="clear"/>
          </w:tcPr>
          <w:p>
            <w:pPr>
              <w:pStyle w:val="Paragraph"/>
              <w:spacing w:before="0" w:after="0"/>
              <w:ind w:hanging="0"/>
              <w:rPr/>
            </w:pPr>
            <w:r>
              <w:rPr>
                <w:iCs/>
                <w:sz w:val="20"/>
                <w:szCs w:val="20"/>
              </w:rPr>
              <w:t>10.51</w:t>
            </w:r>
          </w:p>
        </w:tc>
      </w:tr>
      <w:tr>
        <w:trPr/>
        <w:tc>
          <w:tcPr>
            <w:tcW w:w="817" w:type="dxa"/>
            <w:tcBorders/>
            <w:shd w:color="auto" w:fill="auto" w:val="clear"/>
          </w:tcPr>
          <w:p>
            <w:pPr>
              <w:pStyle w:val="Paragraph"/>
              <w:spacing w:before="0" w:after="0"/>
              <w:ind w:hanging="0"/>
              <w:rPr/>
            </w:pPr>
            <w:r>
              <w:rPr>
                <w:iCs/>
                <w:sz w:val="20"/>
                <w:szCs w:val="20"/>
              </w:rPr>
              <w:t>981.6</w:t>
            </w:r>
          </w:p>
        </w:tc>
        <w:tc>
          <w:tcPr>
            <w:tcW w:w="1018" w:type="dxa"/>
            <w:tcBorders/>
            <w:shd w:color="auto" w:fill="auto" w:val="clear"/>
          </w:tcPr>
          <w:p>
            <w:pPr>
              <w:pStyle w:val="Paragraph"/>
              <w:spacing w:before="0" w:after="0"/>
              <w:ind w:hanging="0"/>
              <w:rPr/>
            </w:pPr>
            <w:r>
              <w:rPr>
                <w:iCs/>
                <w:sz w:val="20"/>
                <w:szCs w:val="20"/>
              </w:rPr>
              <w:t>9.78</w:t>
            </w:r>
          </w:p>
        </w:tc>
        <w:tc>
          <w:tcPr>
            <w:tcW w:w="717" w:type="dxa"/>
            <w:tcBorders/>
            <w:shd w:color="auto" w:fill="auto" w:val="clear"/>
          </w:tcPr>
          <w:p>
            <w:pPr>
              <w:pStyle w:val="Paragraph"/>
              <w:spacing w:before="0" w:after="0"/>
              <w:ind w:hanging="0"/>
              <w:rPr/>
            </w:pPr>
            <w:r>
              <w:rPr>
                <w:iCs/>
                <w:sz w:val="20"/>
                <w:szCs w:val="20"/>
              </w:rPr>
              <w:t>852.0</w:t>
            </w:r>
          </w:p>
        </w:tc>
        <w:tc>
          <w:tcPr>
            <w:tcW w:w="1018" w:type="dxa"/>
            <w:tcBorders/>
            <w:shd w:color="auto" w:fill="auto" w:val="clear"/>
          </w:tcPr>
          <w:p>
            <w:pPr>
              <w:pStyle w:val="Paragraph"/>
              <w:spacing w:before="0" w:after="0"/>
              <w:ind w:hanging="0"/>
              <w:rPr/>
            </w:pPr>
            <w:r>
              <w:rPr>
                <w:iCs/>
                <w:sz w:val="20"/>
                <w:szCs w:val="20"/>
              </w:rPr>
              <w:t>11.40</w:t>
            </w:r>
          </w:p>
        </w:tc>
        <w:tc>
          <w:tcPr>
            <w:tcW w:w="720" w:type="dxa"/>
            <w:tcBorders/>
            <w:shd w:color="auto" w:fill="auto" w:val="clear"/>
          </w:tcPr>
          <w:p>
            <w:pPr>
              <w:pStyle w:val="Paragraph"/>
              <w:spacing w:before="0" w:after="0"/>
              <w:ind w:hanging="0"/>
              <w:rPr/>
            </w:pPr>
            <w:r>
              <w:rPr>
                <w:iCs/>
                <w:sz w:val="20"/>
                <w:szCs w:val="20"/>
              </w:rPr>
              <w:t>913.6</w:t>
            </w:r>
          </w:p>
        </w:tc>
        <w:tc>
          <w:tcPr>
            <w:tcW w:w="1020" w:type="dxa"/>
            <w:tcBorders/>
            <w:shd w:color="auto" w:fill="auto" w:val="clear"/>
          </w:tcPr>
          <w:p>
            <w:pPr>
              <w:pStyle w:val="Paragraph"/>
              <w:spacing w:before="0" w:after="0"/>
              <w:ind w:hanging="0"/>
              <w:rPr/>
            </w:pPr>
            <w:r>
              <w:rPr>
                <w:iCs/>
                <w:sz w:val="20"/>
                <w:szCs w:val="20"/>
              </w:rPr>
              <w:t>10.32</w:t>
            </w:r>
          </w:p>
        </w:tc>
        <w:tc>
          <w:tcPr>
            <w:tcW w:w="719" w:type="dxa"/>
            <w:tcBorders/>
            <w:shd w:color="auto" w:fill="auto" w:val="clear"/>
          </w:tcPr>
          <w:p>
            <w:pPr>
              <w:pStyle w:val="Paragraph"/>
              <w:spacing w:before="0" w:after="0"/>
              <w:ind w:hanging="0"/>
              <w:rPr/>
            </w:pPr>
            <w:r>
              <w:rPr>
                <w:iCs/>
                <w:sz w:val="20"/>
                <w:szCs w:val="20"/>
              </w:rPr>
              <w:t>803.2</w:t>
            </w:r>
          </w:p>
        </w:tc>
        <w:tc>
          <w:tcPr>
            <w:tcW w:w="1007" w:type="dxa"/>
            <w:tcBorders/>
            <w:shd w:color="auto" w:fill="auto" w:val="clear"/>
          </w:tcPr>
          <w:p>
            <w:pPr>
              <w:pStyle w:val="Paragraph"/>
              <w:spacing w:before="0" w:after="0"/>
              <w:ind w:hanging="0"/>
              <w:rPr/>
            </w:pPr>
            <w:r>
              <w:rPr>
                <w:iCs/>
                <w:sz w:val="20"/>
                <w:szCs w:val="20"/>
              </w:rPr>
              <w:t>9.94</w:t>
            </w:r>
          </w:p>
        </w:tc>
        <w:tc>
          <w:tcPr>
            <w:tcW w:w="719" w:type="dxa"/>
            <w:tcBorders/>
            <w:shd w:color="auto" w:fill="auto" w:val="clear"/>
          </w:tcPr>
          <w:p>
            <w:pPr>
              <w:pStyle w:val="Paragraph"/>
              <w:spacing w:before="0" w:after="0"/>
              <w:ind w:hanging="0"/>
              <w:rPr/>
            </w:pPr>
            <w:r>
              <w:rPr>
                <w:iCs/>
                <w:sz w:val="20"/>
                <w:szCs w:val="20"/>
              </w:rPr>
              <w:t>796.2</w:t>
            </w:r>
          </w:p>
        </w:tc>
        <w:tc>
          <w:tcPr>
            <w:tcW w:w="992" w:type="dxa"/>
            <w:tcBorders/>
            <w:shd w:color="auto" w:fill="auto" w:val="clear"/>
          </w:tcPr>
          <w:p>
            <w:pPr>
              <w:pStyle w:val="Paragraph"/>
              <w:spacing w:before="0" w:after="0"/>
              <w:ind w:hanging="0"/>
              <w:rPr/>
            </w:pPr>
            <w:r>
              <w:rPr>
                <w:iCs/>
                <w:sz w:val="20"/>
                <w:szCs w:val="20"/>
              </w:rPr>
              <w:t>11.42</w:t>
            </w:r>
          </w:p>
        </w:tc>
      </w:tr>
      <w:tr>
        <w:trPr/>
        <w:tc>
          <w:tcPr>
            <w:tcW w:w="817" w:type="dxa"/>
            <w:tcBorders/>
            <w:shd w:color="auto" w:fill="auto" w:val="clear"/>
          </w:tcPr>
          <w:p>
            <w:pPr>
              <w:pStyle w:val="Paragraph"/>
              <w:spacing w:before="0" w:after="0"/>
              <w:ind w:hanging="0"/>
              <w:rPr/>
            </w:pPr>
            <w:r>
              <w:rPr>
                <w:iCs/>
                <w:sz w:val="20"/>
                <w:szCs w:val="20"/>
              </w:rPr>
              <w:t>967.6</w:t>
            </w:r>
          </w:p>
        </w:tc>
        <w:tc>
          <w:tcPr>
            <w:tcW w:w="1018" w:type="dxa"/>
            <w:tcBorders/>
            <w:shd w:color="auto" w:fill="auto" w:val="clear"/>
          </w:tcPr>
          <w:p>
            <w:pPr>
              <w:pStyle w:val="Paragraph"/>
              <w:spacing w:before="0" w:after="0"/>
              <w:ind w:hanging="0"/>
              <w:rPr/>
            </w:pPr>
            <w:r>
              <w:rPr>
                <w:iCs/>
                <w:sz w:val="20"/>
                <w:szCs w:val="20"/>
              </w:rPr>
              <w:t>10.05</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898.7</w:t>
            </w:r>
          </w:p>
        </w:tc>
        <w:tc>
          <w:tcPr>
            <w:tcW w:w="1020" w:type="dxa"/>
            <w:tcBorders/>
            <w:shd w:color="auto" w:fill="auto" w:val="clear"/>
          </w:tcPr>
          <w:p>
            <w:pPr>
              <w:pStyle w:val="Paragraph"/>
              <w:spacing w:before="0" w:after="0"/>
              <w:ind w:hanging="0"/>
              <w:rPr/>
            </w:pPr>
            <w:r>
              <w:rPr>
                <w:iCs/>
                <w:sz w:val="20"/>
                <w:szCs w:val="20"/>
              </w:rPr>
              <w:t>10.78</w:t>
            </w:r>
          </w:p>
        </w:tc>
        <w:tc>
          <w:tcPr>
            <w:tcW w:w="719" w:type="dxa"/>
            <w:tcBorders/>
            <w:shd w:color="auto" w:fill="auto" w:val="clear"/>
          </w:tcPr>
          <w:p>
            <w:pPr>
              <w:pStyle w:val="Paragraph"/>
              <w:spacing w:before="0" w:after="0"/>
              <w:ind w:hanging="0"/>
              <w:rPr/>
            </w:pPr>
            <w:r>
              <w:rPr>
                <w:iCs/>
                <w:sz w:val="20"/>
                <w:szCs w:val="20"/>
              </w:rPr>
              <w:t>798.6</w:t>
            </w:r>
          </w:p>
        </w:tc>
        <w:tc>
          <w:tcPr>
            <w:tcW w:w="1007" w:type="dxa"/>
            <w:tcBorders/>
            <w:shd w:color="auto" w:fill="auto" w:val="clear"/>
          </w:tcPr>
          <w:p>
            <w:pPr>
              <w:pStyle w:val="Paragraph"/>
              <w:spacing w:before="0" w:after="0"/>
              <w:ind w:hanging="0"/>
              <w:rPr/>
            </w:pPr>
            <w:r>
              <w:rPr>
                <w:iCs/>
                <w:sz w:val="20"/>
                <w:szCs w:val="20"/>
              </w:rPr>
              <w:t>10.09</w:t>
            </w:r>
          </w:p>
        </w:tc>
        <w:tc>
          <w:tcPr>
            <w:tcW w:w="719" w:type="dxa"/>
            <w:tcBorders/>
            <w:shd w:color="auto" w:fill="auto" w:val="clear"/>
          </w:tcPr>
          <w:p>
            <w:pPr>
              <w:pStyle w:val="Paragraph"/>
              <w:spacing w:before="0" w:after="0"/>
              <w:ind w:hanging="0"/>
              <w:rPr/>
            </w:pPr>
            <w:r>
              <w:rPr>
                <w:iCs/>
                <w:sz w:val="20"/>
                <w:szCs w:val="20"/>
              </w:rPr>
              <w:t>805.7</w:t>
            </w:r>
          </w:p>
        </w:tc>
        <w:tc>
          <w:tcPr>
            <w:tcW w:w="992" w:type="dxa"/>
            <w:tcBorders/>
            <w:shd w:color="auto" w:fill="auto" w:val="clear"/>
          </w:tcPr>
          <w:p>
            <w:pPr>
              <w:pStyle w:val="Paragraph"/>
              <w:spacing w:before="0" w:after="0"/>
              <w:ind w:hanging="0"/>
              <w:rPr/>
            </w:pPr>
            <w:r>
              <w:rPr>
                <w:iCs/>
                <w:sz w:val="20"/>
                <w:szCs w:val="20"/>
              </w:rPr>
              <w:t>10.97</w:t>
            </w:r>
          </w:p>
        </w:tc>
      </w:tr>
      <w:tr>
        <w:trPr/>
        <w:tc>
          <w:tcPr>
            <w:tcW w:w="817" w:type="dxa"/>
            <w:tcBorders/>
            <w:shd w:color="auto" w:fill="auto" w:val="clear"/>
          </w:tcPr>
          <w:p>
            <w:pPr>
              <w:pStyle w:val="Paragraph"/>
              <w:spacing w:before="0" w:after="0"/>
              <w:ind w:hanging="0"/>
              <w:rPr/>
            </w:pPr>
            <w:r>
              <w:rPr>
                <w:iCs/>
                <w:sz w:val="20"/>
                <w:szCs w:val="20"/>
              </w:rPr>
              <w:t>949.7</w:t>
            </w:r>
          </w:p>
        </w:tc>
        <w:tc>
          <w:tcPr>
            <w:tcW w:w="1018" w:type="dxa"/>
            <w:tcBorders/>
            <w:shd w:color="auto" w:fill="auto" w:val="clear"/>
          </w:tcPr>
          <w:p>
            <w:pPr>
              <w:pStyle w:val="Paragraph"/>
              <w:spacing w:before="0" w:after="0"/>
              <w:ind w:hanging="0"/>
              <w:rPr/>
            </w:pPr>
            <w:r>
              <w:rPr>
                <w:iCs/>
                <w:sz w:val="20"/>
                <w:szCs w:val="20"/>
              </w:rPr>
              <w:t>10.50</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892.0</w:t>
            </w:r>
          </w:p>
        </w:tc>
        <w:tc>
          <w:tcPr>
            <w:tcW w:w="1020" w:type="dxa"/>
            <w:tcBorders/>
            <w:shd w:color="auto" w:fill="auto" w:val="clear"/>
          </w:tcPr>
          <w:p>
            <w:pPr>
              <w:pStyle w:val="Paragraph"/>
              <w:spacing w:before="0" w:after="0"/>
              <w:ind w:hanging="0"/>
              <w:rPr/>
            </w:pPr>
            <w:r>
              <w:rPr>
                <w:iCs/>
                <w:sz w:val="20"/>
                <w:szCs w:val="20"/>
              </w:rPr>
              <w:t>10.96</w:t>
            </w:r>
          </w:p>
        </w:tc>
        <w:tc>
          <w:tcPr>
            <w:tcW w:w="719" w:type="dxa"/>
            <w:tcBorders/>
            <w:shd w:color="auto" w:fill="auto" w:val="clear"/>
          </w:tcPr>
          <w:p>
            <w:pPr>
              <w:pStyle w:val="Paragraph"/>
              <w:spacing w:before="0" w:after="0"/>
              <w:ind w:hanging="0"/>
              <w:rPr/>
            </w:pPr>
            <w:r>
              <w:rPr>
                <w:iCs/>
                <w:sz w:val="20"/>
                <w:szCs w:val="20"/>
              </w:rPr>
              <w:t>787.5</w:t>
            </w:r>
          </w:p>
        </w:tc>
        <w:tc>
          <w:tcPr>
            <w:tcW w:w="1007" w:type="dxa"/>
            <w:tcBorders/>
            <w:shd w:color="auto" w:fill="auto" w:val="clear"/>
          </w:tcPr>
          <w:p>
            <w:pPr>
              <w:pStyle w:val="Paragraph"/>
              <w:spacing w:before="0" w:after="0"/>
              <w:ind w:hanging="0"/>
              <w:rPr/>
            </w:pPr>
            <w:r>
              <w:rPr>
                <w:iCs/>
                <w:sz w:val="20"/>
                <w:szCs w:val="20"/>
              </w:rPr>
              <w:t>10.50</w:t>
            </w:r>
          </w:p>
        </w:tc>
        <w:tc>
          <w:tcPr>
            <w:tcW w:w="719" w:type="dxa"/>
            <w:tcBorders/>
            <w:shd w:color="auto" w:fill="auto" w:val="clear"/>
          </w:tcPr>
          <w:p>
            <w:pPr>
              <w:pStyle w:val="Paragraph"/>
              <w:spacing w:before="0" w:after="0"/>
              <w:ind w:hanging="0"/>
              <w:rPr/>
            </w:pPr>
            <w:r>
              <w:rPr>
                <w:iCs/>
                <w:sz w:val="20"/>
                <w:szCs w:val="20"/>
              </w:rPr>
              <w:t>847.1</w:t>
            </w:r>
          </w:p>
        </w:tc>
        <w:tc>
          <w:tcPr>
            <w:tcW w:w="992" w:type="dxa"/>
            <w:tcBorders/>
            <w:shd w:color="auto" w:fill="auto" w:val="clear"/>
          </w:tcPr>
          <w:p>
            <w:pPr>
              <w:pStyle w:val="Paragraph"/>
              <w:spacing w:before="0" w:after="0"/>
              <w:ind w:hanging="0"/>
              <w:rPr/>
            </w:pPr>
            <w:r>
              <w:rPr>
                <w:iCs/>
                <w:sz w:val="20"/>
                <w:szCs w:val="20"/>
              </w:rPr>
              <w:t>9.36</w:t>
            </w:r>
          </w:p>
        </w:tc>
      </w:tr>
      <w:tr>
        <w:trPr/>
        <w:tc>
          <w:tcPr>
            <w:tcW w:w="817" w:type="dxa"/>
            <w:tcBorders/>
            <w:shd w:color="auto" w:fill="auto" w:val="clear"/>
          </w:tcPr>
          <w:p>
            <w:pPr>
              <w:pStyle w:val="Paragraph"/>
              <w:spacing w:before="0" w:after="0"/>
              <w:ind w:hanging="0"/>
              <w:rPr/>
            </w:pPr>
            <w:r>
              <w:rPr>
                <w:iCs/>
                <w:sz w:val="20"/>
                <w:szCs w:val="20"/>
              </w:rPr>
              <w:t>940.3</w:t>
            </w:r>
          </w:p>
        </w:tc>
        <w:tc>
          <w:tcPr>
            <w:tcW w:w="1018" w:type="dxa"/>
            <w:tcBorders/>
            <w:shd w:color="auto" w:fill="auto" w:val="clear"/>
          </w:tcPr>
          <w:p>
            <w:pPr>
              <w:pStyle w:val="Paragraph"/>
              <w:spacing w:before="0" w:after="0"/>
              <w:ind w:hanging="0"/>
              <w:rPr/>
            </w:pPr>
            <w:r>
              <w:rPr>
                <w:iCs/>
                <w:sz w:val="20"/>
                <w:szCs w:val="20"/>
              </w:rPr>
              <w:t>10.83</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882.1</w:t>
            </w:r>
          </w:p>
        </w:tc>
        <w:tc>
          <w:tcPr>
            <w:tcW w:w="1020" w:type="dxa"/>
            <w:tcBorders/>
            <w:shd w:color="auto" w:fill="auto" w:val="clear"/>
          </w:tcPr>
          <w:p>
            <w:pPr>
              <w:pStyle w:val="Paragraph"/>
              <w:spacing w:before="0" w:after="0"/>
              <w:ind w:hanging="0"/>
              <w:rPr/>
            </w:pPr>
            <w:r>
              <w:rPr>
                <w:iCs/>
                <w:sz w:val="20"/>
                <w:szCs w:val="20"/>
              </w:rPr>
              <w:t>11.28</w:t>
            </w:r>
          </w:p>
        </w:tc>
        <w:tc>
          <w:tcPr>
            <w:tcW w:w="719" w:type="dxa"/>
            <w:tcBorders/>
            <w:shd w:color="auto" w:fill="auto" w:val="clear"/>
          </w:tcPr>
          <w:p>
            <w:pPr>
              <w:pStyle w:val="Paragraph"/>
              <w:spacing w:before="0" w:after="0"/>
              <w:ind w:hanging="0"/>
              <w:rPr/>
            </w:pPr>
            <w:r>
              <w:rPr>
                <w:iCs/>
                <w:sz w:val="20"/>
                <w:szCs w:val="20"/>
              </w:rPr>
              <w:t>779.9</w:t>
            </w:r>
          </w:p>
        </w:tc>
        <w:tc>
          <w:tcPr>
            <w:tcW w:w="1007" w:type="dxa"/>
            <w:tcBorders/>
            <w:shd w:color="auto" w:fill="auto" w:val="clear"/>
          </w:tcPr>
          <w:p>
            <w:pPr>
              <w:pStyle w:val="Paragraph"/>
              <w:spacing w:before="0" w:after="0"/>
              <w:ind w:hanging="0"/>
              <w:rPr/>
            </w:pPr>
            <w:r>
              <w:rPr>
                <w:iCs/>
                <w:sz w:val="20"/>
                <w:szCs w:val="20"/>
              </w:rPr>
              <w:t>10.81</w:t>
            </w:r>
          </w:p>
        </w:tc>
        <w:tc>
          <w:tcPr>
            <w:tcW w:w="719" w:type="dxa"/>
            <w:tcBorders/>
            <w:shd w:color="auto" w:fill="auto" w:val="clear"/>
          </w:tcPr>
          <w:p>
            <w:pPr>
              <w:pStyle w:val="Paragraph"/>
              <w:spacing w:before="0" w:after="0"/>
              <w:ind w:hanging="0"/>
              <w:rPr/>
            </w:pPr>
            <w:r>
              <w:rPr>
                <w:iCs/>
                <w:sz w:val="20"/>
                <w:szCs w:val="20"/>
              </w:rPr>
              <w:t>855.9</w:t>
            </w:r>
          </w:p>
        </w:tc>
        <w:tc>
          <w:tcPr>
            <w:tcW w:w="992" w:type="dxa"/>
            <w:tcBorders/>
            <w:shd w:color="auto" w:fill="auto" w:val="clear"/>
          </w:tcPr>
          <w:p>
            <w:pPr>
              <w:pStyle w:val="Paragraph"/>
              <w:spacing w:before="0" w:after="0"/>
              <w:ind w:hanging="0"/>
              <w:rPr/>
            </w:pPr>
            <w:r>
              <w:rPr>
                <w:iCs/>
                <w:sz w:val="20"/>
                <w:szCs w:val="20"/>
              </w:rPr>
              <w:t>9.09</w:t>
            </w:r>
          </w:p>
        </w:tc>
      </w:tr>
      <w:tr>
        <w:trPr/>
        <w:tc>
          <w:tcPr>
            <w:tcW w:w="817" w:type="dxa"/>
            <w:tcBorders/>
            <w:shd w:color="auto" w:fill="auto" w:val="clear"/>
          </w:tcPr>
          <w:p>
            <w:pPr>
              <w:pStyle w:val="Paragraph"/>
              <w:spacing w:before="0" w:after="0"/>
              <w:ind w:hanging="0"/>
              <w:rPr/>
            </w:pPr>
            <w:r>
              <w:rPr>
                <w:iCs/>
                <w:sz w:val="20"/>
                <w:szCs w:val="20"/>
              </w:rPr>
              <w:t>928.2</w:t>
            </w:r>
          </w:p>
        </w:tc>
        <w:tc>
          <w:tcPr>
            <w:tcW w:w="1018" w:type="dxa"/>
            <w:tcBorders/>
            <w:shd w:color="auto" w:fill="auto" w:val="clear"/>
          </w:tcPr>
          <w:p>
            <w:pPr>
              <w:pStyle w:val="Paragraph"/>
              <w:spacing w:before="0" w:after="0"/>
              <w:ind w:hanging="0"/>
              <w:rPr/>
            </w:pPr>
            <w:r>
              <w:rPr>
                <w:iCs/>
                <w:sz w:val="20"/>
                <w:szCs w:val="20"/>
              </w:rPr>
              <w:t>11.05</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867.3</w:t>
            </w:r>
          </w:p>
        </w:tc>
        <w:tc>
          <w:tcPr>
            <w:tcW w:w="1020" w:type="dxa"/>
            <w:tcBorders/>
            <w:shd w:color="auto" w:fill="auto" w:val="clear"/>
          </w:tcPr>
          <w:p>
            <w:pPr>
              <w:pStyle w:val="Paragraph"/>
              <w:spacing w:before="0" w:after="0"/>
              <w:ind w:hanging="0"/>
              <w:rPr/>
            </w:pPr>
            <w:r>
              <w:rPr>
                <w:iCs/>
                <w:sz w:val="20"/>
                <w:szCs w:val="20"/>
              </w:rPr>
              <w:t>11.86</w:t>
            </w:r>
          </w:p>
        </w:tc>
        <w:tc>
          <w:tcPr>
            <w:tcW w:w="719" w:type="dxa"/>
            <w:tcBorders/>
            <w:shd w:color="auto" w:fill="auto" w:val="clear"/>
          </w:tcPr>
          <w:p>
            <w:pPr>
              <w:pStyle w:val="Paragraph"/>
              <w:spacing w:before="0" w:after="0"/>
              <w:ind w:hanging="0"/>
              <w:rPr/>
            </w:pPr>
            <w:r>
              <w:rPr>
                <w:iCs/>
                <w:sz w:val="20"/>
                <w:szCs w:val="20"/>
              </w:rPr>
              <w:t>773.7</w:t>
            </w:r>
          </w:p>
        </w:tc>
        <w:tc>
          <w:tcPr>
            <w:tcW w:w="1007" w:type="dxa"/>
            <w:tcBorders/>
            <w:shd w:color="auto" w:fill="auto" w:val="clear"/>
          </w:tcPr>
          <w:p>
            <w:pPr>
              <w:pStyle w:val="Paragraph"/>
              <w:spacing w:before="0" w:after="0"/>
              <w:ind w:hanging="0"/>
              <w:rPr/>
            </w:pPr>
            <w:r>
              <w:rPr>
                <w:iCs/>
                <w:sz w:val="20"/>
                <w:szCs w:val="20"/>
              </w:rPr>
              <w:t>11.07</w:t>
            </w:r>
          </w:p>
        </w:tc>
        <w:tc>
          <w:tcPr>
            <w:tcW w:w="719" w:type="dxa"/>
            <w:tcBorders/>
            <w:shd w:color="auto" w:fill="auto" w:val="clear"/>
          </w:tcPr>
          <w:p>
            <w:pPr>
              <w:pStyle w:val="Paragraph"/>
              <w:spacing w:before="0" w:after="0"/>
              <w:ind w:hanging="0"/>
              <w:rPr/>
            </w:pPr>
            <w:r>
              <w:rPr>
                <w:iCs/>
                <w:sz w:val="20"/>
                <w:szCs w:val="20"/>
              </w:rPr>
              <w:t>828.3</w:t>
            </w:r>
          </w:p>
        </w:tc>
        <w:tc>
          <w:tcPr>
            <w:tcW w:w="992" w:type="dxa"/>
            <w:tcBorders/>
            <w:shd w:color="auto" w:fill="auto" w:val="clear"/>
          </w:tcPr>
          <w:p>
            <w:pPr>
              <w:pStyle w:val="Paragraph"/>
              <w:spacing w:before="0" w:after="0"/>
              <w:ind w:hanging="0"/>
              <w:rPr/>
            </w:pPr>
            <w:r>
              <w:rPr>
                <w:iCs/>
                <w:sz w:val="20"/>
                <w:szCs w:val="20"/>
              </w:rPr>
              <w:t>10.01</w:t>
            </w:r>
          </w:p>
        </w:tc>
      </w:tr>
      <w:tr>
        <w:trPr/>
        <w:tc>
          <w:tcPr>
            <w:tcW w:w="817" w:type="dxa"/>
            <w:tcBorders/>
            <w:shd w:color="auto" w:fill="auto" w:val="clear"/>
          </w:tcPr>
          <w:p>
            <w:pPr>
              <w:pStyle w:val="Paragraph"/>
              <w:spacing w:before="0" w:after="0"/>
              <w:ind w:hanging="0"/>
              <w:rPr/>
            </w:pPr>
            <w:r>
              <w:rPr>
                <w:iCs/>
                <w:sz w:val="20"/>
                <w:szCs w:val="20"/>
              </w:rPr>
              <w:t>918.4</w:t>
            </w:r>
          </w:p>
        </w:tc>
        <w:tc>
          <w:tcPr>
            <w:tcW w:w="1018" w:type="dxa"/>
            <w:tcBorders/>
            <w:shd w:color="auto" w:fill="auto" w:val="clear"/>
          </w:tcPr>
          <w:p>
            <w:pPr>
              <w:pStyle w:val="Paragraph"/>
              <w:spacing w:before="0" w:after="0"/>
              <w:ind w:hanging="0"/>
              <w:rPr/>
            </w:pPr>
            <w:r>
              <w:rPr>
                <w:iCs/>
                <w:sz w:val="20"/>
                <w:szCs w:val="20"/>
              </w:rPr>
              <w:t>11.32</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pPr>
            <w:r>
              <w:rPr>
                <w:iCs/>
                <w:sz w:val="20"/>
                <w:szCs w:val="20"/>
              </w:rPr>
              <w:t>855.4</w:t>
            </w:r>
          </w:p>
        </w:tc>
        <w:tc>
          <w:tcPr>
            <w:tcW w:w="1020" w:type="dxa"/>
            <w:tcBorders/>
            <w:shd w:color="auto" w:fill="auto" w:val="clear"/>
          </w:tcPr>
          <w:p>
            <w:pPr>
              <w:pStyle w:val="Paragraph"/>
              <w:spacing w:before="0" w:after="0"/>
              <w:ind w:hanging="0"/>
              <w:rPr/>
            </w:pPr>
            <w:r>
              <w:rPr>
                <w:iCs/>
                <w:sz w:val="20"/>
                <w:szCs w:val="20"/>
              </w:rPr>
              <w:t>12.29</w:t>
            </w:r>
          </w:p>
        </w:tc>
        <w:tc>
          <w:tcPr>
            <w:tcW w:w="719" w:type="dxa"/>
            <w:tcBorders/>
            <w:shd w:color="auto" w:fill="auto" w:val="clear"/>
          </w:tcPr>
          <w:p>
            <w:pPr>
              <w:pStyle w:val="Paragraph"/>
              <w:spacing w:before="0" w:after="0"/>
              <w:ind w:hanging="0"/>
              <w:rPr/>
            </w:pPr>
            <w:r>
              <w:rPr>
                <w:iCs/>
                <w:sz w:val="20"/>
                <w:szCs w:val="20"/>
              </w:rPr>
              <w:t>772.9</w:t>
            </w:r>
          </w:p>
        </w:tc>
        <w:tc>
          <w:tcPr>
            <w:tcW w:w="1007" w:type="dxa"/>
            <w:tcBorders/>
            <w:shd w:color="auto" w:fill="auto" w:val="clear"/>
          </w:tcPr>
          <w:p>
            <w:pPr>
              <w:pStyle w:val="Paragraph"/>
              <w:spacing w:before="0" w:after="0"/>
              <w:ind w:hanging="0"/>
              <w:rPr/>
            </w:pPr>
            <w:r>
              <w:rPr>
                <w:iCs/>
                <w:sz w:val="20"/>
                <w:szCs w:val="20"/>
              </w:rPr>
              <w:t>11.07</w:t>
            </w:r>
          </w:p>
        </w:tc>
        <w:tc>
          <w:tcPr>
            <w:tcW w:w="719" w:type="dxa"/>
            <w:tcBorders/>
            <w:shd w:color="auto" w:fill="auto" w:val="clear"/>
          </w:tcPr>
          <w:p>
            <w:pPr>
              <w:pStyle w:val="Paragraph"/>
              <w:spacing w:before="0" w:after="0"/>
              <w:ind w:hanging="0"/>
              <w:rPr/>
            </w:pPr>
            <w:r>
              <w:rPr>
                <w:iCs/>
                <w:sz w:val="20"/>
                <w:szCs w:val="20"/>
              </w:rPr>
              <w:t>834.4</w:t>
            </w:r>
          </w:p>
        </w:tc>
        <w:tc>
          <w:tcPr>
            <w:tcW w:w="992" w:type="dxa"/>
            <w:tcBorders/>
            <w:shd w:color="auto" w:fill="auto" w:val="clear"/>
          </w:tcPr>
          <w:p>
            <w:pPr>
              <w:pStyle w:val="Paragraph"/>
              <w:spacing w:before="0" w:after="0"/>
              <w:ind w:hanging="0"/>
              <w:rPr/>
            </w:pPr>
            <w:r>
              <w:rPr>
                <w:iCs/>
                <w:sz w:val="20"/>
                <w:szCs w:val="20"/>
              </w:rPr>
              <w:t>9.81</w:t>
            </w:r>
          </w:p>
        </w:tc>
      </w:tr>
      <w:tr>
        <w:trPr/>
        <w:tc>
          <w:tcPr>
            <w:tcW w:w="817" w:type="dxa"/>
            <w:tcBorders/>
            <w:shd w:color="auto" w:fill="auto" w:val="clear"/>
          </w:tcPr>
          <w:p>
            <w:pPr>
              <w:pStyle w:val="Paragraph"/>
              <w:spacing w:before="0" w:after="0"/>
              <w:ind w:hanging="0"/>
              <w:rPr/>
            </w:pPr>
            <w:r>
              <w:rPr>
                <w:iCs/>
                <w:sz w:val="20"/>
                <w:szCs w:val="20"/>
              </w:rPr>
              <w:t>905.1</w:t>
            </w:r>
          </w:p>
        </w:tc>
        <w:tc>
          <w:tcPr>
            <w:tcW w:w="1018" w:type="dxa"/>
            <w:tcBorders/>
            <w:shd w:color="auto" w:fill="auto" w:val="clear"/>
          </w:tcPr>
          <w:p>
            <w:pPr>
              <w:pStyle w:val="Paragraph"/>
              <w:spacing w:before="0" w:after="0"/>
              <w:ind w:hanging="0"/>
              <w:rPr/>
            </w:pPr>
            <w:r>
              <w:rPr>
                <w:iCs/>
                <w:sz w:val="20"/>
                <w:szCs w:val="20"/>
              </w:rPr>
              <w:t>11.63</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iCs/>
                <w:sz w:val="20"/>
                <w:szCs w:val="20"/>
              </w:rPr>
            </w:pPr>
            <w:r>
              <w:rPr>
                <w:iCs/>
                <w:sz w:val="20"/>
                <w:szCs w:val="20"/>
              </w:rPr>
            </w:r>
          </w:p>
        </w:tc>
        <w:tc>
          <w:tcPr>
            <w:tcW w:w="1020" w:type="dxa"/>
            <w:tcBorders/>
            <w:shd w:color="auto" w:fill="auto" w:val="clear"/>
          </w:tcPr>
          <w:p>
            <w:pPr>
              <w:pStyle w:val="Paragraph"/>
              <w:spacing w:before="0" w:after="0"/>
              <w:ind w:hanging="0"/>
              <w:rPr>
                <w:iCs/>
                <w:sz w:val="20"/>
                <w:szCs w:val="20"/>
              </w:rPr>
            </w:pPr>
            <w:r>
              <w:rPr>
                <w:iCs/>
                <w:sz w:val="20"/>
                <w:szCs w:val="20"/>
              </w:rPr>
            </w:r>
          </w:p>
        </w:tc>
        <w:tc>
          <w:tcPr>
            <w:tcW w:w="719" w:type="dxa"/>
            <w:tcBorders/>
            <w:shd w:color="auto" w:fill="auto" w:val="clear"/>
          </w:tcPr>
          <w:p>
            <w:pPr>
              <w:pStyle w:val="Paragraph"/>
              <w:spacing w:before="0" w:after="0"/>
              <w:ind w:hanging="0"/>
              <w:rPr/>
            </w:pPr>
            <w:r>
              <w:rPr>
                <w:iCs/>
                <w:sz w:val="20"/>
                <w:szCs w:val="20"/>
              </w:rPr>
              <w:t>762.6</w:t>
            </w:r>
          </w:p>
        </w:tc>
        <w:tc>
          <w:tcPr>
            <w:tcW w:w="1007" w:type="dxa"/>
            <w:tcBorders/>
            <w:shd w:color="auto" w:fill="auto" w:val="clear"/>
          </w:tcPr>
          <w:p>
            <w:pPr>
              <w:pStyle w:val="Paragraph"/>
              <w:spacing w:before="0" w:after="0"/>
              <w:ind w:hanging="0"/>
              <w:rPr/>
            </w:pPr>
            <w:r>
              <w:rPr>
                <w:iCs/>
                <w:sz w:val="20"/>
                <w:szCs w:val="20"/>
              </w:rPr>
              <w:t>11.52</w:t>
            </w:r>
          </w:p>
        </w:tc>
        <w:tc>
          <w:tcPr>
            <w:tcW w:w="719" w:type="dxa"/>
            <w:tcBorders/>
            <w:shd w:color="auto" w:fill="auto" w:val="clear"/>
          </w:tcPr>
          <w:p>
            <w:pPr>
              <w:pStyle w:val="Paragraph"/>
              <w:spacing w:before="0" w:after="0"/>
              <w:ind w:hanging="0"/>
              <w:rPr/>
            </w:pPr>
            <w:r>
              <w:rPr>
                <w:iCs/>
                <w:sz w:val="20"/>
                <w:szCs w:val="20"/>
              </w:rPr>
              <w:t>787.4</w:t>
            </w:r>
          </w:p>
        </w:tc>
        <w:tc>
          <w:tcPr>
            <w:tcW w:w="992" w:type="dxa"/>
            <w:tcBorders/>
            <w:shd w:color="auto" w:fill="auto" w:val="clear"/>
          </w:tcPr>
          <w:p>
            <w:pPr>
              <w:pStyle w:val="Paragraph"/>
              <w:spacing w:before="0" w:after="0"/>
              <w:ind w:hanging="0"/>
              <w:rPr/>
            </w:pPr>
            <w:r>
              <w:rPr>
                <w:iCs/>
                <w:sz w:val="20"/>
                <w:szCs w:val="20"/>
              </w:rPr>
              <w:t>11.80</w:t>
            </w:r>
          </w:p>
        </w:tc>
      </w:tr>
      <w:tr>
        <w:trPr/>
        <w:tc>
          <w:tcPr>
            <w:tcW w:w="817" w:type="dxa"/>
            <w:tcBorders/>
            <w:shd w:color="auto" w:fill="auto" w:val="clear"/>
          </w:tcPr>
          <w:p>
            <w:pPr>
              <w:pStyle w:val="Paragraph"/>
              <w:spacing w:before="0" w:after="0"/>
              <w:ind w:hanging="0"/>
              <w:rPr/>
            </w:pPr>
            <w:r>
              <w:rPr>
                <w:iCs/>
                <w:sz w:val="20"/>
                <w:szCs w:val="20"/>
              </w:rPr>
              <w:t>896.6</w:t>
            </w:r>
          </w:p>
        </w:tc>
        <w:tc>
          <w:tcPr>
            <w:tcW w:w="1018" w:type="dxa"/>
            <w:tcBorders/>
            <w:shd w:color="auto" w:fill="auto" w:val="clear"/>
          </w:tcPr>
          <w:p>
            <w:pPr>
              <w:pStyle w:val="Paragraph"/>
              <w:spacing w:before="0" w:after="0"/>
              <w:ind w:hanging="0"/>
              <w:rPr/>
            </w:pPr>
            <w:r>
              <w:rPr>
                <w:iCs/>
                <w:sz w:val="20"/>
                <w:szCs w:val="20"/>
              </w:rPr>
              <w:t>11.92</w:t>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iCs/>
                <w:sz w:val="20"/>
                <w:szCs w:val="20"/>
              </w:rPr>
            </w:pPr>
            <w:r>
              <w:rPr>
                <w:iCs/>
                <w:sz w:val="20"/>
                <w:szCs w:val="20"/>
              </w:rPr>
            </w:r>
          </w:p>
        </w:tc>
        <w:tc>
          <w:tcPr>
            <w:tcW w:w="1020" w:type="dxa"/>
            <w:tcBorders/>
            <w:shd w:color="auto" w:fill="auto" w:val="clear"/>
          </w:tcPr>
          <w:p>
            <w:pPr>
              <w:pStyle w:val="Paragraph"/>
              <w:spacing w:before="0" w:after="0"/>
              <w:ind w:hanging="0"/>
              <w:rPr>
                <w:iCs/>
                <w:sz w:val="20"/>
                <w:szCs w:val="20"/>
              </w:rPr>
            </w:pPr>
            <w:r>
              <w:rPr>
                <w:iCs/>
                <w:sz w:val="20"/>
                <w:szCs w:val="20"/>
              </w:rPr>
            </w:r>
          </w:p>
        </w:tc>
        <w:tc>
          <w:tcPr>
            <w:tcW w:w="719" w:type="dxa"/>
            <w:tcBorders/>
            <w:shd w:color="auto" w:fill="auto" w:val="clear"/>
          </w:tcPr>
          <w:p>
            <w:pPr>
              <w:pStyle w:val="Paragraph"/>
              <w:spacing w:before="0" w:after="0"/>
              <w:ind w:hanging="0"/>
              <w:rPr/>
            </w:pPr>
            <w:r>
              <w:rPr>
                <w:iCs/>
                <w:sz w:val="20"/>
                <w:szCs w:val="20"/>
              </w:rPr>
              <w:t>756.3</w:t>
            </w:r>
          </w:p>
        </w:tc>
        <w:tc>
          <w:tcPr>
            <w:tcW w:w="1007" w:type="dxa"/>
            <w:tcBorders/>
            <w:shd w:color="auto" w:fill="auto" w:val="clear"/>
          </w:tcPr>
          <w:p>
            <w:pPr>
              <w:pStyle w:val="Paragraph"/>
              <w:spacing w:before="0" w:after="0"/>
              <w:ind w:hanging="0"/>
              <w:rPr/>
            </w:pPr>
            <w:r>
              <w:rPr>
                <w:iCs/>
                <w:sz w:val="20"/>
                <w:szCs w:val="20"/>
              </w:rPr>
              <w:t>11.74</w:t>
            </w:r>
          </w:p>
        </w:tc>
        <w:tc>
          <w:tcPr>
            <w:tcW w:w="719" w:type="dxa"/>
            <w:tcBorders/>
            <w:shd w:color="auto" w:fill="auto" w:val="clear"/>
          </w:tcPr>
          <w:p>
            <w:pPr>
              <w:pStyle w:val="Paragraph"/>
              <w:spacing w:before="0" w:after="0"/>
              <w:ind w:hanging="0"/>
              <w:rPr/>
            </w:pPr>
            <w:r>
              <w:rPr>
                <w:iCs/>
                <w:sz w:val="20"/>
                <w:szCs w:val="20"/>
              </w:rPr>
              <w:t>777.4</w:t>
            </w:r>
          </w:p>
        </w:tc>
        <w:tc>
          <w:tcPr>
            <w:tcW w:w="992" w:type="dxa"/>
            <w:tcBorders/>
            <w:shd w:color="auto" w:fill="auto" w:val="clear"/>
          </w:tcPr>
          <w:p>
            <w:pPr>
              <w:pStyle w:val="Paragraph"/>
              <w:spacing w:before="0" w:after="0"/>
              <w:ind w:hanging="0"/>
              <w:rPr/>
            </w:pPr>
            <w:r>
              <w:rPr>
                <w:iCs/>
                <w:sz w:val="20"/>
                <w:szCs w:val="20"/>
              </w:rPr>
              <w:t>12.36</w:t>
            </w:r>
          </w:p>
        </w:tc>
      </w:tr>
      <w:tr>
        <w:trPr/>
        <w:tc>
          <w:tcPr>
            <w:tcW w:w="8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17" w:type="dxa"/>
            <w:tcBorders/>
            <w:shd w:color="auto" w:fill="auto" w:val="clear"/>
          </w:tcPr>
          <w:p>
            <w:pPr>
              <w:pStyle w:val="Paragraph"/>
              <w:spacing w:before="0" w:after="0"/>
              <w:ind w:hanging="0"/>
              <w:rPr>
                <w:iCs/>
                <w:sz w:val="20"/>
                <w:szCs w:val="20"/>
              </w:rPr>
            </w:pPr>
            <w:r>
              <w:rPr>
                <w:iCs/>
                <w:sz w:val="20"/>
                <w:szCs w:val="20"/>
              </w:rPr>
            </w:r>
          </w:p>
        </w:tc>
        <w:tc>
          <w:tcPr>
            <w:tcW w:w="1018" w:type="dxa"/>
            <w:tcBorders/>
            <w:shd w:color="auto" w:fill="auto" w:val="clear"/>
          </w:tcPr>
          <w:p>
            <w:pPr>
              <w:pStyle w:val="Paragraph"/>
              <w:spacing w:before="0" w:after="0"/>
              <w:ind w:hanging="0"/>
              <w:rPr>
                <w:iCs/>
                <w:sz w:val="20"/>
                <w:szCs w:val="20"/>
              </w:rPr>
            </w:pPr>
            <w:r>
              <w:rPr>
                <w:iCs/>
                <w:sz w:val="20"/>
                <w:szCs w:val="20"/>
              </w:rPr>
            </w:r>
          </w:p>
        </w:tc>
        <w:tc>
          <w:tcPr>
            <w:tcW w:w="720" w:type="dxa"/>
            <w:tcBorders/>
            <w:shd w:color="auto" w:fill="auto" w:val="clear"/>
          </w:tcPr>
          <w:p>
            <w:pPr>
              <w:pStyle w:val="Paragraph"/>
              <w:spacing w:before="0" w:after="0"/>
              <w:ind w:hanging="0"/>
              <w:rPr>
                <w:iCs/>
                <w:sz w:val="20"/>
                <w:szCs w:val="20"/>
              </w:rPr>
            </w:pPr>
            <w:r>
              <w:rPr>
                <w:iCs/>
                <w:sz w:val="20"/>
                <w:szCs w:val="20"/>
              </w:rPr>
            </w:r>
          </w:p>
        </w:tc>
        <w:tc>
          <w:tcPr>
            <w:tcW w:w="1020" w:type="dxa"/>
            <w:tcBorders/>
            <w:shd w:color="auto" w:fill="auto" w:val="clear"/>
          </w:tcPr>
          <w:p>
            <w:pPr>
              <w:pStyle w:val="Paragraph"/>
              <w:spacing w:before="0" w:after="0"/>
              <w:ind w:hanging="0"/>
              <w:rPr>
                <w:iCs/>
                <w:sz w:val="20"/>
                <w:szCs w:val="20"/>
              </w:rPr>
            </w:pPr>
            <w:r>
              <w:rPr>
                <w:iCs/>
                <w:sz w:val="20"/>
                <w:szCs w:val="20"/>
              </w:rPr>
            </w:r>
          </w:p>
        </w:tc>
        <w:tc>
          <w:tcPr>
            <w:tcW w:w="719" w:type="dxa"/>
            <w:tcBorders/>
            <w:shd w:color="auto" w:fill="auto" w:val="clear"/>
          </w:tcPr>
          <w:p>
            <w:pPr>
              <w:pStyle w:val="Paragraph"/>
              <w:spacing w:before="0" w:after="0"/>
              <w:ind w:hanging="0"/>
              <w:rPr/>
            </w:pPr>
            <w:r>
              <w:rPr>
                <w:iCs/>
                <w:sz w:val="20"/>
                <w:szCs w:val="20"/>
              </w:rPr>
              <w:t>752.1</w:t>
            </w:r>
          </w:p>
        </w:tc>
        <w:tc>
          <w:tcPr>
            <w:tcW w:w="1007" w:type="dxa"/>
            <w:tcBorders/>
            <w:shd w:color="auto" w:fill="auto" w:val="clear"/>
          </w:tcPr>
          <w:p>
            <w:pPr>
              <w:pStyle w:val="Paragraph"/>
              <w:spacing w:before="0" w:after="0"/>
              <w:ind w:hanging="0"/>
              <w:rPr/>
            </w:pPr>
            <w:r>
              <w:rPr>
                <w:iCs/>
                <w:sz w:val="20"/>
                <w:szCs w:val="20"/>
              </w:rPr>
              <w:t>11.95</w:t>
            </w:r>
          </w:p>
        </w:tc>
        <w:tc>
          <w:tcPr>
            <w:tcW w:w="719" w:type="dxa"/>
            <w:tcBorders/>
            <w:shd w:color="auto" w:fill="auto" w:val="clear"/>
          </w:tcPr>
          <w:p>
            <w:pPr>
              <w:pStyle w:val="Paragraph"/>
              <w:spacing w:before="0" w:after="0"/>
              <w:ind w:hanging="0"/>
              <w:rPr>
                <w:iCs/>
                <w:sz w:val="20"/>
                <w:szCs w:val="20"/>
              </w:rPr>
            </w:pPr>
            <w:r>
              <w:rPr>
                <w:iCs/>
                <w:sz w:val="20"/>
                <w:szCs w:val="20"/>
              </w:rPr>
            </w:r>
          </w:p>
        </w:tc>
        <w:tc>
          <w:tcPr>
            <w:tcW w:w="992" w:type="dxa"/>
            <w:tcBorders/>
            <w:shd w:color="auto" w:fill="auto" w:val="clear"/>
          </w:tcPr>
          <w:p>
            <w:pPr>
              <w:pStyle w:val="Paragraph"/>
              <w:spacing w:before="0" w:after="0"/>
              <w:ind w:hanging="0"/>
              <w:rPr>
                <w:iCs/>
                <w:sz w:val="20"/>
                <w:szCs w:val="20"/>
              </w:rPr>
            </w:pPr>
            <w:r>
              <w:rPr>
                <w:iCs/>
                <w:sz w:val="20"/>
                <w:szCs w:val="20"/>
              </w:rPr>
            </w:r>
          </w:p>
        </w:tc>
      </w:tr>
    </w:tbl>
    <w:p>
      <w:pPr>
        <w:pStyle w:val="Paragraph"/>
        <w:spacing w:before="0" w:after="0"/>
        <w:ind w:hanging="0"/>
        <w:rPr>
          <w:iCs/>
        </w:rPr>
      </w:pPr>
      <w:r>
        <w:rPr>
          <w:iCs/>
        </w:rPr>
      </w:r>
    </w:p>
    <w:p>
      <w:pPr>
        <w:pStyle w:val="Paragraph"/>
        <w:spacing w:before="0" w:after="0"/>
        <w:ind w:hanging="0"/>
        <w:rPr/>
      </w:pPr>
      <w:r>
        <w:rPr>
          <w:b/>
          <w:iCs/>
        </w:rPr>
        <w:t>Table S2. Viscosity measurements made on the synthesized glasses.</w:t>
      </w:r>
      <w:r>
        <w:rPr>
          <w:iCs/>
        </w:rPr>
        <w:t xml:space="preserve"> Viscosity is in log</w:t>
      </w:r>
      <w:r>
        <w:rPr>
          <w:iCs/>
          <w:vertAlign w:val="subscript"/>
        </w:rPr>
        <w:t>10</w:t>
      </w:r>
      <w:r>
        <w:rPr>
          <w:iCs/>
        </w:rPr>
        <w:t> Pa</w:t>
      </w:r>
      <w:r>
        <w:rPr>
          <w:rFonts w:eastAsia="Symbol" w:cs="Symbol" w:ascii="Symbol" w:hAnsi="Symbol"/>
          <w:iCs/>
        </w:rPr>
        <w:t></w:t>
      </w:r>
      <w:r>
        <w:rPr>
          <w:iCs/>
        </w:rPr>
        <w:t xml:space="preserve">s and was measured using a creep apparatus following the protocol described in </w:t>
      </w:r>
      <w:bookmarkStart w:id="91" w:name="__UnoMark__18376_998215430"/>
      <w:bookmarkStart w:id="92" w:name="__UnoMark__21055_2551971298"/>
      <w:bookmarkStart w:id="93" w:name="__UnoMark__22502_2551971298"/>
      <w:bookmarkStart w:id="94" w:name="__UnoMark__23746_2551971298"/>
      <w:bookmarkStart w:id="95" w:name="__UnoMark__23540_2551971298"/>
      <w:bookmarkStart w:id="96" w:name="__UnoMark__23334_2551971298"/>
      <w:bookmarkStart w:id="97" w:name="__UnoMark__18148_998215430"/>
      <w:bookmarkStart w:id="98" w:name="__UnoMark__21664_2551971298"/>
      <w:bookmarkStart w:id="99" w:name="ZOTERO_BREF_ZWBxm0yXlW2PyE3pOXLFp"/>
      <w:bookmarkStart w:id="100" w:name="__UnoMark__18718_4168236645"/>
      <w:bookmarkStart w:id="101" w:name="__UnoMark__11471_2187724418"/>
      <w:bookmarkStart w:id="102" w:name="__UnoMark__7644_1449571692"/>
      <w:bookmarkStart w:id="103" w:name="__UnoMark__22082_2551971298"/>
      <w:bookmarkStart w:id="104" w:name="__UnoMark__9951_1449571692"/>
      <w:bookmarkStart w:id="105" w:name="__UnoMark__23128_2551971298"/>
      <w:bookmarkStart w:id="106" w:name="__UnoMark__22922_2551971298"/>
      <w:bookmarkStart w:id="107" w:name="__UnoMark__29473_2551971298"/>
      <w:bookmarkStart w:id="108" w:name="__UnoMark__29313_2551971298"/>
      <w:bookmarkStart w:id="109" w:name="__UnoMark__21258_2551971298"/>
      <w:bookmarkStart w:id="110" w:name="__UnoMark__22708_2551971298"/>
      <w:bookmarkStart w:id="111" w:name="__UnoMark__21461_2551971298"/>
      <w:bookmarkStart w:id="112" w:name="__UnoMark__21868_2551971298"/>
      <w:bookmarkStart w:id="113" w:name="__UnoMark__22288_2551971298"/>
      <w:bookmarkStart w:id="114" w:name="__UnoMark__11240_2187724418"/>
      <w:bookmarkStart w:id="115" w:name="__UnoMark__10574_2187724418"/>
      <w:bookmarkEnd w:id="115"/>
      <w:r>
        <w:rPr>
          <w:iCs/>
        </w:rPr>
        <w:t>(</w:t>
      </w:r>
      <w:r>
        <w:rPr>
          <w:rFonts w:eastAsia="Times New Roman" w:cs="Times New Roman"/>
          <w:i/>
          <w:color w:val="auto"/>
          <w:kern w:val="0"/>
          <w:sz w:val="24"/>
          <w:szCs w:val="24"/>
          <w:lang w:val="en-US" w:eastAsia="en-US" w:bidi="ar-SA"/>
        </w:rPr>
        <w:t>4</w:t>
      </w:r>
      <w:r>
        <w:rPr/>
        <w:t>)</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Pr>
          <w:iCs/>
        </w:rPr>
        <w:t>. Errors on temperature are lower than 0.3 K, and errors on viscosity lower, or equal to 0.03 log</w:t>
      </w:r>
      <w:r>
        <w:rPr>
          <w:iCs/>
          <w:vertAlign w:val="subscript"/>
        </w:rPr>
        <w:t>10</w:t>
      </w:r>
      <w:r>
        <w:rPr>
          <w:iCs/>
        </w:rPr>
        <w:t> Pa</w:t>
      </w:r>
      <w:r>
        <w:rPr>
          <w:rFonts w:eastAsia="Symbol" w:cs="Symbol" w:ascii="Symbol" w:hAnsi="Symbol"/>
          <w:iCs/>
        </w:rPr>
        <w:t></w:t>
      </w:r>
      <w:r>
        <w:rPr>
          <w:iCs/>
        </w:rPr>
        <w:t>s.</w:t>
      </w:r>
    </w:p>
    <w:p>
      <w:pPr>
        <w:pStyle w:val="Paragraph"/>
        <w:spacing w:before="0" w:after="0"/>
        <w:ind w:hanging="0"/>
        <w:rPr>
          <w:iCs/>
        </w:rPr>
      </w:pPr>
      <w:r>
        <w:rPr>
          <w:iCs/>
        </w:rPr>
      </w:r>
    </w:p>
    <w:p>
      <w:pPr>
        <w:pStyle w:val="Paragraph"/>
        <w:spacing w:before="0" w:after="0"/>
        <w:ind w:hanging="0"/>
        <w:rPr>
          <w:iCs/>
        </w:rPr>
      </w:pPr>
      <w:r>
        <w:rPr>
          <w:iCs/>
        </w:rPr>
      </w:r>
      <w:r>
        <w:br w:type="page"/>
      </w:r>
    </w:p>
    <w:p>
      <w:pPr>
        <w:pStyle w:val="Paragraph"/>
        <w:spacing w:before="0" w:after="0"/>
        <w:ind w:hanging="0"/>
        <w:rPr/>
      </w:pPr>
      <w:r>
        <w:rPr/>
      </w:r>
    </w:p>
    <w:tbl>
      <w:tblPr>
        <w:tblW w:w="6429" w:type="dxa"/>
        <w:jc w:val="left"/>
        <w:tblInd w:w="38" w:type="dxa"/>
        <w:tblCellMar>
          <w:top w:w="0" w:type="dxa"/>
          <w:left w:w="138" w:type="dxa"/>
          <w:bottom w:w="0" w:type="dxa"/>
          <w:right w:w="108" w:type="dxa"/>
        </w:tblCellMar>
        <w:tblLook w:val="04a0" w:noVBand="1" w:noHBand="0" w:lastColumn="0" w:firstColumn="1" w:lastRow="0" w:firstRow="1"/>
      </w:tblPr>
      <w:tblGrid>
        <w:gridCol w:w="3339"/>
        <w:gridCol w:w="1023"/>
        <w:gridCol w:w="1166"/>
        <w:gridCol w:w="900"/>
      </w:tblGrid>
      <w:tr>
        <w:trPr/>
        <w:tc>
          <w:tcPr>
            <w:tcW w:w="3339" w:type="dxa"/>
            <w:tcBorders/>
            <w:shd w:color="auto" w:fill="auto" w:val="clear"/>
          </w:tcPr>
          <w:p>
            <w:pPr>
              <w:pStyle w:val="Paragraph"/>
              <w:spacing w:before="0" w:after="0"/>
              <w:ind w:hanging="0"/>
              <w:rPr/>
            </w:pPr>
            <w:r>
              <w:rPr>
                <w:b/>
                <w:bCs/>
                <w:sz w:val="20"/>
                <w:szCs w:val="20"/>
              </w:rPr>
              <w:t>Data subset:</w:t>
            </w:r>
          </w:p>
        </w:tc>
        <w:tc>
          <w:tcPr>
            <w:tcW w:w="1023" w:type="dxa"/>
            <w:tcBorders/>
            <w:shd w:color="auto" w:fill="auto" w:val="clear"/>
          </w:tcPr>
          <w:p>
            <w:pPr>
              <w:pStyle w:val="Paragraph"/>
              <w:spacing w:before="0" w:after="0"/>
              <w:ind w:hanging="0"/>
              <w:rPr/>
            </w:pPr>
            <w:r>
              <w:rPr>
                <w:b/>
                <w:bCs/>
                <w:sz w:val="20"/>
                <w:szCs w:val="20"/>
              </w:rPr>
              <w:t>Training</w:t>
            </w:r>
          </w:p>
        </w:tc>
        <w:tc>
          <w:tcPr>
            <w:tcW w:w="1166" w:type="dxa"/>
            <w:tcBorders/>
            <w:shd w:color="auto" w:fill="auto" w:val="clear"/>
          </w:tcPr>
          <w:p>
            <w:pPr>
              <w:pStyle w:val="Paragraph"/>
              <w:spacing w:before="0" w:after="0"/>
              <w:ind w:hanging="0"/>
              <w:rPr/>
            </w:pPr>
            <w:r>
              <w:rPr>
                <w:b/>
                <w:bCs/>
                <w:sz w:val="20"/>
                <w:szCs w:val="20"/>
              </w:rPr>
              <w:t>Validation</w:t>
            </w:r>
          </w:p>
        </w:tc>
        <w:tc>
          <w:tcPr>
            <w:tcW w:w="900" w:type="dxa"/>
            <w:tcBorders/>
            <w:shd w:color="auto" w:fill="auto" w:val="clear"/>
          </w:tcPr>
          <w:p>
            <w:pPr>
              <w:pStyle w:val="Paragraph"/>
              <w:spacing w:before="0" w:after="0"/>
              <w:ind w:hanging="0"/>
              <w:rPr/>
            </w:pPr>
            <w:r>
              <w:rPr>
                <w:b/>
                <w:bCs/>
                <w:sz w:val="20"/>
                <w:szCs w:val="20"/>
              </w:rPr>
              <w:t>Testing</w:t>
            </w:r>
          </w:p>
        </w:tc>
      </w:tr>
      <w:tr>
        <w:trPr/>
        <w:tc>
          <w:tcPr>
            <w:tcW w:w="3339" w:type="dxa"/>
            <w:tcBorders/>
            <w:shd w:color="auto" w:fill="auto" w:val="clear"/>
          </w:tcPr>
          <w:p>
            <w:pPr>
              <w:pStyle w:val="Paragraph"/>
              <w:spacing w:before="0" w:after="0"/>
              <w:ind w:hanging="0"/>
              <w:rPr/>
            </w:pPr>
            <w:r>
              <w:rPr>
                <w:b/>
                <w:bCs/>
                <w:sz w:val="20"/>
                <w:szCs w:val="20"/>
              </w:rPr>
              <w:t>Adam-Gibbs (eq. S3, log Pa</w:t>
            </w:r>
            <w:r>
              <w:rPr>
                <w:rFonts w:eastAsia="Symbol" w:cs="Symbol" w:ascii="Symbol" w:hAnsi="Symbol"/>
                <w:b/>
                <w:bCs/>
                <w:sz w:val="20"/>
                <w:szCs w:val="20"/>
              </w:rPr>
              <w:t></w:t>
            </w:r>
            <w:r>
              <w:rPr>
                <w:b/>
                <w:bCs/>
                <w:sz w:val="20"/>
                <w:szCs w:val="20"/>
              </w:rPr>
              <w:t>s)</w:t>
            </w:r>
          </w:p>
        </w:tc>
        <w:tc>
          <w:tcPr>
            <w:tcW w:w="1023" w:type="dxa"/>
            <w:tcBorders/>
            <w:shd w:color="auto" w:fill="auto" w:val="clear"/>
          </w:tcPr>
          <w:p>
            <w:pPr>
              <w:pStyle w:val="Paragraph"/>
              <w:spacing w:before="0" w:after="0"/>
              <w:ind w:hanging="0"/>
              <w:rPr/>
            </w:pPr>
            <w:r>
              <w:rPr>
                <w:sz w:val="20"/>
                <w:szCs w:val="20"/>
              </w:rPr>
              <w:t>0.</w:t>
            </w:r>
            <w:r>
              <w:rPr>
                <w:rFonts w:eastAsia="Times New Roman" w:cs="Times New Roman"/>
                <w:color w:val="auto"/>
                <w:kern w:val="0"/>
                <w:sz w:val="20"/>
                <w:szCs w:val="20"/>
                <w:lang w:val="en-US" w:eastAsia="en-US" w:bidi="ar-SA"/>
              </w:rPr>
              <w:t>33</w:t>
            </w:r>
          </w:p>
        </w:tc>
        <w:tc>
          <w:tcPr>
            <w:tcW w:w="1166" w:type="dxa"/>
            <w:tcBorders/>
            <w:shd w:color="auto" w:fill="auto" w:val="clear"/>
          </w:tcPr>
          <w:p>
            <w:pPr>
              <w:pStyle w:val="Paragraph"/>
              <w:spacing w:before="0" w:after="0"/>
              <w:ind w:hanging="0"/>
              <w:rPr/>
            </w:pPr>
            <w:r>
              <w:rPr>
                <w:sz w:val="20"/>
                <w:szCs w:val="20"/>
              </w:rPr>
              <w:t>0.22</w:t>
            </w:r>
          </w:p>
        </w:tc>
        <w:tc>
          <w:tcPr>
            <w:tcW w:w="900" w:type="dxa"/>
            <w:tcBorders/>
            <w:shd w:color="auto" w:fill="auto" w:val="clear"/>
          </w:tcPr>
          <w:p>
            <w:pPr>
              <w:pStyle w:val="Paragraph"/>
              <w:spacing w:before="0" w:after="0"/>
              <w:ind w:hanging="0"/>
              <w:rPr/>
            </w:pPr>
            <w:r>
              <w:rPr>
                <w:sz w:val="20"/>
                <w:szCs w:val="20"/>
              </w:rPr>
              <w:t>0.35</w:t>
            </w:r>
          </w:p>
        </w:tc>
      </w:tr>
      <w:tr>
        <w:trPr/>
        <w:tc>
          <w:tcPr>
            <w:tcW w:w="3339" w:type="dxa"/>
            <w:tcBorders/>
            <w:shd w:color="auto" w:fill="auto" w:val="clear"/>
          </w:tcPr>
          <w:p>
            <w:pPr>
              <w:pStyle w:val="Paragraph"/>
              <w:spacing w:before="0" w:after="0"/>
              <w:ind w:hanging="0"/>
              <w:rPr/>
            </w:pPr>
            <w:r>
              <w:rPr>
                <w:b/>
                <w:bCs/>
                <w:sz w:val="20"/>
                <w:szCs w:val="20"/>
              </w:rPr>
              <w:t>Free Volume (eq. S4</w:t>
            </w:r>
            <w:bookmarkStart w:id="116" w:name="__DdeLink__19570_4168236645"/>
            <w:r>
              <w:rPr>
                <w:b/>
                <w:bCs/>
                <w:sz w:val="20"/>
                <w:szCs w:val="20"/>
              </w:rPr>
              <w:t>, log Pa</w:t>
            </w:r>
            <w:r>
              <w:rPr>
                <w:rFonts w:eastAsia="Symbol" w:cs="Symbol" w:ascii="Symbol" w:hAnsi="Symbol"/>
                <w:b/>
                <w:bCs/>
                <w:sz w:val="20"/>
                <w:szCs w:val="20"/>
              </w:rPr>
              <w:t></w:t>
            </w:r>
            <w:r>
              <w:rPr>
                <w:b/>
                <w:bCs/>
                <w:sz w:val="20"/>
                <w:szCs w:val="20"/>
              </w:rPr>
              <w:t>s)</w:t>
            </w:r>
            <w:bookmarkEnd w:id="116"/>
          </w:p>
        </w:tc>
        <w:tc>
          <w:tcPr>
            <w:tcW w:w="1023" w:type="dxa"/>
            <w:tcBorders/>
            <w:shd w:color="auto" w:fill="auto" w:val="clear"/>
          </w:tcPr>
          <w:p>
            <w:pPr>
              <w:pStyle w:val="Paragraph"/>
              <w:spacing w:before="0" w:after="0"/>
              <w:ind w:hanging="0"/>
              <w:rPr/>
            </w:pPr>
            <w:r>
              <w:rPr>
                <w:sz w:val="20"/>
                <w:szCs w:val="20"/>
              </w:rPr>
              <w:t>0.36</w:t>
            </w:r>
          </w:p>
        </w:tc>
        <w:tc>
          <w:tcPr>
            <w:tcW w:w="1166" w:type="dxa"/>
            <w:tcBorders/>
            <w:shd w:color="auto" w:fill="auto" w:val="clear"/>
          </w:tcPr>
          <w:p>
            <w:pPr>
              <w:pStyle w:val="Paragraph"/>
              <w:spacing w:before="0" w:after="0"/>
              <w:ind w:hanging="0"/>
              <w:rPr/>
            </w:pPr>
            <w:r>
              <w:rPr>
                <w:sz w:val="20"/>
                <w:szCs w:val="20"/>
              </w:rPr>
              <w:t>0.23</w:t>
            </w:r>
          </w:p>
        </w:tc>
        <w:tc>
          <w:tcPr>
            <w:tcW w:w="900" w:type="dxa"/>
            <w:tcBorders/>
            <w:shd w:color="auto" w:fill="auto" w:val="clear"/>
          </w:tcPr>
          <w:p>
            <w:pPr>
              <w:pStyle w:val="Paragraph"/>
              <w:spacing w:before="0" w:after="0"/>
              <w:ind w:hanging="0"/>
              <w:rPr/>
            </w:pPr>
            <w:r>
              <w:rPr>
                <w:sz w:val="20"/>
                <w:szCs w:val="20"/>
              </w:rPr>
              <w:t>0.36</w:t>
            </w:r>
          </w:p>
        </w:tc>
      </w:tr>
      <w:tr>
        <w:trPr/>
        <w:tc>
          <w:tcPr>
            <w:tcW w:w="3339" w:type="dxa"/>
            <w:tcBorders/>
            <w:shd w:color="auto" w:fill="auto" w:val="clear"/>
          </w:tcPr>
          <w:p>
            <w:pPr>
              <w:pStyle w:val="Paragraph"/>
              <w:spacing w:before="0" w:after="0"/>
              <w:ind w:hanging="0"/>
              <w:rPr/>
            </w:pPr>
            <w:r>
              <w:rPr>
                <w:b/>
                <w:bCs/>
                <w:sz w:val="20"/>
                <w:szCs w:val="20"/>
              </w:rPr>
              <w:t>TVF (eq. S5, log Pa</w:t>
            </w:r>
            <w:r>
              <w:rPr>
                <w:rFonts w:eastAsia="Symbol" w:cs="Symbol" w:ascii="Symbol" w:hAnsi="Symbol"/>
                <w:b/>
                <w:bCs/>
                <w:sz w:val="20"/>
                <w:szCs w:val="20"/>
              </w:rPr>
              <w:t></w:t>
            </w:r>
            <w:r>
              <w:rPr>
                <w:b/>
                <w:bCs/>
                <w:sz w:val="20"/>
                <w:szCs w:val="20"/>
              </w:rPr>
              <w:t>s)</w:t>
            </w:r>
          </w:p>
        </w:tc>
        <w:tc>
          <w:tcPr>
            <w:tcW w:w="1023" w:type="dxa"/>
            <w:tcBorders/>
            <w:shd w:color="auto" w:fill="auto" w:val="clear"/>
          </w:tcPr>
          <w:p>
            <w:pPr>
              <w:pStyle w:val="Paragraph"/>
              <w:spacing w:before="0" w:after="0"/>
              <w:ind w:hanging="0"/>
              <w:rPr/>
            </w:pPr>
            <w:r>
              <w:rPr>
                <w:sz w:val="20"/>
                <w:szCs w:val="20"/>
              </w:rPr>
              <w:t>0.36</w:t>
            </w:r>
          </w:p>
        </w:tc>
        <w:tc>
          <w:tcPr>
            <w:tcW w:w="1166" w:type="dxa"/>
            <w:tcBorders/>
            <w:shd w:color="auto" w:fill="auto" w:val="clear"/>
          </w:tcPr>
          <w:p>
            <w:pPr>
              <w:pStyle w:val="Paragraph"/>
              <w:spacing w:before="0" w:after="0"/>
              <w:ind w:hanging="0"/>
              <w:rPr/>
            </w:pPr>
            <w:r>
              <w:rPr>
                <w:sz w:val="20"/>
                <w:szCs w:val="20"/>
              </w:rPr>
              <w:t>0.25</w:t>
            </w:r>
          </w:p>
        </w:tc>
        <w:tc>
          <w:tcPr>
            <w:tcW w:w="900" w:type="dxa"/>
            <w:tcBorders/>
            <w:shd w:color="auto" w:fill="auto" w:val="clear"/>
          </w:tcPr>
          <w:p>
            <w:pPr>
              <w:pStyle w:val="Paragraph"/>
              <w:spacing w:before="0" w:after="0"/>
              <w:ind w:hanging="0"/>
              <w:rPr/>
            </w:pPr>
            <w:r>
              <w:rPr>
                <w:sz w:val="20"/>
                <w:szCs w:val="20"/>
              </w:rPr>
              <w:t>0.35</w:t>
            </w:r>
          </w:p>
        </w:tc>
      </w:tr>
      <w:tr>
        <w:trPr/>
        <w:tc>
          <w:tcPr>
            <w:tcW w:w="3339" w:type="dxa"/>
            <w:tcBorders/>
            <w:shd w:color="auto" w:fill="auto" w:val="clear"/>
          </w:tcPr>
          <w:p>
            <w:pPr>
              <w:pStyle w:val="Paragraph"/>
              <w:spacing w:before="0" w:after="0"/>
              <w:ind w:hanging="0"/>
              <w:rPr/>
            </w:pPr>
            <w:r>
              <w:rPr>
                <w:b/>
                <w:bCs/>
                <w:sz w:val="20"/>
                <w:szCs w:val="20"/>
              </w:rPr>
              <w:t>MYEGA (eq. S7, log Pa</w:t>
            </w:r>
            <w:r>
              <w:rPr>
                <w:rFonts w:eastAsia="Symbol" w:cs="Symbol" w:ascii="Symbol" w:hAnsi="Symbol"/>
                <w:b/>
                <w:bCs/>
                <w:sz w:val="20"/>
                <w:szCs w:val="20"/>
              </w:rPr>
              <w:t></w:t>
            </w:r>
            <w:r>
              <w:rPr>
                <w:b/>
                <w:bCs/>
                <w:sz w:val="20"/>
                <w:szCs w:val="20"/>
              </w:rPr>
              <w:t>s)</w:t>
            </w:r>
          </w:p>
        </w:tc>
        <w:tc>
          <w:tcPr>
            <w:tcW w:w="1023" w:type="dxa"/>
            <w:tcBorders/>
            <w:shd w:color="auto" w:fill="auto" w:val="clear"/>
          </w:tcPr>
          <w:p>
            <w:pPr>
              <w:pStyle w:val="Paragraph"/>
              <w:spacing w:before="0" w:after="0"/>
              <w:ind w:hanging="0"/>
              <w:rPr/>
            </w:pPr>
            <w:r>
              <w:rPr>
                <w:sz w:val="20"/>
                <w:szCs w:val="20"/>
              </w:rPr>
              <w:t>0.36</w:t>
            </w:r>
          </w:p>
        </w:tc>
        <w:tc>
          <w:tcPr>
            <w:tcW w:w="1166" w:type="dxa"/>
            <w:tcBorders/>
            <w:shd w:color="auto" w:fill="auto" w:val="clear"/>
          </w:tcPr>
          <w:p>
            <w:pPr>
              <w:pStyle w:val="Paragraph"/>
              <w:spacing w:before="0" w:after="0"/>
              <w:ind w:hanging="0"/>
              <w:rPr/>
            </w:pPr>
            <w:r>
              <w:rPr>
                <w:sz w:val="20"/>
                <w:szCs w:val="20"/>
              </w:rPr>
              <w:t>0.25</w:t>
            </w:r>
          </w:p>
        </w:tc>
        <w:tc>
          <w:tcPr>
            <w:tcW w:w="900" w:type="dxa"/>
            <w:tcBorders/>
            <w:shd w:color="auto" w:fill="auto" w:val="clear"/>
          </w:tcPr>
          <w:p>
            <w:pPr>
              <w:pStyle w:val="Paragraph"/>
              <w:spacing w:before="0" w:after="0"/>
              <w:ind w:hanging="0"/>
              <w:rPr/>
            </w:pPr>
            <w:r>
              <w:rPr>
                <w:sz w:val="20"/>
                <w:szCs w:val="20"/>
              </w:rPr>
              <w:t>0.34</w:t>
            </w:r>
          </w:p>
        </w:tc>
      </w:tr>
      <w:tr>
        <w:trPr/>
        <w:tc>
          <w:tcPr>
            <w:tcW w:w="3339" w:type="dxa"/>
            <w:tcBorders/>
            <w:shd w:color="auto" w:fill="auto" w:val="clear"/>
          </w:tcPr>
          <w:p>
            <w:pPr>
              <w:pStyle w:val="Paragraph"/>
              <w:spacing w:before="0" w:after="0"/>
              <w:ind w:hanging="0"/>
              <w:rPr/>
            </w:pPr>
            <w:r>
              <w:rPr>
                <w:b/>
                <w:bCs/>
                <w:sz w:val="20"/>
                <w:szCs w:val="20"/>
              </w:rPr>
              <w:t>Avramov-Milchev (eq. S6, log Pa</w:t>
            </w:r>
            <w:r>
              <w:rPr>
                <w:rFonts w:eastAsia="Symbol" w:cs="Symbol" w:ascii="Symbol" w:hAnsi="Symbol"/>
                <w:b/>
                <w:bCs/>
                <w:sz w:val="20"/>
                <w:szCs w:val="20"/>
              </w:rPr>
              <w:t></w:t>
            </w:r>
            <w:r>
              <w:rPr>
                <w:b/>
                <w:bCs/>
                <w:sz w:val="20"/>
                <w:szCs w:val="20"/>
              </w:rPr>
              <w:t>s)</w:t>
            </w:r>
          </w:p>
        </w:tc>
        <w:tc>
          <w:tcPr>
            <w:tcW w:w="1023" w:type="dxa"/>
            <w:tcBorders/>
            <w:shd w:color="auto" w:fill="auto" w:val="clear"/>
          </w:tcPr>
          <w:p>
            <w:pPr>
              <w:pStyle w:val="Paragraph"/>
              <w:spacing w:before="0" w:after="0"/>
              <w:ind w:hanging="0"/>
              <w:rPr/>
            </w:pPr>
            <w:r>
              <w:rPr>
                <w:sz w:val="20"/>
                <w:szCs w:val="20"/>
              </w:rPr>
              <w:t>0.34</w:t>
            </w:r>
          </w:p>
        </w:tc>
        <w:tc>
          <w:tcPr>
            <w:tcW w:w="1166" w:type="dxa"/>
            <w:tcBorders/>
            <w:shd w:color="auto" w:fill="auto" w:val="clear"/>
          </w:tcPr>
          <w:p>
            <w:pPr>
              <w:pStyle w:val="Paragraph"/>
              <w:spacing w:before="0" w:after="0"/>
              <w:ind w:hanging="0"/>
              <w:rPr/>
            </w:pPr>
            <w:r>
              <w:rPr>
                <w:sz w:val="20"/>
                <w:szCs w:val="20"/>
              </w:rPr>
              <w:t>0.24</w:t>
            </w:r>
          </w:p>
        </w:tc>
        <w:tc>
          <w:tcPr>
            <w:tcW w:w="900" w:type="dxa"/>
            <w:tcBorders/>
            <w:shd w:color="auto" w:fill="auto" w:val="clear"/>
          </w:tcPr>
          <w:p>
            <w:pPr>
              <w:pStyle w:val="Paragraph"/>
              <w:spacing w:before="0" w:after="0"/>
              <w:ind w:hanging="0"/>
              <w:rPr/>
            </w:pPr>
            <w:r>
              <w:rPr>
                <w:sz w:val="20"/>
                <w:szCs w:val="20"/>
              </w:rPr>
              <w:t>0.34</w:t>
            </w:r>
          </w:p>
        </w:tc>
      </w:tr>
      <w:tr>
        <w:trPr/>
        <w:tc>
          <w:tcPr>
            <w:tcW w:w="3339" w:type="dxa"/>
            <w:tcBorders/>
            <w:shd w:color="auto" w:fill="auto" w:val="clear"/>
          </w:tcPr>
          <w:p>
            <w:pPr>
              <w:pStyle w:val="Paragraph"/>
              <w:spacing w:before="0" w:after="0"/>
              <w:ind w:hanging="0"/>
              <w:rPr/>
            </w:pPr>
            <w:r>
              <w:rPr>
                <w:b/>
                <w:bCs/>
                <w:sz w:val="20"/>
                <w:szCs w:val="20"/>
              </w:rPr>
              <w:t>Density (g cm</w:t>
            </w:r>
            <w:r>
              <w:rPr>
                <w:b/>
                <w:bCs/>
                <w:sz w:val="20"/>
                <w:szCs w:val="20"/>
                <w:vertAlign w:val="superscript"/>
              </w:rPr>
              <w:t>-1</w:t>
            </w:r>
            <w:r>
              <w:rPr>
                <w:b/>
                <w:bCs/>
                <w:sz w:val="20"/>
                <w:szCs w:val="20"/>
              </w:rPr>
              <w:t>)</w:t>
            </w:r>
          </w:p>
        </w:tc>
        <w:tc>
          <w:tcPr>
            <w:tcW w:w="1023" w:type="dxa"/>
            <w:tcBorders/>
            <w:shd w:color="auto" w:fill="auto" w:val="clear"/>
          </w:tcPr>
          <w:p>
            <w:pPr>
              <w:pStyle w:val="Paragraph"/>
              <w:spacing w:before="0" w:after="0"/>
              <w:ind w:hanging="0"/>
              <w:rPr/>
            </w:pPr>
            <w:r>
              <w:rPr>
                <w:sz w:val="20"/>
                <w:szCs w:val="20"/>
              </w:rPr>
              <w:t>0.07</w:t>
            </w:r>
          </w:p>
        </w:tc>
        <w:tc>
          <w:tcPr>
            <w:tcW w:w="1166" w:type="dxa"/>
            <w:tcBorders/>
            <w:shd w:color="auto" w:fill="auto" w:val="clear"/>
          </w:tcPr>
          <w:p>
            <w:pPr>
              <w:pStyle w:val="Paragraph"/>
              <w:spacing w:before="0" w:after="0"/>
              <w:ind w:hanging="0"/>
              <w:rPr/>
            </w:pPr>
            <w:r>
              <w:rPr>
                <w:sz w:val="20"/>
                <w:szCs w:val="20"/>
              </w:rPr>
              <w:t>0.08</w:t>
            </w:r>
          </w:p>
        </w:tc>
        <w:tc>
          <w:tcPr>
            <w:tcW w:w="900" w:type="dxa"/>
            <w:tcBorders/>
            <w:shd w:color="auto" w:fill="auto" w:val="clear"/>
          </w:tcPr>
          <w:p>
            <w:pPr>
              <w:pStyle w:val="Paragraph"/>
              <w:spacing w:before="0" w:after="0"/>
              <w:ind w:hanging="0"/>
              <w:rPr/>
            </w:pPr>
            <w:r>
              <w:rPr>
                <w:sz w:val="20"/>
                <w:szCs w:val="20"/>
              </w:rPr>
              <w:t>0.08</w:t>
            </w:r>
          </w:p>
        </w:tc>
      </w:tr>
      <w:tr>
        <w:trPr/>
        <w:tc>
          <w:tcPr>
            <w:tcW w:w="3339" w:type="dxa"/>
            <w:tcBorders/>
            <w:shd w:color="auto" w:fill="auto" w:val="clear"/>
          </w:tcPr>
          <w:p>
            <w:pPr>
              <w:pStyle w:val="Paragraph"/>
              <w:spacing w:before="0" w:after="0"/>
              <w:ind w:hanging="0"/>
              <w:rPr/>
            </w:pPr>
            <w:r>
              <w:rPr>
                <w:b/>
                <w:bCs/>
                <w:sz w:val="20"/>
                <w:szCs w:val="20"/>
              </w:rPr>
              <w:t>Raman spectra (%, LAD)</w:t>
            </w:r>
          </w:p>
        </w:tc>
        <w:tc>
          <w:tcPr>
            <w:tcW w:w="1023" w:type="dxa"/>
            <w:tcBorders/>
            <w:shd w:color="auto" w:fill="auto" w:val="clear"/>
          </w:tcPr>
          <w:p>
            <w:pPr>
              <w:pStyle w:val="Paragraph"/>
              <w:spacing w:before="0" w:after="0"/>
              <w:ind w:hanging="0"/>
              <w:rPr/>
            </w:pPr>
            <w:r>
              <w:rPr>
                <w:sz w:val="20"/>
                <w:szCs w:val="20"/>
              </w:rPr>
              <w:t>18</w:t>
            </w:r>
          </w:p>
        </w:tc>
        <w:tc>
          <w:tcPr>
            <w:tcW w:w="1166" w:type="dxa"/>
            <w:tcBorders/>
            <w:shd w:color="auto" w:fill="auto" w:val="clear"/>
          </w:tcPr>
          <w:p>
            <w:pPr>
              <w:pStyle w:val="Paragraph"/>
              <w:spacing w:before="0" w:after="0"/>
              <w:ind w:hanging="0"/>
              <w:rPr/>
            </w:pPr>
            <w:r>
              <w:rPr>
                <w:sz w:val="20"/>
                <w:szCs w:val="20"/>
              </w:rPr>
              <w:t>22</w:t>
            </w:r>
          </w:p>
        </w:tc>
        <w:tc>
          <w:tcPr>
            <w:tcW w:w="900" w:type="dxa"/>
            <w:tcBorders/>
            <w:shd w:color="auto" w:fill="auto" w:val="clear"/>
          </w:tcPr>
          <w:p>
            <w:pPr>
              <w:pStyle w:val="Paragraph"/>
              <w:spacing w:before="0" w:after="0"/>
              <w:ind w:hanging="0"/>
              <w:rPr/>
            </w:pPr>
            <w:r>
              <w:rPr>
                <w:sz w:val="20"/>
                <w:szCs w:val="20"/>
              </w:rPr>
              <w:t>-</w:t>
            </w:r>
          </w:p>
        </w:tc>
      </w:tr>
      <w:tr>
        <w:trPr/>
        <w:tc>
          <w:tcPr>
            <w:tcW w:w="3339" w:type="dxa"/>
            <w:tcBorders/>
            <w:shd w:color="auto" w:fill="auto" w:val="clear"/>
          </w:tcPr>
          <w:p>
            <w:pPr>
              <w:pStyle w:val="Paragraph"/>
              <w:spacing w:before="0" w:after="0"/>
              <w:ind w:hanging="0"/>
              <w:rPr/>
            </w:pPr>
            <w:r>
              <w:rPr>
                <w:b/>
                <w:bCs/>
                <w:sz w:val="20"/>
                <w:szCs w:val="20"/>
              </w:rPr>
              <w:t>Refractive index</w:t>
            </w:r>
          </w:p>
        </w:tc>
        <w:tc>
          <w:tcPr>
            <w:tcW w:w="1023" w:type="dxa"/>
            <w:tcBorders/>
            <w:shd w:color="auto" w:fill="auto" w:val="clear"/>
          </w:tcPr>
          <w:p>
            <w:pPr>
              <w:pStyle w:val="Paragraph"/>
              <w:spacing w:before="0" w:after="0"/>
              <w:ind w:hanging="0"/>
              <w:rPr/>
            </w:pPr>
            <w:r>
              <w:rPr>
                <w:sz w:val="20"/>
                <w:szCs w:val="20"/>
              </w:rPr>
              <w:t>0.003</w:t>
            </w:r>
          </w:p>
        </w:tc>
        <w:tc>
          <w:tcPr>
            <w:tcW w:w="1166" w:type="dxa"/>
            <w:tcBorders/>
            <w:shd w:color="auto" w:fill="auto" w:val="clear"/>
          </w:tcPr>
          <w:p>
            <w:pPr>
              <w:pStyle w:val="Paragraph"/>
              <w:spacing w:before="0" w:after="0"/>
              <w:ind w:hanging="0"/>
              <w:rPr/>
            </w:pPr>
            <w:r>
              <w:rPr>
                <w:sz w:val="20"/>
                <w:szCs w:val="20"/>
              </w:rPr>
              <w:t>0.003</w:t>
            </w:r>
          </w:p>
        </w:tc>
        <w:tc>
          <w:tcPr>
            <w:tcW w:w="900" w:type="dxa"/>
            <w:tcBorders/>
            <w:shd w:color="auto" w:fill="auto" w:val="clear"/>
          </w:tcPr>
          <w:p>
            <w:pPr>
              <w:pStyle w:val="Paragraph"/>
              <w:spacing w:before="0" w:after="0"/>
              <w:ind w:hanging="0"/>
              <w:rPr/>
            </w:pPr>
            <w:r>
              <w:rPr>
                <w:sz w:val="20"/>
                <w:szCs w:val="20"/>
              </w:rPr>
              <w:t>0.005</w:t>
            </w:r>
          </w:p>
        </w:tc>
      </w:tr>
    </w:tbl>
    <w:p>
      <w:pPr>
        <w:pStyle w:val="Paragraph"/>
        <w:spacing w:before="0" w:after="0"/>
        <w:ind w:hanging="0"/>
        <w:rPr/>
      </w:pPr>
      <w:r>
        <w:rPr/>
      </w:r>
    </w:p>
    <w:p>
      <w:pPr>
        <w:pStyle w:val="Paragraph"/>
        <w:spacing w:before="0" w:after="0"/>
        <w:ind w:hanging="0"/>
        <w:rPr/>
      </w:pPr>
      <w:r>
        <w:rPr>
          <w:b/>
          <w:iCs/>
        </w:rPr>
        <w:t xml:space="preserve">Table S3: Root-mean-square errors of the </w:t>
      </w:r>
      <w:r>
        <w:rPr>
          <w:rFonts w:eastAsia="Times New Roman" w:cs="Times New Roman"/>
          <w:b/>
          <w:iCs/>
          <w:color w:val="auto"/>
          <w:kern w:val="0"/>
          <w:sz w:val="24"/>
          <w:szCs w:val="24"/>
          <w:lang w:val="en-US" w:eastAsia="en-US" w:bidi="ar-SA"/>
        </w:rPr>
        <w:t>deep learning framework</w:t>
      </w:r>
      <w:r>
        <w:rPr>
          <w:b/>
          <w:iCs/>
        </w:rPr>
        <w:t>.</w:t>
      </w:r>
      <w:r>
        <w:rPr>
          <w:bCs/>
          <w:iCs/>
        </w:rPr>
        <w:t xml:space="preserve"> RMSE calculated between measured and predicted melt viscosity, density, refractive index, except for Raman spectra where a different metric is used (median least absolute deviation LAD).</w:t>
      </w:r>
    </w:p>
    <w:sectPr>
      <w:headerReference w:type="default" r:id="rId8"/>
      <w:footerReference w:type="default" r:id="rId9"/>
      <w:type w:val="nextPage"/>
      <w:pgSz w:w="12240" w:h="15840"/>
      <w:pgMar w:left="1440" w:right="1440" w:header="720" w:top="1440" w:footer="720" w:bottom="144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imes">
    <w:altName w:val="Times New Roman"/>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Symbol">
    <w:charset w:val="01"/>
    <w:family w:val="roman"/>
    <w:pitch w:val="variable"/>
  </w:font>
  <w:font w:name="Ubuntu">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17</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0"/>
      </w:rPr>
    </w:pPr>
    <w:r>
      <w:rPr>
        <w:sz w:val="20"/>
      </w:rPr>
    </w:r>
  </w:p>
  <w:p>
    <w:pPr>
      <w:pStyle w:val="Normal"/>
      <w:rPr/>
    </w:pPr>
    <w:r>
      <w:rPr/>
    </w:r>
  </w:p>
</w:hdr>
</file>

<file path=word/settings.xml><?xml version="1.0" encoding="utf-8"?>
<w:settings xmlns:w="http://schemas.openxmlformats.org/wordprocessingml/2006/main">
  <w:zoom w:percent="11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f630ea"/>
    <w:pPr>
      <w:widowControl/>
      <w:suppressAutoHyphens w:val="true"/>
      <w:bidi w:val="0"/>
      <w:spacing w:lineRule="auto" w:line="480" w:before="0" w:after="0"/>
      <w:jc w:val="both"/>
    </w:pPr>
    <w:rPr>
      <w:rFonts w:ascii="Times New Roman" w:hAnsi="Times New Roman" w:eastAsia="Times New Roman" w:cs="Times New Roman"/>
      <w:color w:val="auto"/>
      <w:kern w:val="0"/>
      <w:sz w:val="24"/>
      <w:szCs w:val="20"/>
      <w:lang w:val="en-US" w:eastAsia="en-US" w:bidi="ar-SA"/>
    </w:rPr>
  </w:style>
  <w:style w:type="paragraph" w:styleId="Heading1">
    <w:name w:val="Heading 1"/>
    <w:basedOn w:val="Normal"/>
    <w:next w:val="Normal"/>
    <w:link w:val="Heading1Char"/>
    <w:semiHidden/>
    <w:qFormat/>
    <w:rsid w:val="00b43b31"/>
    <w:pPr>
      <w:keepNext w:val="true"/>
      <w:spacing w:before="240" w:after="60"/>
      <w:outlineLvl w:val="0"/>
    </w:pPr>
    <w:rPr>
      <w:b/>
      <w:bCs/>
      <w:kern w:val="2"/>
      <w:szCs w:val="24"/>
    </w:rPr>
  </w:style>
  <w:style w:type="paragraph" w:styleId="Heading2">
    <w:name w:val="Heading 2"/>
    <w:basedOn w:val="Normal"/>
    <w:next w:val="Normal"/>
    <w:link w:val="Heading2Char"/>
    <w:semiHidden/>
    <w:qFormat/>
    <w:rsid w:val="007411a1"/>
    <w:pPr>
      <w:keepNext w:val="true"/>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val="true"/>
      <w:outlineLvl w:val="2"/>
    </w:pPr>
    <w:rPr>
      <w:rFonts w:ascii="Times" w:hAnsi="Times" w:eastAsia="Times"/>
      <w:b/>
    </w:rPr>
  </w:style>
  <w:style w:type="paragraph" w:styleId="Heading4">
    <w:name w:val="Heading 4"/>
    <w:basedOn w:val="Normal"/>
    <w:next w:val="Normal"/>
    <w:semiHidden/>
    <w:qFormat/>
    <w:rsid w:val="00c600d9"/>
    <w:pPr>
      <w:keepNext w:val="true"/>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sid w:val="00477182"/>
    <w:rPr/>
  </w:style>
  <w:style w:type="character" w:styleId="Heading1Char" w:customStyle="1">
    <w:name w:val="Heading 1 Char"/>
    <w:link w:val="Heading1"/>
    <w:semiHidden/>
    <w:qFormat/>
    <w:rsid w:val="00ff04e3"/>
    <w:rPr>
      <w:b/>
      <w:bCs/>
      <w:kern w:val="2"/>
      <w:sz w:val="24"/>
      <w:szCs w:val="24"/>
    </w:rPr>
  </w:style>
  <w:style w:type="character" w:styleId="Heading2Char" w:customStyle="1">
    <w:name w:val="Heading 2 Char"/>
    <w:link w:val="Heading2"/>
    <w:semiHidden/>
    <w:qFormat/>
    <w:rsid w:val="00ff04e3"/>
    <w:rPr>
      <w:rFonts w:ascii="Cambria" w:hAnsi="Cambria"/>
      <w:b/>
      <w:bCs/>
      <w:i/>
      <w:iCs/>
      <w:sz w:val="28"/>
      <w:szCs w:val="28"/>
    </w:rPr>
  </w:style>
  <w:style w:type="character" w:styleId="Heading5Char" w:customStyle="1">
    <w:name w:val="Heading 5 Char"/>
    <w:link w:val="Heading5"/>
    <w:semiHidden/>
    <w:qFormat/>
    <w:rsid w:val="00ff04e3"/>
    <w:rPr>
      <w:rFonts w:ascii="Calibri" w:hAnsi="Calibri"/>
      <w:b/>
      <w:bCs/>
      <w:i/>
      <w:iCs/>
      <w:sz w:val="26"/>
      <w:szCs w:val="26"/>
    </w:rPr>
  </w:style>
  <w:style w:type="character" w:styleId="Heading6Char" w:customStyle="1">
    <w:name w:val="Heading 6 Char"/>
    <w:link w:val="Heading6"/>
    <w:semiHidden/>
    <w:qFormat/>
    <w:rsid w:val="00ff04e3"/>
    <w:rPr>
      <w:rFonts w:ascii="Calibri" w:hAnsi="Calibri"/>
      <w:b/>
      <w:bCs/>
      <w:sz w:val="22"/>
      <w:szCs w:val="22"/>
    </w:rPr>
  </w:style>
  <w:style w:type="character" w:styleId="Heading7Char" w:customStyle="1">
    <w:name w:val="Heading 7 Char"/>
    <w:link w:val="Heading7"/>
    <w:semiHidden/>
    <w:qFormat/>
    <w:rsid w:val="00ff04e3"/>
    <w:rPr>
      <w:rFonts w:ascii="Calibri" w:hAnsi="Calibri"/>
      <w:sz w:val="24"/>
      <w:szCs w:val="24"/>
    </w:rPr>
  </w:style>
  <w:style w:type="character" w:styleId="Heading8Char" w:customStyle="1">
    <w:name w:val="Heading 8 Char"/>
    <w:link w:val="Heading8"/>
    <w:semiHidden/>
    <w:qFormat/>
    <w:rsid w:val="00ff04e3"/>
    <w:rPr>
      <w:rFonts w:ascii="Calibri" w:hAnsi="Calibri"/>
      <w:i/>
      <w:iCs/>
      <w:sz w:val="24"/>
      <w:szCs w:val="24"/>
    </w:rPr>
  </w:style>
  <w:style w:type="character" w:styleId="Heading9Char" w:customStyle="1">
    <w:name w:val="Heading 9 Char"/>
    <w:link w:val="Heading9"/>
    <w:semiHidden/>
    <w:qFormat/>
    <w:rsid w:val="00ff04e3"/>
    <w:rPr>
      <w:rFonts w:ascii="Cambria" w:hAnsi="Cambria"/>
      <w:sz w:val="22"/>
      <w:szCs w:val="22"/>
    </w:rPr>
  </w:style>
  <w:style w:type="character" w:styleId="BalloonTextChar" w:customStyle="1">
    <w:name w:val="Balloon Text Char"/>
    <w:link w:val="BalloonText"/>
    <w:semiHidden/>
    <w:qFormat/>
    <w:rsid w:val="00ff04e3"/>
    <w:rPr>
      <w:rFonts w:ascii="Tahoma" w:hAnsi="Tahoma" w:cs="Tahoma"/>
      <w:sz w:val="16"/>
      <w:szCs w:val="16"/>
    </w:rPr>
  </w:style>
  <w:style w:type="character" w:styleId="BodyTextChar" w:customStyle="1">
    <w:name w:val="Body Text Char"/>
    <w:link w:val="BodyText"/>
    <w:semiHidden/>
    <w:qFormat/>
    <w:rsid w:val="00ff04e3"/>
    <w:rPr>
      <w:sz w:val="24"/>
    </w:rPr>
  </w:style>
  <w:style w:type="character" w:styleId="BodyText2Char" w:customStyle="1">
    <w:name w:val="Body Text 2 Char"/>
    <w:link w:val="BodyText2"/>
    <w:semiHidden/>
    <w:qFormat/>
    <w:rsid w:val="00ff04e3"/>
    <w:rPr>
      <w:sz w:val="24"/>
    </w:rPr>
  </w:style>
  <w:style w:type="character" w:styleId="BodyText3Char" w:customStyle="1">
    <w:name w:val="Body Text 3 Char"/>
    <w:link w:val="BodyText3"/>
    <w:semiHidden/>
    <w:qFormat/>
    <w:rsid w:val="00ff04e3"/>
    <w:rPr>
      <w:sz w:val="16"/>
      <w:szCs w:val="16"/>
    </w:rPr>
  </w:style>
  <w:style w:type="character" w:styleId="BodyTextFirstIndentChar" w:customStyle="1">
    <w:name w:val="Body Text First Indent Char"/>
    <w:semiHidden/>
    <w:qFormat/>
    <w:rsid w:val="00ff04e3"/>
    <w:rPr>
      <w:sz w:val="24"/>
    </w:rPr>
  </w:style>
  <w:style w:type="character" w:styleId="BodyTextIndentChar" w:customStyle="1">
    <w:name w:val="Body Text Indent Char"/>
    <w:link w:val="BodyTextIndent"/>
    <w:semiHidden/>
    <w:qFormat/>
    <w:rsid w:val="00ff04e3"/>
    <w:rPr>
      <w:sz w:val="24"/>
    </w:rPr>
  </w:style>
  <w:style w:type="character" w:styleId="BodyTextFirstIndent2Char" w:customStyle="1">
    <w:name w:val="Body Text First Indent 2 Char"/>
    <w:link w:val="BodyTextFirstIndent2"/>
    <w:semiHidden/>
    <w:qFormat/>
    <w:rsid w:val="00ff04e3"/>
    <w:rPr>
      <w:sz w:val="24"/>
    </w:rPr>
  </w:style>
  <w:style w:type="character" w:styleId="BodyTextIndent2Char" w:customStyle="1">
    <w:name w:val="Body Text Indent 2 Char"/>
    <w:link w:val="BodyTextIndent2"/>
    <w:semiHidden/>
    <w:qFormat/>
    <w:rsid w:val="00ff04e3"/>
    <w:rPr>
      <w:sz w:val="24"/>
    </w:rPr>
  </w:style>
  <w:style w:type="character" w:styleId="BodyTextIndent3Char" w:customStyle="1">
    <w:name w:val="Body Text Indent 3 Char"/>
    <w:link w:val="BodyTextIndent3"/>
    <w:semiHidden/>
    <w:qFormat/>
    <w:rsid w:val="00ff04e3"/>
    <w:rPr>
      <w:sz w:val="16"/>
      <w:szCs w:val="16"/>
    </w:rPr>
  </w:style>
  <w:style w:type="character" w:styleId="ClosingChar" w:customStyle="1">
    <w:name w:val="Closing Char"/>
    <w:link w:val="Closing"/>
    <w:semiHidden/>
    <w:qFormat/>
    <w:rsid w:val="00ff04e3"/>
    <w:rPr>
      <w:sz w:val="24"/>
    </w:rPr>
  </w:style>
  <w:style w:type="character" w:styleId="CommentTextChar" w:customStyle="1">
    <w:name w:val="Comment Text Char"/>
    <w:basedOn w:val="DefaultParagraphFont"/>
    <w:link w:val="CommentText"/>
    <w:semiHidden/>
    <w:qFormat/>
    <w:rsid w:val="00ff04e3"/>
    <w:rPr/>
  </w:style>
  <w:style w:type="character" w:styleId="CommentSubjectChar" w:customStyle="1">
    <w:name w:val="Comment Subject Char"/>
    <w:link w:val="CommentSubject"/>
    <w:semiHidden/>
    <w:qFormat/>
    <w:rsid w:val="00ff04e3"/>
    <w:rPr>
      <w:b/>
      <w:bCs/>
    </w:rPr>
  </w:style>
  <w:style w:type="character" w:styleId="DateChar" w:customStyle="1">
    <w:name w:val="Date Char"/>
    <w:link w:val="Date"/>
    <w:semiHidden/>
    <w:qFormat/>
    <w:rsid w:val="00ff04e3"/>
    <w:rPr>
      <w:sz w:val="24"/>
    </w:rPr>
  </w:style>
  <w:style w:type="character" w:styleId="DocumentMapChar" w:customStyle="1">
    <w:name w:val="Document Map Char"/>
    <w:link w:val="DocumentMap"/>
    <w:semiHidden/>
    <w:qFormat/>
    <w:rsid w:val="00ff04e3"/>
    <w:rPr>
      <w:rFonts w:ascii="Tahoma" w:hAnsi="Tahoma" w:cs="Tahoma"/>
      <w:sz w:val="16"/>
      <w:szCs w:val="16"/>
    </w:rPr>
  </w:style>
  <w:style w:type="character" w:styleId="EmailSignatureChar" w:customStyle="1">
    <w:name w:val="E-mail Signature Char"/>
    <w:semiHidden/>
    <w:qFormat/>
    <w:rsid w:val="00ff04e3"/>
    <w:rPr>
      <w:sz w:val="24"/>
    </w:rPr>
  </w:style>
  <w:style w:type="character" w:styleId="EndnoteTextChar" w:customStyle="1">
    <w:name w:val="Endnote Text Char"/>
    <w:basedOn w:val="DefaultParagraphFont"/>
    <w:link w:val="EndnoteText"/>
    <w:semiHidden/>
    <w:qFormat/>
    <w:rsid w:val="00ff04e3"/>
    <w:rPr/>
  </w:style>
  <w:style w:type="character" w:styleId="FooterChar" w:customStyle="1">
    <w:name w:val="Footer Char"/>
    <w:link w:val="Footer"/>
    <w:semiHidden/>
    <w:qFormat/>
    <w:rsid w:val="00ff04e3"/>
    <w:rPr>
      <w:sz w:val="24"/>
    </w:rPr>
  </w:style>
  <w:style w:type="character" w:styleId="FootnoteTextChar" w:customStyle="1">
    <w:name w:val="Footnote Text Char"/>
    <w:basedOn w:val="DefaultParagraphFont"/>
    <w:link w:val="FootnoteText"/>
    <w:semiHidden/>
    <w:qFormat/>
    <w:rsid w:val="00ff04e3"/>
    <w:rPr/>
  </w:style>
  <w:style w:type="character" w:styleId="HeaderChar" w:customStyle="1">
    <w:name w:val="Header Char"/>
    <w:link w:val="Header"/>
    <w:semiHidden/>
    <w:qFormat/>
    <w:rsid w:val="00ff04e3"/>
    <w:rPr>
      <w:sz w:val="24"/>
    </w:rPr>
  </w:style>
  <w:style w:type="character" w:styleId="HTMLAddressChar" w:customStyle="1">
    <w:name w:val="HTML Address Char"/>
    <w:link w:val="HTMLAddress"/>
    <w:semiHidden/>
    <w:qFormat/>
    <w:rsid w:val="00ff04e3"/>
    <w:rPr>
      <w:i/>
      <w:iCs/>
      <w:sz w:val="24"/>
    </w:rPr>
  </w:style>
  <w:style w:type="character" w:styleId="HTMLPreformattedChar" w:customStyle="1">
    <w:name w:val="HTML Preformatted Char"/>
    <w:link w:val="HTMLPreformatted"/>
    <w:semiHidden/>
    <w:qFormat/>
    <w:rsid w:val="00ff04e3"/>
    <w:rPr>
      <w:rFonts w:ascii="Courier New" w:hAnsi="Courier New" w:cs="Courier New"/>
    </w:rPr>
  </w:style>
  <w:style w:type="character" w:styleId="IntenseQuoteChar" w:customStyle="1">
    <w:name w:val="Intense Quote Char"/>
    <w:link w:val="IntenseQuote"/>
    <w:uiPriority w:val="30"/>
    <w:semiHidden/>
    <w:qFormat/>
    <w:rsid w:val="00ff04e3"/>
    <w:rPr>
      <w:b/>
      <w:bCs/>
      <w:i/>
      <w:iCs/>
      <w:color w:val="4F81BD"/>
      <w:sz w:val="24"/>
    </w:rPr>
  </w:style>
  <w:style w:type="character" w:styleId="MacroTextChar" w:customStyle="1">
    <w:name w:val="Macro Text Char"/>
    <w:link w:val="MacroText"/>
    <w:semiHidden/>
    <w:qFormat/>
    <w:rsid w:val="00ff04e3"/>
    <w:rPr>
      <w:rFonts w:ascii="Courier New" w:hAnsi="Courier New" w:cs="Courier New"/>
      <w:lang w:val="en-US" w:eastAsia="en-US" w:bidi="ar-SA"/>
    </w:rPr>
  </w:style>
  <w:style w:type="character" w:styleId="MessageHeaderChar" w:customStyle="1">
    <w:name w:val="Message Header Char"/>
    <w:link w:val="MessageHeader"/>
    <w:semiHidden/>
    <w:qFormat/>
    <w:rsid w:val="00ff04e3"/>
    <w:rPr>
      <w:rFonts w:ascii="Cambria" w:hAnsi="Cambria"/>
      <w:sz w:val="24"/>
      <w:szCs w:val="24"/>
      <w:shd w:fill="CCCCCC" w:val="clear"/>
    </w:rPr>
  </w:style>
  <w:style w:type="character" w:styleId="NoteHeadingChar" w:customStyle="1">
    <w:name w:val="Note Heading Char"/>
    <w:link w:val="NoteHeading"/>
    <w:semiHidden/>
    <w:qFormat/>
    <w:rsid w:val="00ff04e3"/>
    <w:rPr>
      <w:sz w:val="24"/>
    </w:rPr>
  </w:style>
  <w:style w:type="character" w:styleId="PlainTextChar" w:customStyle="1">
    <w:name w:val="Plain Text Char"/>
    <w:link w:val="PlainText"/>
    <w:semiHidden/>
    <w:qFormat/>
    <w:rsid w:val="00ff04e3"/>
    <w:rPr>
      <w:rFonts w:ascii="Courier New" w:hAnsi="Courier New" w:cs="Courier New"/>
    </w:rPr>
  </w:style>
  <w:style w:type="character" w:styleId="QuoteChar" w:customStyle="1">
    <w:name w:val="Quote Char"/>
    <w:link w:val="Quote"/>
    <w:uiPriority w:val="29"/>
    <w:semiHidden/>
    <w:qFormat/>
    <w:rsid w:val="00ff04e3"/>
    <w:rPr>
      <w:i/>
      <w:iCs/>
      <w:color w:val="000000"/>
      <w:sz w:val="24"/>
    </w:rPr>
  </w:style>
  <w:style w:type="character" w:styleId="SalutationChar" w:customStyle="1">
    <w:name w:val="Salutation Char"/>
    <w:link w:val="Salutation"/>
    <w:semiHidden/>
    <w:qFormat/>
    <w:rsid w:val="00ff04e3"/>
    <w:rPr>
      <w:sz w:val="24"/>
    </w:rPr>
  </w:style>
  <w:style w:type="character" w:styleId="SignatureChar" w:customStyle="1">
    <w:name w:val="Signature Char"/>
    <w:link w:val="Signature"/>
    <w:semiHidden/>
    <w:qFormat/>
    <w:rsid w:val="00ff04e3"/>
    <w:rPr>
      <w:sz w:val="24"/>
    </w:rPr>
  </w:style>
  <w:style w:type="character" w:styleId="SubtitleChar" w:customStyle="1">
    <w:name w:val="Subtitle Char"/>
    <w:link w:val="Subtitle"/>
    <w:semiHidden/>
    <w:qFormat/>
    <w:rsid w:val="00ff04e3"/>
    <w:rPr>
      <w:rFonts w:ascii="Cambria" w:hAnsi="Cambria"/>
      <w:sz w:val="24"/>
      <w:szCs w:val="24"/>
    </w:rPr>
  </w:style>
  <w:style w:type="character" w:styleId="TitleChar" w:customStyle="1">
    <w:name w:val="Title Char"/>
    <w:link w:val="Title"/>
    <w:semiHidden/>
    <w:qFormat/>
    <w:rsid w:val="00ff04e3"/>
    <w:rPr>
      <w:rFonts w:ascii="Cambria" w:hAnsi="Cambria"/>
      <w:b/>
      <w:bCs/>
      <w:kern w:val="2"/>
      <w:sz w:val="32"/>
      <w:szCs w:val="32"/>
    </w:rPr>
  </w:style>
  <w:style w:type="character" w:styleId="InternetLink">
    <w:name w:val="Hyperlink"/>
    <w:semiHidden/>
    <w:rsid w:val="007402fc"/>
    <w:rPr>
      <w:color w:val="0000FF"/>
      <w:u w:val="single"/>
    </w:rPr>
  </w:style>
  <w:style w:type="character" w:styleId="VisitedInternetLink">
    <w:name w:val="FollowedHyperlink"/>
    <w:semiHidden/>
    <w:unhideWhenUsed/>
    <w:qFormat/>
    <w:rsid w:val="00793072"/>
    <w:rPr>
      <w:color w:val="800080"/>
      <w:u w:val="single"/>
    </w:rPr>
  </w:style>
  <w:style w:type="character" w:styleId="Annotationreference">
    <w:name w:val="annotation reference"/>
    <w:semiHidden/>
    <w:unhideWhenUsed/>
    <w:qFormat/>
    <w:rsid w:val="00793072"/>
    <w:rPr>
      <w:sz w:val="16"/>
      <w:szCs w:val="16"/>
    </w:rPr>
  </w:style>
  <w:style w:type="character" w:styleId="UnresolvedMention">
    <w:name w:val="Unresolved Mention"/>
    <w:basedOn w:val="DefaultParagraphFont"/>
    <w:uiPriority w:val="99"/>
    <w:semiHidden/>
    <w:unhideWhenUsed/>
    <w:qFormat/>
    <w:rsid w:val="008218c4"/>
    <w:rPr>
      <w:color w:val="808080"/>
      <w:shd w:fill="E6E6E6" w:val="clear"/>
    </w:rPr>
  </w:style>
  <w:style w:type="character" w:styleId="JR" w:customStyle="1">
    <w:name w:val="JR"/>
    <w:qFormat/>
    <w:rPr>
      <w:color w:val="FF0000"/>
      <w:highlight w:val="white"/>
    </w:rPr>
  </w:style>
  <w:style w:type="paragraph" w:styleId="Heading" w:customStyle="1">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link w:val="BodyTextChar"/>
    <w:semiHidden/>
    <w:rsid w:val="00405336"/>
    <w:pPr>
      <w:spacing w:before="0" w:after="120"/>
    </w:pPr>
    <w:rPr/>
  </w:style>
  <w:style w:type="paragraph" w:styleId="List">
    <w:name w:val="List"/>
    <w:basedOn w:val="Normal"/>
    <w:semiHidden/>
    <w:rsid w:val="00405336"/>
    <w:pPr>
      <w:spacing w:before="0" w:after="0"/>
      <w:ind w:left="360" w:hanging="360"/>
      <w:contextualSpacing/>
    </w:pPr>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Arial Unicode MS"/>
    </w:rPr>
  </w:style>
  <w:style w:type="paragraph" w:styleId="Caption1">
    <w:name w:val="caption"/>
    <w:basedOn w:val="Normal"/>
    <w:next w:val="Normal"/>
    <w:semiHidden/>
    <w:qFormat/>
    <w:rsid w:val="00405336"/>
    <w:pPr/>
    <w:rPr>
      <w:b/>
      <w:bCs/>
      <w:sz w:val="20"/>
    </w:rPr>
  </w:style>
  <w:style w:type="paragraph" w:styleId="SMHeading" w:customStyle="1">
    <w:name w:val="SM Heading"/>
    <w:basedOn w:val="Heading1"/>
    <w:qFormat/>
    <w:rsid w:val="00f74f95"/>
    <w:pPr/>
    <w:rPr/>
  </w:style>
  <w:style w:type="paragraph" w:styleId="SMSubheading" w:customStyle="1">
    <w:name w:val="SM Subheading"/>
    <w:basedOn w:val="Normal"/>
    <w:qFormat/>
    <w:rsid w:val="00b9440a"/>
    <w:pPr/>
    <w:rPr>
      <w:u w:val="single"/>
    </w:rPr>
  </w:style>
  <w:style w:type="paragraph" w:styleId="SMText" w:customStyle="1">
    <w:name w:val="SM Text"/>
    <w:basedOn w:val="Normal"/>
    <w:qFormat/>
    <w:rsid w:val="00b9440a"/>
    <w:pPr>
      <w:ind w:firstLine="480"/>
    </w:pPr>
    <w:rPr/>
  </w:style>
  <w:style w:type="paragraph" w:styleId="SMcaption" w:customStyle="1">
    <w:name w:val="SM caption"/>
    <w:basedOn w:val="SMText"/>
    <w:qFormat/>
    <w:rsid w:val="00b9440a"/>
    <w:pPr>
      <w:ind w:hanging="0"/>
    </w:pPr>
    <w:rPr/>
  </w:style>
  <w:style w:type="paragraph" w:styleId="BalloonText">
    <w:name w:val="Balloon Text"/>
    <w:basedOn w:val="Normal"/>
    <w:link w:val="BalloonTextChar"/>
    <w:semiHidden/>
    <w:qFormat/>
    <w:rsid w:val="00405336"/>
    <w:pPr/>
    <w:rPr>
      <w:rFonts w:ascii="Tahoma" w:hAnsi="Tahoma" w:cs="Tahoma"/>
      <w:sz w:val="16"/>
      <w:szCs w:val="16"/>
    </w:rPr>
  </w:style>
  <w:style w:type="paragraph" w:styleId="Bibliography">
    <w:name w:val="Bibliography"/>
    <w:basedOn w:val="Normal"/>
    <w:next w:val="Normal"/>
    <w:uiPriority w:val="37"/>
    <w:semiHidden/>
    <w:qFormat/>
    <w:rsid w:val="00405336"/>
    <w:pPr/>
    <w:rPr/>
  </w:style>
  <w:style w:type="paragraph" w:styleId="BlockText">
    <w:name w:val="Block Text"/>
    <w:basedOn w:val="Normal"/>
    <w:semiHidden/>
    <w:qFormat/>
    <w:rsid w:val="00405336"/>
    <w:pPr>
      <w:spacing w:before="0" w:after="120"/>
      <w:ind w:left="1440" w:right="1440" w:hanging="0"/>
    </w:pPr>
    <w:rPr/>
  </w:style>
  <w:style w:type="paragraph" w:styleId="BodyText2">
    <w:name w:val="Body Text 2"/>
    <w:basedOn w:val="Normal"/>
    <w:link w:val="BodyText2Char"/>
    <w:semiHidden/>
    <w:qFormat/>
    <w:rsid w:val="00405336"/>
    <w:pPr>
      <w:spacing w:before="0" w:after="120"/>
    </w:pPr>
    <w:rPr/>
  </w:style>
  <w:style w:type="paragraph" w:styleId="BodyText3">
    <w:name w:val="Body Text 3"/>
    <w:basedOn w:val="Normal"/>
    <w:link w:val="BodyText3Char"/>
    <w:semiHidden/>
    <w:qFormat/>
    <w:rsid w:val="00405336"/>
    <w:pPr>
      <w:spacing w:before="0" w:after="120"/>
    </w:pPr>
    <w:rPr>
      <w:sz w:val="16"/>
      <w:szCs w:val="16"/>
    </w:rPr>
  </w:style>
  <w:style w:type="paragraph" w:styleId="TextBodyIndent">
    <w:name w:val="Body Text Indent"/>
    <w:basedOn w:val="Normal"/>
    <w:link w:val="BodyTextIndentChar"/>
    <w:semiHidden/>
    <w:rsid w:val="00405336"/>
    <w:pPr>
      <w:spacing w:before="0" w:after="120"/>
      <w:ind w:left="360" w:hanging="0"/>
    </w:pPr>
    <w:rPr/>
  </w:style>
  <w:style w:type="paragraph" w:styleId="BodyTextFirstIndent2">
    <w:name w:val="Body Text First Indent 2"/>
    <w:basedOn w:val="TextBodyIndent"/>
    <w:link w:val="BodyTextFirstIndent2Char"/>
    <w:semiHidden/>
    <w:qFormat/>
    <w:rsid w:val="00405336"/>
    <w:pPr>
      <w:ind w:left="360" w:firstLine="210"/>
    </w:pPr>
    <w:rPr/>
  </w:style>
  <w:style w:type="paragraph" w:styleId="BodyTextIndent2">
    <w:name w:val="Body Text Indent 2"/>
    <w:basedOn w:val="Normal"/>
    <w:link w:val="BodyTextIndent2Char"/>
    <w:semiHidden/>
    <w:qFormat/>
    <w:rsid w:val="00405336"/>
    <w:pPr>
      <w:spacing w:before="0" w:after="120"/>
      <w:ind w:left="360" w:hanging="0"/>
    </w:pPr>
    <w:rPr/>
  </w:style>
  <w:style w:type="paragraph" w:styleId="BodyTextIndent3">
    <w:name w:val="Body Text Indent 3"/>
    <w:basedOn w:val="Normal"/>
    <w:link w:val="BodyTextIndent3Char"/>
    <w:semiHidden/>
    <w:qFormat/>
    <w:rsid w:val="00405336"/>
    <w:pPr>
      <w:spacing w:before="0" w:after="120"/>
      <w:ind w:left="360" w:hanging="0"/>
    </w:pPr>
    <w:rPr>
      <w:sz w:val="16"/>
      <w:szCs w:val="16"/>
    </w:rPr>
  </w:style>
  <w:style w:type="paragraph" w:styleId="Closing">
    <w:name w:val="Closing"/>
    <w:basedOn w:val="Normal"/>
    <w:link w:val="ClosingChar"/>
    <w:semiHidden/>
    <w:qFormat/>
    <w:rsid w:val="00405336"/>
    <w:pPr>
      <w:ind w:left="4320" w:hanging="0"/>
    </w:pPr>
    <w:rPr/>
  </w:style>
  <w:style w:type="paragraph" w:styleId="Annotationtext">
    <w:name w:val="annotation text"/>
    <w:basedOn w:val="Normal"/>
    <w:link w:val="CommentTextChar"/>
    <w:semiHidden/>
    <w:qFormat/>
    <w:rsid w:val="00405336"/>
    <w:pPr/>
    <w:rPr>
      <w:sz w:val="20"/>
    </w:rPr>
  </w:style>
  <w:style w:type="paragraph" w:styleId="Annotationsubject">
    <w:name w:val="annotation subject"/>
    <w:basedOn w:val="Annotationtext"/>
    <w:link w:val="CommentSubjectChar"/>
    <w:semiHidden/>
    <w:qFormat/>
    <w:rsid w:val="00405336"/>
    <w:pPr/>
    <w:rPr>
      <w:b/>
      <w:bCs/>
    </w:rPr>
  </w:style>
  <w:style w:type="paragraph" w:styleId="Date">
    <w:name w:val="Date"/>
    <w:basedOn w:val="Normal"/>
    <w:next w:val="Normal"/>
    <w:link w:val="DateChar"/>
    <w:semiHidden/>
    <w:qFormat/>
    <w:rsid w:val="00405336"/>
    <w:pPr/>
    <w:rPr/>
  </w:style>
  <w:style w:type="paragraph" w:styleId="DocumentMap">
    <w:name w:val="Document Map"/>
    <w:basedOn w:val="Normal"/>
    <w:link w:val="DocumentMapChar"/>
    <w:semiHidden/>
    <w:qFormat/>
    <w:rsid w:val="00405336"/>
    <w:pPr/>
    <w:rPr>
      <w:rFonts w:ascii="Tahoma" w:hAnsi="Tahoma" w:cs="Tahoma"/>
      <w:sz w:val="16"/>
      <w:szCs w:val="16"/>
    </w:rPr>
  </w:style>
  <w:style w:type="paragraph" w:styleId="EmailSignature">
    <w:name w:val="E-mail Signature"/>
    <w:basedOn w:val="Normal"/>
    <w:semiHidden/>
    <w:qFormat/>
    <w:rsid w:val="00405336"/>
    <w:pPr/>
    <w:rPr/>
  </w:style>
  <w:style w:type="paragraph" w:styleId="Endnote">
    <w:name w:val="Endnote Text"/>
    <w:basedOn w:val="Normal"/>
    <w:link w:val="EndnoteTextChar"/>
    <w:semiHidden/>
    <w:rsid w:val="00405336"/>
    <w:pPr/>
    <w:rPr>
      <w:sz w:val="20"/>
    </w:rPr>
  </w:style>
  <w:style w:type="paragraph" w:styleId="Envelopeaddress">
    <w:name w:val="envelope address"/>
    <w:basedOn w:val="Normal"/>
    <w:semiHidden/>
    <w:qFormat/>
    <w:rsid w:val="00405336"/>
    <w:pPr>
      <w:ind w:left="2880" w:hanging="0"/>
    </w:pPr>
    <w:rPr>
      <w:rFonts w:ascii="Cambria" w:hAnsi="Cambria"/>
      <w:szCs w:val="24"/>
    </w:rPr>
  </w:style>
  <w:style w:type="paragraph" w:styleId="Envelopereturn">
    <w:name w:val="envelope return"/>
    <w:basedOn w:val="Normal"/>
    <w:semiHidden/>
    <w:qFormat/>
    <w:rsid w:val="00405336"/>
    <w:pPr/>
    <w:rPr>
      <w:rFonts w:ascii="Cambria" w:hAnsi="Cambria"/>
      <w:sz w:val="20"/>
    </w:rPr>
  </w:style>
  <w:style w:type="paragraph" w:styleId="HeaderandFooter" w:customStyle="1">
    <w:name w:val="Header and Footer"/>
    <w:basedOn w:val="Normal"/>
    <w:qFormat/>
    <w:pPr/>
    <w:rPr/>
  </w:style>
  <w:style w:type="paragraph" w:styleId="Footer">
    <w:name w:val="Footer"/>
    <w:basedOn w:val="Normal"/>
    <w:link w:val="FooterChar"/>
    <w:semiHidden/>
    <w:rsid w:val="00405336"/>
    <w:pPr>
      <w:tabs>
        <w:tab w:val="clear" w:pos="720"/>
        <w:tab w:val="center" w:pos="4680" w:leader="none"/>
        <w:tab w:val="right" w:pos="9360" w:leader="none"/>
      </w:tabs>
    </w:pPr>
    <w:rPr/>
  </w:style>
  <w:style w:type="paragraph" w:styleId="Footnote">
    <w:name w:val="Footnote Text"/>
    <w:basedOn w:val="Normal"/>
    <w:link w:val="FootnoteTextChar"/>
    <w:semiHidden/>
    <w:rsid w:val="00405336"/>
    <w:pPr/>
    <w:rPr>
      <w:sz w:val="20"/>
    </w:rPr>
  </w:style>
  <w:style w:type="paragraph" w:styleId="Header">
    <w:name w:val="Header"/>
    <w:basedOn w:val="Normal"/>
    <w:link w:val="HeaderChar"/>
    <w:semiHidden/>
    <w:rsid w:val="00405336"/>
    <w:pPr>
      <w:tabs>
        <w:tab w:val="clear" w:pos="720"/>
        <w:tab w:val="center" w:pos="4680" w:leader="none"/>
        <w:tab w:val="right" w:pos="9360" w:leader="none"/>
      </w:tabs>
    </w:pPr>
    <w:rPr/>
  </w:style>
  <w:style w:type="paragraph" w:styleId="HTMLAddress">
    <w:name w:val="HTML Address"/>
    <w:basedOn w:val="Normal"/>
    <w:link w:val="HTMLAddressChar"/>
    <w:semiHidden/>
    <w:qFormat/>
    <w:rsid w:val="00405336"/>
    <w:pPr/>
    <w:rPr>
      <w:i/>
      <w:iCs/>
    </w:rPr>
  </w:style>
  <w:style w:type="paragraph" w:styleId="HTMLPreformatted">
    <w:name w:val="HTML Preformatted"/>
    <w:basedOn w:val="Normal"/>
    <w:link w:val="HTMLPreformattedChar"/>
    <w:semiHidden/>
    <w:qFormat/>
    <w:rsid w:val="00405336"/>
    <w:pPr/>
    <w:rPr>
      <w:rFonts w:ascii="Courier New" w:hAnsi="Courier New" w:cs="Courier New"/>
      <w:sz w:val="20"/>
    </w:rPr>
  </w:style>
  <w:style w:type="paragraph" w:styleId="Index1">
    <w:name w:val="index 1"/>
    <w:basedOn w:val="Normal"/>
    <w:next w:val="Normal"/>
    <w:autoRedefine/>
    <w:semiHidden/>
    <w:qFormat/>
    <w:rsid w:val="00405336"/>
    <w:pPr>
      <w:ind w:left="240" w:hanging="240"/>
    </w:pPr>
    <w:rPr/>
  </w:style>
  <w:style w:type="paragraph" w:styleId="Index2">
    <w:name w:val="index 2"/>
    <w:basedOn w:val="Normal"/>
    <w:next w:val="Normal"/>
    <w:autoRedefine/>
    <w:semiHidden/>
    <w:qFormat/>
    <w:rsid w:val="00405336"/>
    <w:pPr>
      <w:ind w:left="480" w:hanging="240"/>
    </w:pPr>
    <w:rPr/>
  </w:style>
  <w:style w:type="paragraph" w:styleId="Index3">
    <w:name w:val="index 3"/>
    <w:basedOn w:val="Normal"/>
    <w:next w:val="Normal"/>
    <w:autoRedefine/>
    <w:semiHidden/>
    <w:qFormat/>
    <w:rsid w:val="00405336"/>
    <w:pPr>
      <w:ind w:left="720" w:hanging="240"/>
    </w:pPr>
    <w:rPr/>
  </w:style>
  <w:style w:type="paragraph" w:styleId="Index4">
    <w:name w:val="index 4"/>
    <w:basedOn w:val="Normal"/>
    <w:next w:val="Normal"/>
    <w:autoRedefine/>
    <w:semiHidden/>
    <w:qFormat/>
    <w:rsid w:val="00405336"/>
    <w:pPr>
      <w:ind w:left="960" w:hanging="240"/>
    </w:pPr>
    <w:rPr/>
  </w:style>
  <w:style w:type="paragraph" w:styleId="Index5">
    <w:name w:val="index 5"/>
    <w:basedOn w:val="Normal"/>
    <w:next w:val="Normal"/>
    <w:autoRedefine/>
    <w:semiHidden/>
    <w:qFormat/>
    <w:rsid w:val="00405336"/>
    <w:pPr>
      <w:ind w:left="1200" w:hanging="240"/>
    </w:pPr>
    <w:rPr/>
  </w:style>
  <w:style w:type="paragraph" w:styleId="Index6">
    <w:name w:val="index 6"/>
    <w:basedOn w:val="Normal"/>
    <w:next w:val="Normal"/>
    <w:autoRedefine/>
    <w:semiHidden/>
    <w:qFormat/>
    <w:rsid w:val="00405336"/>
    <w:pPr>
      <w:ind w:left="1440" w:hanging="240"/>
    </w:pPr>
    <w:rPr/>
  </w:style>
  <w:style w:type="paragraph" w:styleId="Index7">
    <w:name w:val="index 7"/>
    <w:basedOn w:val="Normal"/>
    <w:next w:val="Normal"/>
    <w:autoRedefine/>
    <w:semiHidden/>
    <w:qFormat/>
    <w:rsid w:val="00405336"/>
    <w:pPr>
      <w:ind w:left="1680" w:hanging="240"/>
    </w:pPr>
    <w:rPr/>
  </w:style>
  <w:style w:type="paragraph" w:styleId="Index8">
    <w:name w:val="index 8"/>
    <w:basedOn w:val="Normal"/>
    <w:next w:val="Normal"/>
    <w:autoRedefine/>
    <w:semiHidden/>
    <w:qFormat/>
    <w:rsid w:val="00405336"/>
    <w:pPr>
      <w:ind w:left="1920" w:hanging="240"/>
    </w:pPr>
    <w:rPr/>
  </w:style>
  <w:style w:type="paragraph" w:styleId="Index9">
    <w:name w:val="index 9"/>
    <w:basedOn w:val="Normal"/>
    <w:next w:val="Normal"/>
    <w:autoRedefine/>
    <w:semiHidden/>
    <w:qFormat/>
    <w:rsid w:val="00405336"/>
    <w:pPr>
      <w:ind w:left="2160" w:hanging="240"/>
    </w:pPr>
    <w:rPr/>
  </w:style>
  <w:style w:type="paragraph" w:styleId="Indexheading">
    <w:name w:val="index heading"/>
    <w:basedOn w:val="Normal"/>
    <w:semiHidden/>
    <w:qFormat/>
    <w:rsid w:val="00405336"/>
    <w:pPr/>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hanging="0"/>
    </w:pPr>
    <w:rPr>
      <w:b/>
      <w:bCs/>
      <w:i/>
      <w:iCs/>
      <w:color w:val="4F81BD"/>
    </w:rPr>
  </w:style>
  <w:style w:type="paragraph" w:styleId="ListBullet3">
    <w:name w:val="List Bullet 3"/>
    <w:basedOn w:val="Normal"/>
    <w:semiHidden/>
    <w:qFormat/>
    <w:rsid w:val="00405336"/>
    <w:pPr>
      <w:spacing w:before="0" w:after="0"/>
      <w:contextualSpacing/>
    </w:pPr>
    <w:rPr/>
  </w:style>
  <w:style w:type="paragraph" w:styleId="ListBullet4">
    <w:name w:val="List Bullet 4"/>
    <w:basedOn w:val="Normal"/>
    <w:semiHidden/>
    <w:qFormat/>
    <w:rsid w:val="00405336"/>
    <w:pPr>
      <w:spacing w:before="0" w:after="0"/>
      <w:contextualSpacing/>
    </w:pPr>
    <w:rPr/>
  </w:style>
  <w:style w:type="paragraph" w:styleId="ListBullet5">
    <w:name w:val="List Bullet 5"/>
    <w:basedOn w:val="Normal"/>
    <w:semiHidden/>
    <w:qFormat/>
    <w:rsid w:val="00405336"/>
    <w:pPr>
      <w:spacing w:before="0" w:after="0"/>
      <w:contextualSpacing/>
    </w:pPr>
    <w:rPr/>
  </w:style>
  <w:style w:type="paragraph" w:styleId="ListNumber">
    <w:name w:val="List Number"/>
    <w:basedOn w:val="Normal"/>
    <w:semiHidden/>
    <w:qFormat/>
    <w:rsid w:val="00405336"/>
    <w:pPr>
      <w:spacing w:before="0" w:after="0"/>
      <w:contextualSpacing/>
    </w:pPr>
    <w:rPr/>
  </w:style>
  <w:style w:type="paragraph" w:styleId="ListBullet">
    <w:name w:val="List Bullet"/>
    <w:basedOn w:val="Normal"/>
    <w:semiHidden/>
    <w:qFormat/>
    <w:rsid w:val="00405336"/>
    <w:pPr>
      <w:spacing w:before="0" w:after="0"/>
      <w:contextualSpacing/>
    </w:pPr>
    <w:rPr/>
  </w:style>
  <w:style w:type="paragraph" w:styleId="ListBullet2">
    <w:name w:val="List Bullet 2"/>
    <w:basedOn w:val="Normal"/>
    <w:semiHidden/>
    <w:qFormat/>
    <w:rsid w:val="00405336"/>
    <w:pPr>
      <w:spacing w:before="0" w:after="0"/>
      <w:contextualSpacing/>
    </w:pPr>
    <w:rPr/>
  </w:style>
  <w:style w:type="paragraph" w:styleId="ListContinue">
    <w:name w:val="List Continue"/>
    <w:basedOn w:val="Normal"/>
    <w:semiHidden/>
    <w:qFormat/>
    <w:rsid w:val="00405336"/>
    <w:pPr>
      <w:spacing w:before="0" w:after="120"/>
      <w:ind w:left="360" w:hanging="0"/>
      <w:contextualSpacing/>
    </w:pPr>
    <w:rPr/>
  </w:style>
  <w:style w:type="paragraph" w:styleId="ListContinue2">
    <w:name w:val="List Continue 2"/>
    <w:basedOn w:val="Normal"/>
    <w:semiHidden/>
    <w:qFormat/>
    <w:rsid w:val="00405336"/>
    <w:pPr>
      <w:spacing w:before="0" w:after="120"/>
      <w:ind w:left="720" w:hanging="0"/>
      <w:contextualSpacing/>
    </w:pPr>
    <w:rPr/>
  </w:style>
  <w:style w:type="paragraph" w:styleId="ListContinue3">
    <w:name w:val="List Continue 3"/>
    <w:basedOn w:val="Normal"/>
    <w:semiHidden/>
    <w:qFormat/>
    <w:rsid w:val="00405336"/>
    <w:pPr>
      <w:spacing w:before="0" w:after="120"/>
      <w:ind w:left="1080" w:hanging="0"/>
      <w:contextualSpacing/>
    </w:pPr>
    <w:rPr/>
  </w:style>
  <w:style w:type="paragraph" w:styleId="ListContinue4">
    <w:name w:val="List Continue 4"/>
    <w:basedOn w:val="Normal"/>
    <w:semiHidden/>
    <w:qFormat/>
    <w:rsid w:val="00405336"/>
    <w:pPr>
      <w:spacing w:before="0" w:after="120"/>
      <w:ind w:left="1440" w:hanging="0"/>
      <w:contextualSpacing/>
    </w:pPr>
    <w:rPr/>
  </w:style>
  <w:style w:type="paragraph" w:styleId="ListContinue5">
    <w:name w:val="List Continue 5"/>
    <w:basedOn w:val="Normal"/>
    <w:semiHidden/>
    <w:qFormat/>
    <w:rsid w:val="00405336"/>
    <w:pPr>
      <w:spacing w:before="0" w:after="120"/>
      <w:ind w:left="1800" w:hanging="0"/>
      <w:contextualSpacing/>
    </w:pPr>
    <w:rPr/>
  </w:style>
  <w:style w:type="paragraph" w:styleId="ListNumber2">
    <w:name w:val="List Number 2"/>
    <w:basedOn w:val="Normal"/>
    <w:semiHidden/>
    <w:qFormat/>
    <w:rsid w:val="00405336"/>
    <w:pPr>
      <w:spacing w:before="0" w:after="0"/>
      <w:contextualSpacing/>
    </w:pPr>
    <w:rPr/>
  </w:style>
  <w:style w:type="paragraph" w:styleId="ListNumber3">
    <w:name w:val="List Number 3"/>
    <w:basedOn w:val="Normal"/>
    <w:semiHidden/>
    <w:qFormat/>
    <w:rsid w:val="00405336"/>
    <w:pPr>
      <w:spacing w:before="0" w:after="0"/>
      <w:contextualSpacing/>
    </w:pPr>
    <w:rPr/>
  </w:style>
  <w:style w:type="paragraph" w:styleId="ListNumber4">
    <w:name w:val="List Number 4"/>
    <w:basedOn w:val="Normal"/>
    <w:semiHidden/>
    <w:qFormat/>
    <w:rsid w:val="00405336"/>
    <w:pPr>
      <w:spacing w:before="0" w:after="0"/>
      <w:contextualSpacing/>
    </w:pPr>
    <w:rPr/>
  </w:style>
  <w:style w:type="paragraph" w:styleId="ListNumber5">
    <w:name w:val="List Number 5"/>
    <w:basedOn w:val="Normal"/>
    <w:semiHidden/>
    <w:qFormat/>
    <w:rsid w:val="00405336"/>
    <w:pPr>
      <w:spacing w:before="0" w:after="0"/>
      <w:contextualSpacing/>
    </w:pPr>
    <w:rPr/>
  </w:style>
  <w:style w:type="paragraph" w:styleId="ListParagraph">
    <w:name w:val="List Paragraph"/>
    <w:basedOn w:val="Normal"/>
    <w:uiPriority w:val="34"/>
    <w:semiHidden/>
    <w:qFormat/>
    <w:rsid w:val="00405336"/>
    <w:pPr>
      <w:ind w:left="720" w:hanging="0"/>
    </w:pPr>
    <w:rPr/>
  </w:style>
  <w:style w:type="paragraph" w:styleId="Macro">
    <w:name w:val="macro"/>
    <w:link w:val="MacroTextChar"/>
    <w:semiHidden/>
    <w:qFormat/>
    <w:rsid w:val="00405336"/>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before="0" w:after="0"/>
      <w:jc w:val="left"/>
    </w:pPr>
    <w:rPr>
      <w:rFonts w:ascii="Courier New" w:hAnsi="Courier New" w:eastAsia="Times New Roman" w:cs="Courier New"/>
      <w:color w:val="auto"/>
      <w:kern w:val="0"/>
      <w:sz w:val="24"/>
      <w:szCs w:val="20"/>
      <w:lang w:val="en-US" w:eastAsia="en-US" w:bidi="ar-SA"/>
    </w:rPr>
  </w:style>
  <w:style w:type="paragraph" w:styleId="MessageHeader">
    <w:name w:val="Message Header"/>
    <w:basedOn w:val="Normal"/>
    <w:link w:val="MessageHeaderChar"/>
    <w:semiHidden/>
    <w:qFormat/>
    <w:rsid w:val="00405336"/>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Cambria" w:hAnsi="Cambria"/>
      <w:szCs w:val="24"/>
    </w:rPr>
  </w:style>
  <w:style w:type="paragraph" w:styleId="NoSpacing">
    <w:name w:val="No Spacing"/>
    <w:uiPriority w:val="1"/>
    <w:semiHidden/>
    <w:qFormat/>
    <w:rsid w:val="00405336"/>
    <w:pPr>
      <w:widowControl/>
      <w:suppressAutoHyphens w:val="true"/>
      <w:bidi w:val="0"/>
      <w:spacing w:before="0" w:after="0"/>
      <w:jc w:val="left"/>
    </w:pPr>
    <w:rPr>
      <w:rFonts w:ascii="Times New Roman" w:hAnsi="Times New Roman" w:eastAsia="Times New Roman" w:cs="Times New Roman"/>
      <w:color w:val="auto"/>
      <w:kern w:val="0"/>
      <w:sz w:val="24"/>
      <w:szCs w:val="20"/>
      <w:lang w:val="en-US" w:eastAsia="en-US" w:bidi="ar-SA"/>
    </w:rPr>
  </w:style>
  <w:style w:type="paragraph" w:styleId="NormalWeb">
    <w:name w:val="Normal (Web)"/>
    <w:basedOn w:val="Normal"/>
    <w:semiHidden/>
    <w:qFormat/>
    <w:rsid w:val="00405336"/>
    <w:pPr/>
    <w:rPr>
      <w:szCs w:val="24"/>
    </w:rPr>
  </w:style>
  <w:style w:type="paragraph" w:styleId="NormalIndent">
    <w:name w:val="Normal Indent"/>
    <w:basedOn w:val="Normal"/>
    <w:semiHidden/>
    <w:qFormat/>
    <w:rsid w:val="00405336"/>
    <w:pPr>
      <w:ind w:left="720" w:hanging="0"/>
    </w:pPr>
    <w:rPr/>
  </w:style>
  <w:style w:type="paragraph" w:styleId="NoteHeading">
    <w:name w:val="Note Heading"/>
    <w:basedOn w:val="Normal"/>
    <w:next w:val="Normal"/>
    <w:link w:val="NoteHeadingChar"/>
    <w:semiHidden/>
    <w:qFormat/>
    <w:rsid w:val="00405336"/>
    <w:pPr/>
    <w:rPr/>
  </w:style>
  <w:style w:type="paragraph" w:styleId="PlainText">
    <w:name w:val="Plain Text"/>
    <w:basedOn w:val="Normal"/>
    <w:link w:val="PlainTextChar"/>
    <w:semiHidden/>
    <w:qFormat/>
    <w:rsid w:val="00405336"/>
    <w:pPr/>
    <w:rPr>
      <w:rFonts w:ascii="Courier New" w:hAnsi="Courier New" w:cs="Courier New"/>
      <w:sz w:val="20"/>
    </w:rPr>
  </w:style>
  <w:style w:type="paragraph" w:styleId="Quote">
    <w:name w:val="Quote"/>
    <w:basedOn w:val="Normal"/>
    <w:next w:val="Normal"/>
    <w:link w:val="QuoteChar"/>
    <w:uiPriority w:val="29"/>
    <w:semiHidden/>
    <w:qFormat/>
    <w:rsid w:val="00405336"/>
    <w:pPr/>
    <w:rPr>
      <w:i/>
      <w:iCs/>
      <w:color w:val="000000"/>
    </w:rPr>
  </w:style>
  <w:style w:type="paragraph" w:styleId="ComplimentaryClose">
    <w:name w:val="Salutation"/>
    <w:basedOn w:val="Normal"/>
    <w:next w:val="Normal"/>
    <w:link w:val="SalutationChar"/>
    <w:semiHidden/>
    <w:rsid w:val="00405336"/>
    <w:pPr/>
    <w:rPr/>
  </w:style>
  <w:style w:type="paragraph" w:styleId="Signature">
    <w:name w:val="Signature"/>
    <w:basedOn w:val="Normal"/>
    <w:link w:val="SignatureChar"/>
    <w:semiHidden/>
    <w:rsid w:val="00405336"/>
    <w:pPr>
      <w:ind w:left="4320" w:hanging="0"/>
    </w:pPr>
    <w:rPr/>
  </w:style>
  <w:style w:type="paragraph" w:styleId="Subtitle">
    <w:name w:val="Subtitle"/>
    <w:basedOn w:val="Normal"/>
    <w:next w:val="Normal"/>
    <w:link w:val="SubtitleChar"/>
    <w:semiHidden/>
    <w:qFormat/>
    <w:rsid w:val="00405336"/>
    <w:pPr>
      <w:spacing w:before="0" w:after="60"/>
      <w:jc w:val="center"/>
      <w:outlineLvl w:val="1"/>
    </w:pPr>
    <w:rPr>
      <w:rFonts w:ascii="Cambria" w:hAnsi="Cambria"/>
      <w:szCs w:val="24"/>
    </w:rPr>
  </w:style>
  <w:style w:type="paragraph" w:styleId="Tableofauthorities">
    <w:name w:val="table of authorities"/>
    <w:basedOn w:val="Normal"/>
    <w:next w:val="Normal"/>
    <w:semiHidden/>
    <w:qFormat/>
    <w:rsid w:val="00405336"/>
    <w:pPr>
      <w:ind w:left="240" w:hanging="240"/>
    </w:pPr>
    <w:rPr/>
  </w:style>
  <w:style w:type="paragraph" w:styleId="Tableoffigures">
    <w:name w:val="table of figures"/>
    <w:basedOn w:val="Normal"/>
    <w:next w:val="Normal"/>
    <w:semiHidden/>
    <w:qFormat/>
    <w:rsid w:val="00405336"/>
    <w:pPr/>
    <w:rPr/>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
      <w:sz w:val="32"/>
      <w:szCs w:val="32"/>
    </w:rPr>
  </w:style>
  <w:style w:type="paragraph" w:styleId="Toaheading">
    <w:name w:val="toa heading"/>
    <w:basedOn w:val="Normal"/>
    <w:next w:val="Normal"/>
    <w:semiHidden/>
    <w:qFormat/>
    <w:rsid w:val="00405336"/>
    <w:pPr>
      <w:spacing w:before="120" w:after="0"/>
    </w:pPr>
    <w:rPr>
      <w:rFonts w:ascii="Cambria" w:hAnsi="Cambria"/>
      <w:b/>
      <w:bCs/>
      <w:szCs w:val="24"/>
    </w:rPr>
  </w:style>
  <w:style w:type="paragraph" w:styleId="Contents1">
    <w:name w:val="TOC 1"/>
    <w:basedOn w:val="Normal"/>
    <w:next w:val="Normal"/>
    <w:autoRedefine/>
    <w:semiHidden/>
    <w:rsid w:val="00405336"/>
    <w:pPr/>
    <w:rPr/>
  </w:style>
  <w:style w:type="paragraph" w:styleId="Contents2">
    <w:name w:val="TOC 2"/>
    <w:basedOn w:val="Normal"/>
    <w:next w:val="Normal"/>
    <w:autoRedefine/>
    <w:semiHidden/>
    <w:rsid w:val="00405336"/>
    <w:pPr>
      <w:ind w:left="240" w:hanging="0"/>
    </w:pPr>
    <w:rPr/>
  </w:style>
  <w:style w:type="paragraph" w:styleId="Contents3">
    <w:name w:val="TOC 3"/>
    <w:basedOn w:val="Normal"/>
    <w:next w:val="Normal"/>
    <w:autoRedefine/>
    <w:semiHidden/>
    <w:rsid w:val="00405336"/>
    <w:pPr>
      <w:ind w:left="480" w:hanging="0"/>
    </w:pPr>
    <w:rPr/>
  </w:style>
  <w:style w:type="paragraph" w:styleId="Contents4">
    <w:name w:val="TOC 4"/>
    <w:basedOn w:val="Normal"/>
    <w:next w:val="Normal"/>
    <w:autoRedefine/>
    <w:semiHidden/>
    <w:rsid w:val="00405336"/>
    <w:pPr>
      <w:ind w:left="720" w:hanging="0"/>
    </w:pPr>
    <w:rPr/>
  </w:style>
  <w:style w:type="paragraph" w:styleId="Contents5">
    <w:name w:val="TOC 5"/>
    <w:basedOn w:val="Normal"/>
    <w:next w:val="Normal"/>
    <w:autoRedefine/>
    <w:semiHidden/>
    <w:rsid w:val="00405336"/>
    <w:pPr>
      <w:ind w:left="960" w:hanging="0"/>
    </w:pPr>
    <w:rPr/>
  </w:style>
  <w:style w:type="paragraph" w:styleId="Contents6">
    <w:name w:val="TOC 6"/>
    <w:basedOn w:val="Normal"/>
    <w:next w:val="Normal"/>
    <w:autoRedefine/>
    <w:semiHidden/>
    <w:rsid w:val="00405336"/>
    <w:pPr>
      <w:ind w:left="1200" w:hanging="0"/>
    </w:pPr>
    <w:rPr/>
  </w:style>
  <w:style w:type="paragraph" w:styleId="Contents7">
    <w:name w:val="TOC 7"/>
    <w:basedOn w:val="Normal"/>
    <w:next w:val="Normal"/>
    <w:autoRedefine/>
    <w:semiHidden/>
    <w:rsid w:val="00405336"/>
    <w:pPr>
      <w:ind w:left="1440" w:hanging="0"/>
    </w:pPr>
    <w:rPr/>
  </w:style>
  <w:style w:type="paragraph" w:styleId="Contents8">
    <w:name w:val="TOC 8"/>
    <w:basedOn w:val="Normal"/>
    <w:next w:val="Normal"/>
    <w:autoRedefine/>
    <w:semiHidden/>
    <w:rsid w:val="00405336"/>
    <w:pPr>
      <w:ind w:left="1680" w:hanging="0"/>
    </w:pPr>
    <w:rPr/>
  </w:style>
  <w:style w:type="paragraph" w:styleId="Contents9">
    <w:name w:val="TOC 9"/>
    <w:basedOn w:val="Normal"/>
    <w:next w:val="Normal"/>
    <w:autoRedefine/>
    <w:semiHidden/>
    <w:rsid w:val="00405336"/>
    <w:pPr>
      <w:ind w:left="1920" w:hanging="0"/>
    </w:pPr>
    <w:rPr/>
  </w:style>
  <w:style w:type="paragraph" w:styleId="TOCHeading">
    <w:name w:val="TOC Heading"/>
    <w:basedOn w:val="Heading1"/>
    <w:next w:val="Normal"/>
    <w:uiPriority w:val="39"/>
    <w:semiHidden/>
    <w:unhideWhenUsed/>
    <w:qFormat/>
    <w:rsid w:val="00405336"/>
    <w:pPr/>
    <w:rPr>
      <w:rFonts w:ascii="Cambria" w:hAnsi="Cambria"/>
      <w:sz w:val="32"/>
      <w:szCs w:val="32"/>
    </w:rPr>
  </w:style>
  <w:style w:type="paragraph" w:styleId="PreformattedText" w:customStyle="1">
    <w:name w:val="Preformatted Text"/>
    <w:basedOn w:val="Normal"/>
    <w:qFormat/>
    <w:pPr/>
    <w:rPr>
      <w:rFonts w:ascii="Liberation Mono" w:hAnsi="Liberation Mono" w:eastAsia="Liberation Mono" w:cs="Liberation Mono"/>
    </w:rPr>
  </w:style>
  <w:style w:type="paragraph" w:styleId="BaseText" w:customStyle="1">
    <w:name w:val="Base_Text"/>
    <w:qFormat/>
    <w:pPr>
      <w:widowControl/>
      <w:suppressAutoHyphens w:val="true"/>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Paragraph" w:customStyle="1">
    <w:name w:val="Paragraph"/>
    <w:basedOn w:val="BaseText"/>
    <w:qFormat/>
    <w:pPr>
      <w:spacing w:lineRule="auto" w:line="480"/>
      <w:ind w:firstLine="720"/>
      <w:jc w:val="both"/>
    </w:pPr>
    <w:rPr/>
  </w:style>
  <w:style w:type="paragraph" w:styleId="BaseHeading" w:customStyle="1">
    <w:name w:val="Base_Heading"/>
    <w:qFormat/>
    <w:pPr>
      <w:keepNext w:val="true"/>
      <w:widowControl/>
      <w:suppressAutoHyphens w:val="true"/>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SOMHead" w:customStyle="1">
    <w:name w:val="SOMHead"/>
    <w:basedOn w:val="BaseHeading"/>
    <w:qFormat/>
    <w:pPr/>
    <w:rPr>
      <w:b/>
      <w:sz w:val="24"/>
      <w:szCs w:val="24"/>
    </w:rPr>
  </w:style>
  <w:style w:type="paragraph" w:styleId="1stparatext" w:customStyle="1">
    <w:name w:val="1st para text"/>
    <w:basedOn w:val="BaseText"/>
    <w:qFormat/>
    <w:pPr/>
    <w:rPr/>
  </w:style>
  <w:style w:type="paragraph" w:styleId="SOMContent" w:customStyle="1">
    <w:name w:val="SOMContent"/>
    <w:basedOn w:val="1stparatext"/>
    <w:qFormat/>
    <w:pPr/>
    <w:rPr/>
  </w:style>
  <w:style w:type="paragraph" w:styleId="Head" w:customStyle="1">
    <w:name w:val="Head"/>
    <w:basedOn w:val="BaseHeading"/>
    <w:qFormat/>
    <w:pPr>
      <w:spacing w:before="120" w:after="120"/>
      <w:jc w:val="center"/>
    </w:pPr>
    <w:rPr>
      <w:b/>
      <w:bCs/>
    </w:rPr>
  </w:style>
  <w:style w:type="paragraph" w:styleId="Bibliography1" w:customStyle="1">
    <w:name w:val="Bibliography 1"/>
    <w:basedOn w:val="Index"/>
    <w:qFormat/>
    <w:pPr>
      <w:tabs>
        <w:tab w:val="clear" w:pos="720"/>
        <w:tab w:val="left" w:pos="504" w:leader="none"/>
      </w:tabs>
      <w:spacing w:lineRule="atLeast" w:line="240" w:before="0" w:after="240"/>
      <w:ind w:left="504" w:hanging="504"/>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D14AE-0E71-4A47-A1F7-1A40238B2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5326</TotalTime>
  <Application>LibreOffice/6.4.3.2$MacOSX_X86_64 LibreOffice_project/747b5d0ebf89f41c860ec2a39efd7cb15b54f2d8</Application>
  <Pages>21</Pages>
  <Words>3698</Words>
  <Characters>20300</Characters>
  <CharactersWithSpaces>23722</CharactersWithSpaces>
  <Paragraphs>288</Paragraphs>
  <Company>AAAS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2018-01-11T19:58:00Z</dcterms:created>
  <dc:creator>Brooks Hanson</dc:creator>
  <dc:description/>
  <dc:language>en-AU</dc:language>
  <cp:lastModifiedBy>Charles Le Losq</cp:lastModifiedBy>
  <cp:lastPrinted>2020-09-16T14:58:32Z</cp:lastPrinted>
  <dcterms:modified xsi:type="dcterms:W3CDTF">2020-11-26T12:39:05Z</dcterms:modified>
  <cp:revision>296</cp:revision>
  <dc:subject/>
  <dc:title>Supporting Online Material for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AAAS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1A9dOKqt6B0F_1">
    <vt:lpwstr>ZOTERO_ITEM CSL_CITATION {"citationID":"SLQMgEwY","properties":{"formattedCitation":"({\\i{}29}, {\\i{}30})","plainCitation":"(29, 30)","noteIndex":0},"citationItems":[{"id":505,"uris":["http://zotero.org/users/453153/items/B2UZRPWV"],"uri":["http://zoter</vt:lpwstr>
  </property>
  <property fmtid="{D5CDD505-2E9C-101B-9397-08002B2CF9AE}" pid="10" name="ZOTERO_BREF_1A9dOKqt6B0F_2">
    <vt:lpwstr>o.org/users/453153/items/B2UZRPWV"],"itemData":{"id":505,"type":"article-journal","container-title":"Geochimica et Cosmochimica Acta","issue":"2","page":"403-416","title":"Toward a general viscosity equation for natural anhydrous and hydrous silicate melt</vt:lpwstr>
  </property>
  <property fmtid="{D5CDD505-2E9C-101B-9397-08002B2CF9AE}" pid="11" name="ZOTERO_BREF_1A9dOKqt6B0F_3">
    <vt:lpwstr>s","volume":"71","author":[{"family":"Hui","given":"H."},{"family":"Zhang","given":"Y."}],"issued":{"date-parts":[["2007"]]}}},{"id":757,"uris":["http://zotero.org/users/453153/items/5GE3I8II"],"uri":["http://zotero.org/users/453153/items/5GE3I8II"],"item</vt:lpwstr>
  </property>
  <property fmtid="{D5CDD505-2E9C-101B-9397-08002B2CF9AE}" pid="12" name="ZOTERO_BREF_1A9dOKqt6B0F_4">
    <vt:lpwstr>Data":{"id":757,"type":"article-journal","container-title":"Earth and Planetary Science Letters","DOI":"10.1016/j.epsl.2008.03.038","ISSN":"0012821X","issue":"1-4","language":"en","page":"123-134","source":"CrossRef","title":"Viscosity of magmatic liquids</vt:lpwstr>
  </property>
  <property fmtid="{D5CDD505-2E9C-101B-9397-08002B2CF9AE}" pid="13" name="ZOTERO_BREF_1A9dOKqt6B0F_5">
    <vt:lpwstr>: A model","title-short":"Viscosity of magmatic liquids","volume":"271","author":[{"family":"Giordano","given":"D."},{"family":"Russell","given":"J. K."},{"family":"Dingwell","given":"D. B."}],"issued":{"date-parts":[["2008",7]]}}}],"schema":"https://gith</vt:lpwstr>
  </property>
  <property fmtid="{D5CDD505-2E9C-101B-9397-08002B2CF9AE}" pid="14" name="ZOTERO_BREF_1A9dOKqt6B0F_6">
    <vt:lpwstr>ub.com/citation-style-language/schema/raw/master/csl-citation.json"}</vt:lpwstr>
  </property>
  <property fmtid="{D5CDD505-2E9C-101B-9397-08002B2CF9AE}" pid="15" name="ZOTERO_BREF_28gIxYHwNI5w_1">
    <vt:lpwstr>ZOTERO_ITEM CSL_CITATION {"citationID":"OgHMA0c2","properties":{"formattedCitation":"({\\i{}37})","plainCitation":"(37)","noteIndex":0},"citationItems":[{"id":1124,"uris":["http://zotero.org/users/453153/items/CM5D74NE"],"uri":["http://zotero.org/users/45</vt:lpwstr>
  </property>
  <property fmtid="{D5CDD505-2E9C-101B-9397-08002B2CF9AE}" pid="16" name="ZOTERO_BREF_28gIxYHwNI5w_2">
    <vt:lpwstr>3153/items/CM5D74NE"],"itemData":{"id":1124,"type":"article-journal","abstract":"A drop calorimetric study, between 900 and 1800 K, of amorphous SiO2, NaAlSi3O8, NaAlSi2O6, NaAlSiO4 and KAlSi3O8 shows the increase in heat capacity which results from glass</vt:lpwstr>
  </property>
  <property fmtid="{D5CDD505-2E9C-101B-9397-08002B2CF9AE}" pid="17" name="ZOTERO_BREF_28gIxYHwNI5w_3">
    <vt:lpwstr> transitions. For these glasses, the fictive temperature has a negligible effect on the heat capacity above room temperature, but it has an important influence on the enthalpy of formation as obtained from solution calorimetry. From these results and publ</vt:lpwstr>
  </property>
  <property fmtid="{D5CDD505-2E9C-101B-9397-08002B2CF9AE}" pid="18" name="ZOTERO_BREF_28gIxYHwNI5w_4">
    <vt:lpwstr>ished Cp and enthalpy of solution data, several properties have been calculated: the enthalpies of fusion of high albite, nepheline, Jadeite and high sanidine, the thermodynamic functions of amorphous NaAlSi3O8 and KAlSi3O8 between 0 and 2000 K, and some </vt:lpwstr>
  </property>
  <property fmtid="{D5CDD505-2E9C-101B-9397-08002B2CF9AE}" pid="19" name="ZOTERO_BREF_28gIxYHwNI5w_5">
    <vt:lpwstr>mixing properties of liquids along the join SiO2-NaAlSi3O8. The latter data suggest that these liquids behave more closely as athermal solutions than as regular solutions.","container-title":"Geochimica et Cosmochimica Acta","DOI":"10.1016/0016-7037(84)90</vt:lpwstr>
  </property>
  <property fmtid="{D5CDD505-2E9C-101B-9397-08002B2CF9AE}" pid="20" name="ZOTERO_BREF_28gIxYHwNI5w_6">
    <vt:lpwstr>274-6","ISSN":"0016-7037","issue":"3","journalAbbreviation":"Geochimica et Cosmochimica Acta","page":"453-470","source":"ScienceDirect","title":"Glass transitions and thermodynamic properties of amorphous SiO&lt;sub&gt;2&lt;/sub&gt;, NaAlSi&lt;sub&gt;n&lt;/sub&gt;O&lt;sub&gt;2n+2&lt;/sub</vt:lpwstr>
  </property>
  <property fmtid="{D5CDD505-2E9C-101B-9397-08002B2CF9AE}" pid="21" name="ZOTERO_BREF_28gIxYHwNI5w_7">
    <vt:lpwstr>&gt; and KAlSi&lt;sub&gt;3&lt;/sub&gt;O&lt;sub&gt;8&lt;/sub&gt;","volume":"48","author":[{"family":"Richet","given":"Pascal"},{"family":"Bottinga","given":"Yan"}],"issued":{"date-parts":[["1984",3,1]]}}}],"schema":"https://github.com/citation-style-language/schema/raw/master/csl-ci</vt:lpwstr>
  </property>
  <property fmtid="{D5CDD505-2E9C-101B-9397-08002B2CF9AE}" pid="22" name="ZOTERO_BREF_28gIxYHwNI5w_8">
    <vt:lpwstr>tation.json"}</vt:lpwstr>
  </property>
  <property fmtid="{D5CDD505-2E9C-101B-9397-08002B2CF9AE}" pid="23" name="ZOTERO_BREF_49IIyo6ISjaz_1">
    <vt:lpwstr>ZOTERO_ITEM CSL_CITATION {"citationID":"1Vnv2ex5","properties":{"formattedCitation":"({\\i{}6})","plainCitation":"(6)","noteIndex":0},"citationItems":[{"id":5621,"uris":["http://zotero.org/users/453153/items/9CVZQU9I"],"uri":["http://zotero.org/users/4531</vt:lpwstr>
  </property>
  <property fmtid="{D5CDD505-2E9C-101B-9397-08002B2CF9AE}" pid="24" name="ZOTERO_BREF_49IIyo6ISjaz_2">
    <vt:lpwstr>53/items/9CVZQU9I"],"itemData":{"id":5621,"type":"book","call-number":"Q327 .B52 2006","collection-title":"Information science and statistics","event-place":"New York","ISBN":"978-0-387-31073-2","language":"en","number-of-pages":"738","publisher":"Springe</vt:lpwstr>
  </property>
  <property fmtid="{D5CDD505-2E9C-101B-9397-08002B2CF9AE}" pid="25" name="ZOTERO_BREF_49IIyo6ISjaz_3">
    <vt:lpwstr>r","publisher-place":"New York","source":"Library of Congress ISBN","title":"Pattern recognition and machine learning","author":[{"family":"Bishop","given":"Christopher M."}],"issued":{"date-parts":[["2006"]]}}}],"schema":"https://github.com/citation-styl</vt:lpwstr>
  </property>
  <property fmtid="{D5CDD505-2E9C-101B-9397-08002B2CF9AE}" pid="26" name="ZOTERO_BREF_49IIyo6ISjaz_4">
    <vt:lpwstr>e-language/schema/raw/master/csl-citation.json"}</vt:lpwstr>
  </property>
  <property fmtid="{D5CDD505-2E9C-101B-9397-08002B2CF9AE}" pid="27" name="ZOTERO_BREF_5ppr0glj2jos_1">
    <vt:lpwstr>ZOTERO_ITEM CSL_CITATION {"citationID":"KqG6MFGj","properties":{"formattedCitation":"({\\i{}20}, {\\i{}21})","plainCitation":"(20, 21)","noteIndex":0},"citationItems":[{"id":2408,"uris":["http://zotero.org/users/453153/items/6F3ZQ4UW"],"uri":["http://zote</vt:lpwstr>
  </property>
  <property fmtid="{D5CDD505-2E9C-101B-9397-08002B2CF9AE}" pid="28" name="ZOTERO_BREF_5ppr0glj2jos_10">
    <vt:lpwstr>.com","title":"Percolation channels: a universal idea to describe the atomic structure and dynamics of glasses and melts","title-short":"Percolation channels","volume":"7","author":[{"family":"Le Losq","given":"C."},{"family":"Neuville","given":"D. R."},{</vt:lpwstr>
  </property>
  <property fmtid="{D5CDD505-2E9C-101B-9397-08002B2CF9AE}" pid="29" name="ZOTERO_BREF_5ppr0glj2jos_11">
    <vt:lpwstr>"family":"Chen","given":"W."},{"family":"Florian","given":"P."},{"family":"Massiot","given":"D."},{"family":"Zhou","given":"Z."},{"family":"Greaves","given":"G. N."}],"issued":{"date-parts":[["2017",12]]}}}],"schema":"https://github.com/citation-style-lan</vt:lpwstr>
  </property>
  <property fmtid="{D5CDD505-2E9C-101B-9397-08002B2CF9AE}" pid="30" name="ZOTERO_BREF_5ppr0glj2jos_12">
    <vt:lpwstr>guage/schema/raw/master/csl-citation.json"}</vt:lpwstr>
  </property>
  <property fmtid="{D5CDD505-2E9C-101B-9397-08002B2CF9AE}" pid="31" name="ZOTERO_BREF_5ppr0glj2jos_2">
    <vt:lpwstr>ro.org/users/453153/items/6F3ZQ4UW"],"itemData":{"id":2408,"type":"article-journal","container-title":"Physical Review B","DOI":"10.1103/PhysRevB.52.6358","issue":"9","journalAbbreviation":"Phys. Rev. B","page":"6358-6380","title":"Reconciling ionic-trans</vt:lpwstr>
  </property>
  <property fmtid="{D5CDD505-2E9C-101B-9397-08002B2CF9AE}" pid="32" name="ZOTERO_BREF_5ppr0glj2jos_3">
    <vt:lpwstr>port properties with atomic structure in oxide glasses","volume":"52","author":[{"family":"Greaves","given":"G. N."},{"family":"Ngai","given":"K. L."}],"issued":{"date-parts":[["1995"]]}}},{"id":4406,"uris":["http://zotero.org/users/453153/items/6VDKVSXJ"</vt:lpwstr>
  </property>
  <property fmtid="{D5CDD505-2E9C-101B-9397-08002B2CF9AE}" pid="33" name="ZOTERO_BREF_5ppr0glj2jos_4">
    <vt:lpwstr>],"uri":["http://zotero.org/users/453153/items/6VDKVSXJ"],"itemData":{"id":4406,"type":"article-journal","abstract":"Understanding the links between chemical composition, nano-structure and the dynamic properties of silicate melts and glasses is fundament</vt:lpwstr>
  </property>
  <property fmtid="{D5CDD505-2E9C-101B-9397-08002B2CF9AE}" pid="34" name="ZOTERO_BREF_5ppr0glj2jos_5">
    <vt:lpwstr>al to both Earth and Materials Sciences. Central to this is whether the distribution of mobile metallic ions is random or not. In silicate systems, such as window glass, it is well-established that the short-range structure is not random but metal ions cl</vt:lpwstr>
  </property>
  <property fmtid="{D5CDD505-2E9C-101B-9397-08002B2CF9AE}" pid="35" name="ZOTERO_BREF_5ppr0glj2jos_6">
    <vt:lpwstr>uster, forming percolation channels through a partly broken network of corner-sharing SiO4 tetrahedra. In alumino-silicate glasses and melts, extensively used in industry and representing most of the Earth magmas, metal ions compensate the electrical char</vt:lpwstr>
  </property>
  <property fmtid="{D5CDD505-2E9C-101B-9397-08002B2CF9AE}" pid="36" name="ZOTERO_BREF_5ppr0glj2jos_7">
    <vt:lpwstr>ge deficit of AlO4\n                        − tetrahedra, but until now clustering has not been confirmed. Here we report how major changes in melt viscosity, together with glass Raman and Nuclear Magnetic Resonance measurements and Molecular Dynamics sim</vt:lpwstr>
  </property>
  <property fmtid="{D5CDD505-2E9C-101B-9397-08002B2CF9AE}" pid="37" name="ZOTERO_BREF_5ppr0glj2jos_8">
    <vt:lpwstr>ulations, demonstrate that metal ions nano-segregate into percolation channels, making this a universal phenomenon of oxide glasses and melts. Furthermore, we can explain how, in both single and mixed alkali compositions, metal ion clustering and percolat</vt:lpwstr>
  </property>
  <property fmtid="{D5CDD505-2E9C-101B-9397-08002B2CF9AE}" pid="38" name="ZOTERO_BREF_5ppr0glj2jos_9">
    <vt:lpwstr>ion radically affect melt mobility, central to understanding industrial and geological processes.","container-title":"Scientific Reports","DOI":"10.1038/s41598-017-16741-3","ISSN":"2045-2322","issue":"1","language":"En","page":"16490","source":"www.nature</vt:lpwstr>
  </property>
  <property fmtid="{D5CDD505-2E9C-101B-9397-08002B2CF9AE}" pid="39" name="ZOTERO_BREF_92qqvzrvSfKs_1">
    <vt:lpwstr>ZOTERO_ITEM CSL_CITATION {"citationID":"VKVjSvMw","properties":{"formattedCitation":"({\\i{}14}\\uc0\\u8211{}{\\i{}18})","plainCitation":"(14–18)","noteIndex":0},"citationItems":[{"id":550,"uris":["http://zotero.org/users/453153/items/5QIABEAG"],"uri":["h</vt:lpwstr>
  </property>
  <property fmtid="{D5CDD505-2E9C-101B-9397-08002B2CF9AE}" pid="40" name="ZOTERO_BREF_92qqvzrvSfKs_10">
    <vt:lpwstr>anguage":"en","page":"014304","source":"CrossRef","title":"Formation of channels for fast-ion diffusion in alkali silicate melts: A quasielastic neutron scattering study","title-short":"Formation of channels for fast-ion diffusion in alkali silicate melts</vt:lpwstr>
  </property>
  <property fmtid="{D5CDD505-2E9C-101B-9397-08002B2CF9AE}" pid="41" name="ZOTERO_BREF_92qqvzrvSfKs_11">
    <vt:lpwstr>","volume":"74","author":[{"family":"Kargl","given":"F."},{"family":"Meyer","given":"A."},{"family":"Koza","given":"M. M."},{"family":"Schober","given":"H."}],"issued":{"date-parts":[["2006",7,24]]}}}],"schema":"https://github.com/citation-style-language/</vt:lpwstr>
  </property>
  <property fmtid="{D5CDD505-2E9C-101B-9397-08002B2CF9AE}" pid="42" name="ZOTERO_BREF_92qqvzrvSfKs_12">
    <vt:lpwstr>schema/raw/master/csl-citation.json"}</vt:lpwstr>
  </property>
  <property fmtid="{D5CDD505-2E9C-101B-9397-08002B2CF9AE}" pid="43" name="ZOTERO_BREF_92qqvzrvSfKs_2">
    <vt:lpwstr>ttp://zotero.org/users/453153/items/5QIABEAG"],"itemData":{"id":550,"type":"article-journal","container-title":"Nature","page":"611-616","title":"Local structure of silicate glasses","volume":"293","author":[{"family":"Greaves","given":"G. N."},{"family":</vt:lpwstr>
  </property>
  <property fmtid="{D5CDD505-2E9C-101B-9397-08002B2CF9AE}" pid="44" name="ZOTERO_BREF_92qqvzrvSfKs_3">
    <vt:lpwstr>"Fontaine","given":"A."},{"family":"Lagarde","given":"P."},{"family":"Raoux","given":"D."},{"family":"Gurman","given":"S. J."}],"issued":{"date-parts":[["1981"]]}}},{"id":549,"uris":["http://zotero.org/users/453153/items/S5FSZGBZ"],"uri":["http://zotero.o</vt:lpwstr>
  </property>
  <property fmtid="{D5CDD505-2E9C-101B-9397-08002B2CF9AE}" pid="45" name="ZOTERO_BREF_92qqvzrvSfKs_4">
    <vt:lpwstr>rg/users/453153/items/S5FSZGBZ"],"itemData":{"id":549,"type":"article-journal","container-title":"Journal of Non-Crystalline Solids","page":"203-217","title":"Exafs and the structure of glass","volume":"71","author":[{"family":"Greaves","given":"G. N."}],</vt:lpwstr>
  </property>
  <property fmtid="{D5CDD505-2E9C-101B-9397-08002B2CF9AE}" pid="46" name="ZOTERO_BREF_92qqvzrvSfKs_5">
    <vt:lpwstr>"issued":{"date-parts":[["1985"]]}}},{"id":386,"uris":["http://zotero.org/users/453153/items/UIDSVN4I"],"uri":["http://zotero.org/users/453153/items/UIDSVN4I"],"itemData":{"id":386,"type":"article-journal","container-title":"Philosophical Magazine Part B"</vt:lpwstr>
  </property>
  <property fmtid="{D5CDD505-2E9C-101B-9397-08002B2CF9AE}" pid="47" name="ZOTERO_BREF_92qqvzrvSfKs_6">
    <vt:lpwstr>,"issue":"6","page":"793-800","title":"EXAFS, glass structure and diffusion","volume":"60","author":[{"family":"Greaves","given":"G. N."}],"issued":{"date-parts":[["1989"]]}}},{"id":546,"uris":["http://zotero.org/users/453153/items/HGNIRNV3"],"uri":["http</vt:lpwstr>
  </property>
  <property fmtid="{D5CDD505-2E9C-101B-9397-08002B2CF9AE}" pid="48" name="ZOTERO_BREF_92qqvzrvSfKs_7">
    <vt:lpwstr>://zotero.org/users/453153/items/HGNIRNV3"],"itemData":{"id":546,"type":"article-journal","container-title":"Physical Review Letters","issue":"2","page":"1-4","title":"Channel formation and intermediate range order in sodium silicate melts and glasses","v</vt:lpwstr>
  </property>
  <property fmtid="{D5CDD505-2E9C-101B-9397-08002B2CF9AE}" pid="49" name="ZOTERO_BREF_92qqvzrvSfKs_8">
    <vt:lpwstr>olume":"93","author":[{"family":"Meyer","given":"A."},{"family":"Horbach","given":"J."},{"family":"Kob","given":"W."},{"family":"Kargl","given":"F."},{"family":"Schober","given":"H."}],"issued":{"date-parts":[["2004"]]}}},{"id":1436,"uris":["http://zotero</vt:lpwstr>
  </property>
  <property fmtid="{D5CDD505-2E9C-101B-9397-08002B2CF9AE}" pid="50" name="ZOTERO_BREF_92qqvzrvSfKs_9">
    <vt:lpwstr>.org/users/453153/items/NVHNUESC"],"uri":["http://zotero.org/users/453153/items/NVHNUESC"],"itemData":{"id":1436,"type":"article-journal","container-title":"Physical Review B","DOI":"10.1103/PhysRevB.74.014304","ISSN":"1098-0121, 1550-235X","issue":"1","l</vt:lpwstr>
  </property>
  <property fmtid="{D5CDD505-2E9C-101B-9397-08002B2CF9AE}" pid="51" name="ZOTERO_BREF_A0wrfGP3o0Eh_1">
    <vt:lpwstr>ZOTERO_ITEM CSL_CITATION {"citationID":"3S2VR6Ww","properties":{"formattedCitation":"({\\i{}2})","plainCitation":"(2)","noteIndex":0},"citationItems":[{"id":501,"uris":["http://zotero.org/users/453153/items/8B8VC575"],"uri":["http://zotero.org/users/45315</vt:lpwstr>
  </property>
  <property fmtid="{D5CDD505-2E9C-101B-9397-08002B2CF9AE}" pid="52" name="ZOTERO_BREF_A0wrfGP3o0Eh_2">
    <vt:lpwstr>3/items/8B8VC575"],"itemData":{"id":501,"type":"article-journal","container-title":"Chemical Geology","DOI":"http://dx.doi.org/10.1016/j.chemgeo.2012.09.009","page":"57-71","title":"Effect of the Na/K mixing on the structure and the rheology of tectosilic</vt:lpwstr>
  </property>
  <property fmtid="{D5CDD505-2E9C-101B-9397-08002B2CF9AE}" pid="53" name="ZOTERO_BREF_A0wrfGP3o0Eh_3">
    <vt:lpwstr>ate silica-rich melts","volume":"346","author":[{"family":"Le Losq","given":"C."},{"family":"Neuville","given":"D. R."}],"issued":{"date-parts":[["2013"]]}}}],"schema":"https://github.com/citation-style-language/schema/raw/master/csl-citation.json"}</vt:lpwstr>
  </property>
  <property fmtid="{D5CDD505-2E9C-101B-9397-08002B2CF9AE}" pid="54" name="ZOTERO_BREF_CKT4cu7oW5Pj_1">
    <vt:lpwstr>ZOTERO_ITEM CSL_CITATION {"citationID":"axyA5GXI","properties":{"formattedCitation":"({\\i{}7})","plainCitation":"(7)","noteIndex":0},"citationItems":[{"id":1058,"uris":["http://zotero.org/users/453153/items/NJ2V38JM"],"uri":["http://zotero.org/users/4531</vt:lpwstr>
  </property>
  <property fmtid="{D5CDD505-2E9C-101B-9397-08002B2CF9AE}" pid="55" name="ZOTERO_BREF_CKT4cu7oW5Pj_2">
    <vt:lpwstr>53/items/NJ2V38JM"],"itemData":{"id":1058,"type":"article-journal","container-title":"The journal of chemical physics","issue":"1","page":"139-146","title":"On the temperature dependence of cooperative relaxation properties in glass-forming liquids","volu</vt:lpwstr>
  </property>
  <property fmtid="{D5CDD505-2E9C-101B-9397-08002B2CF9AE}" pid="56" name="ZOTERO_BREF_CKT4cu7oW5Pj_3">
    <vt:lpwstr>me":"43","author":[{"family":"Adam","given":"G."},{"family":"Gibbs","given":"J. H."}],"issued":{"date-parts":[["1965"]]}}}],"schema":"https://github.com/citation-style-language/schema/raw/master/csl-citation.json"}</vt:lpwstr>
  </property>
  <property fmtid="{D5CDD505-2E9C-101B-9397-08002B2CF9AE}" pid="57" name="ZOTERO_BREF_FfM5K70YisMy_1">
    <vt:lpwstr>ZOTERO_ITEM CSL_CITATION {"citationID":"MGp2JBsS","properties":{"formattedCitation":"({\\i{}36})","plainCitation":"(36)","noteIndex":0},"citationItems":[{"id":651,"uris":["http://zotero.org/users/453153/items/N63VHNVP"],"uri":["http://zotero.org/users/453</vt:lpwstr>
  </property>
  <property fmtid="{D5CDD505-2E9C-101B-9397-08002B2CF9AE}" pid="58" name="ZOTERO_BREF_FfM5K70YisMy_2">
    <vt:lpwstr>153/items/N63VHNVP"],"itemData":{"id":651,"type":"article-journal","container-title":"Geochimica et Cosmochimica Acta","page":"1727-1737","title":"Role of aluminium in the silicate network: In situ, high-temperature study of glasses and melts on the join </vt:lpwstr>
  </property>
  <property fmtid="{D5CDD505-2E9C-101B-9397-08002B2CF9AE}" pid="59" name="ZOTERO_BREF_FfM5K70YisMy_3">
    <vt:lpwstr>SiO&lt;sub&gt;2&lt;/sub&gt;-NaAlO&lt;sub&gt;2&lt;/sub&gt;","volume":"60","author":[{"family":"Neuville","given":"D. R."},{"family":"Mysen","given":"B. O."}],"issued":{"date-parts":[["1996"]]}}}],"schema":"https://github.com/citation-style-language/schema/raw/master/csl-citation.</vt:lpwstr>
  </property>
  <property fmtid="{D5CDD505-2E9C-101B-9397-08002B2CF9AE}" pid="60" name="ZOTERO_BREF_FfM5K70YisMy_4">
    <vt:lpwstr>json"}</vt:lpwstr>
  </property>
  <property fmtid="{D5CDD505-2E9C-101B-9397-08002B2CF9AE}" pid="61" name="ZOTERO_BREF_Lfl6f6nuKjQh_1">
    <vt:lpwstr>ZOTERO_ITEM CSL_CITATION {"citationID":"IpPfdRf6","properties":{"formattedCitation":"({\\i{}20})","plainCitation":"(20)","noteIndex":0},"citationItems":[{"id":2408,"uris":["http://zotero.org/users/453153/items/6F3ZQ4UW"],"uri":["http://zotero.org/users/45</vt:lpwstr>
  </property>
  <property fmtid="{D5CDD505-2E9C-101B-9397-08002B2CF9AE}" pid="62" name="ZOTERO_BREF_Lfl6f6nuKjQh_2">
    <vt:lpwstr>3153/items/6F3ZQ4UW"],"itemData":{"id":2408,"type":"article-journal","container-title":"Physical Review B","DOI":"10.1103/PhysRevB.52.6358","issue":"9","journalAbbreviation":"Phys. Rev. B","page":"6358-6380","title":"Reconciling ionic-transport properties</vt:lpwstr>
  </property>
  <property fmtid="{D5CDD505-2E9C-101B-9397-08002B2CF9AE}" pid="63" name="ZOTERO_BREF_Lfl6f6nuKjQh_3">
    <vt:lpwstr> with atomic structure in oxide glasses","volume":"52","author":[{"family":"Greaves","given":"G. N."},{"family":"Ngai","given":"K. L."}],"issued":{"date-parts":[["1995"]]}}}],"schema":"https://github.com/citation-style-language/schema/raw/master/csl-citat</vt:lpwstr>
  </property>
  <property fmtid="{D5CDD505-2E9C-101B-9397-08002B2CF9AE}" pid="64" name="ZOTERO_BREF_Lfl6f6nuKjQh_4">
    <vt:lpwstr>ion.json"}</vt:lpwstr>
  </property>
  <property fmtid="{D5CDD505-2E9C-101B-9397-08002B2CF9AE}" pid="65" name="ZOTERO_BREF_M1xWTlVB3pWH_1">
    <vt:lpwstr>ZOTERO_ITEM CSL_CITATION {"citationID":"5V8maoOE","properties":{"formattedCitation":"({\\i{}4})","plainCitation":"(4)","noteIndex":0},"citationItems":[{"id":5645,"uris":["http://zotero.org/users/453153/items/5H3WB6PP"],"uri":["http://zotero.org/users/4531</vt:lpwstr>
  </property>
  <property fmtid="{D5CDD505-2E9C-101B-9397-08002B2CF9AE}" pid="66" name="ZOTERO_BREF_M1xWTlVB3pWH_2">
    <vt:lpwstr>53/items/5H3WB6PP"],"itemData":{"id":5645,"type":"article-journal","container-title":"American Mineralogist","DOI":"10.2138/am-2019-6887","page":"1032-1042","title":"Determination of the oxidation state of iron in Mid-Ocean Ridge basalt glasses by Raman s</vt:lpwstr>
  </property>
  <property fmtid="{D5CDD505-2E9C-101B-9397-08002B2CF9AE}" pid="67" name="ZOTERO_BREF_M1xWTlVB3pWH_3">
    <vt:lpwstr>pectroscopy","volume":"104","author":[{"family":"Le Losq","given":"C."},{"family":"Berry","given":"A. J."},{"family":"Kendrick","given":"M. A."},{"family":"Neuville","given":"D. R."},{"family":"O'Neill","given":"H. St. C."}],"issued":{"date-parts":[["2019</vt:lpwstr>
  </property>
  <property fmtid="{D5CDD505-2E9C-101B-9397-08002B2CF9AE}" pid="68" name="ZOTERO_BREF_M1xWTlVB3pWH_4">
    <vt:lpwstr>"]]}}}],"schema":"https://github.com/citation-style-language/schema/raw/master/csl-citation.json"}</vt:lpwstr>
  </property>
  <property fmtid="{D5CDD505-2E9C-101B-9397-08002B2CF9AE}" pid="69" name="ZOTERO_BREF_MIDgCoIrgSON_1">
    <vt:lpwstr>ZOTERO_ITEM CSL_CITATION {"citationID":"6XZCxkaU","properties":{"formattedCitation":"({\\i{}37})","plainCitation":"(37)","noteIndex":0},"citationItems":[{"id":1124,"uris":["http://zotero.org/users/453153/items/CM5D74NE"],"uri":["http://zotero.org/users/45</vt:lpwstr>
  </property>
  <property fmtid="{D5CDD505-2E9C-101B-9397-08002B2CF9AE}" pid="70" name="ZOTERO_BREF_MIDgCoIrgSON_2">
    <vt:lpwstr>3153/items/CM5D74NE"],"itemData":{"id":1124,"type":"article-journal","abstract":"A drop calorimetric study, between 900 and 1800 K, of amorphous SiO2, NaAlSi3O8, NaAlSi2O6, NaAlSiO4 and KAlSi3O8 shows the increase in heat capacity which results from glass</vt:lpwstr>
  </property>
  <property fmtid="{D5CDD505-2E9C-101B-9397-08002B2CF9AE}" pid="71" name="ZOTERO_BREF_MIDgCoIrgSON_3">
    <vt:lpwstr> transitions. For these glasses, the fictive temperature has a negligible effect on the heat capacity above room temperature, but it has an important influence on the enthalpy of formation as obtained from solution calorimetry. From these results and publ</vt:lpwstr>
  </property>
  <property fmtid="{D5CDD505-2E9C-101B-9397-08002B2CF9AE}" pid="72" name="ZOTERO_BREF_MIDgCoIrgSON_4">
    <vt:lpwstr>ished Cp and enthalpy of solution data, several properties have been calculated: the enthalpies of fusion of high albite, nepheline, Jadeite and high sanidine, the thermodynamic functions of amorphous NaAlSi3O8 and KAlSi3O8 between 0 and 2000 K, and some </vt:lpwstr>
  </property>
  <property fmtid="{D5CDD505-2E9C-101B-9397-08002B2CF9AE}" pid="73" name="ZOTERO_BREF_MIDgCoIrgSON_5">
    <vt:lpwstr>mixing properties of liquids along the join SiO2-NaAlSi3O8. The latter data suggest that these liquids behave more closely as athermal solutions than as regular solutions.","container-title":"Geochimica et Cosmochimica Acta","DOI":"10.1016/0016-7037(84)90</vt:lpwstr>
  </property>
  <property fmtid="{D5CDD505-2E9C-101B-9397-08002B2CF9AE}" pid="74" name="ZOTERO_BREF_MIDgCoIrgSON_6">
    <vt:lpwstr>274-6","ISSN":"0016-7037","issue":"3","journalAbbreviation":"Geochimica et Cosmochimica Acta","page":"453-470","source":"ScienceDirect","title":"Glass transitions and thermodynamic properties of amorphous SiO&lt;sub&gt;2&lt;/sub&gt;, NaAlSi&lt;sub&gt;n&lt;/sub&gt;O&lt;sub&gt;2n+2&lt;/sub</vt:lpwstr>
  </property>
  <property fmtid="{D5CDD505-2E9C-101B-9397-08002B2CF9AE}" pid="75" name="ZOTERO_BREF_MIDgCoIrgSON_7">
    <vt:lpwstr>&gt; and KAlSi&lt;sub&gt;3&lt;/sub&gt;O&lt;sub&gt;8&lt;/sub&gt;","volume":"48","author":[{"family":"Richet","given":"Pascal"},{"family":"Bottinga","given":"Yan"}],"issued":{"date-parts":[["1984",3,1]]}}}],"schema":"https://github.com/citation-style-language/schema/raw/master/csl-ci</vt:lpwstr>
  </property>
  <property fmtid="{D5CDD505-2E9C-101B-9397-08002B2CF9AE}" pid="76" name="ZOTERO_BREF_MIDgCoIrgSON_8">
    <vt:lpwstr>tation.json"}</vt:lpwstr>
  </property>
  <property fmtid="{D5CDD505-2E9C-101B-9397-08002B2CF9AE}" pid="77" name="ZOTERO_BREF_OFb8SjeAvAic_1">
    <vt:lpwstr>ZOTERO_ITEM CSL_CITATION {"citationID":"oQGU3d3N","properties":{"formattedCitation":"({\\i{}32})","plainCitation":"(32)","noteIndex":0},"citationItems":[{"id":5653,"uris":["http://zotero.org/users/453153/items/NBAXGI36"],"uri":["http://zotero.org/users/45</vt:lpwstr>
  </property>
  <property fmtid="{D5CDD505-2E9C-101B-9397-08002B2CF9AE}" pid="78" name="ZOTERO_BREF_OFb8SjeAvAic_2">
    <vt:lpwstr>3153/items/NBAXGI36"],"itemData":{"id":5653,"type":"article-journal","abstract":"A modified Avramov equation is employed to describe the viscosity of silicate melts in the SiO2-Al2O3-Na2O-K2O system and its subsystems with associate species obtained from </vt:lpwstr>
  </property>
  <property fmtid="{D5CDD505-2E9C-101B-9397-08002B2CF9AE}" pid="79" name="ZOTERO_BREF_OFb8SjeAvAic_3">
    <vt:lpwstr>thermodynamic description and used as structural units. Two modifications to the Avramov equation are proposed: i) a stronger dependence of viscosity input of each structural unit on its concentration ii) the “fragility” parameter dependent on the melt co</vt:lpwstr>
  </property>
  <property fmtid="{D5CDD505-2E9C-101B-9397-08002B2CF9AE}" pid="80" name="ZOTERO_BREF_OFb8SjeAvAic_4">
    <vt:lpwstr>mposition at a given point. The model describes the viscosity reasonably well for most of the experimental data in the wide compositional range and in a temperature range from fully liquid to supercooled melts. Approaches to further improve the model are </vt:lpwstr>
  </property>
  <property fmtid="{D5CDD505-2E9C-101B-9397-08002B2CF9AE}" pid="81" name="ZOTERO_BREF_OFb8SjeAvAic_5">
    <vt:lpwstr>discussed.","container-title":"Ceramics International","DOI":"10.1016/j.ceramint.2019.03.121","ISSN":"0272-8842","issue":"9","journalAbbreviation":"Ceramics International","page":"12169-12181","source":"ScienceDirect","title":"An Avramov-based viscosity m</vt:lpwstr>
  </property>
  <property fmtid="{D5CDD505-2E9C-101B-9397-08002B2CF9AE}" pid="82" name="ZOTERO_BREF_OFb8SjeAvAic_6">
    <vt:lpwstr>odel for the SiO2-Al2O3-Na2O-K2O system in a wide temperature range","volume":"45","author":[{"family":"Starodub","given":"K."},{"family":"Wu","given":"G."},{"family":"Yazhenskikh","given":"E."},{"family":"Müller","given":"M."},{"family":"Khvan","given":"</vt:lpwstr>
  </property>
  <property fmtid="{D5CDD505-2E9C-101B-9397-08002B2CF9AE}" pid="83" name="ZOTERO_BREF_OFb8SjeAvAic_7">
    <vt:lpwstr>A."},{"family":"Kondratiev","given":"A."}],"issued":{"date-parts":[["2019",6,15]]}}}],"schema":"https://github.com/citation-style-language/schema/raw/master/csl-citation.json"}</vt:lpwstr>
  </property>
  <property fmtid="{D5CDD505-2E9C-101B-9397-08002B2CF9AE}" pid="84" name="ZOTERO_BREF_PfV9LGVLf2Id_1">
    <vt:lpwstr>ZOTERO_ITEM CSL_CITATION {"citationID":"lqnd0PaY","properties":{"formattedCitation":"(see {\\i{}13} for a review)","plainCitation":"(see 13 for a review)","noteIndex":0},"citationItems":[{"id":4729,"uris":["http://zotero.org/users/453153/items/2XWMG3XB"],</vt:lpwstr>
  </property>
  <property fmtid="{D5CDD505-2E9C-101B-9397-08002B2CF9AE}" pid="85" name="ZOTERO_BREF_PfV9LGVLf2Id_2">
    <vt:lpwstr>"uri":["http://zotero.org/users/453153/items/2XWMG3XB"],"itemData":{"id":4729,"type":"chapter","container-title":"Handbook of Glass","ISBN":"978-3-319-93728-1","publisher":"Springer","title":"Silicate Glasses","URL":"https://www.springer.com/us/book/97833</vt:lpwstr>
  </property>
  <property fmtid="{D5CDD505-2E9C-101B-9397-08002B2CF9AE}" pid="86" name="ZOTERO_BREF_PfV9LGVLf2Id_3">
    <vt:lpwstr>19937267","author":[{"family":"Le Losq","given":"C."},{"family":"Cicconi","given":"M. R."},{"family":"Greaves","given":"G. N."},{"family":"Neuville","given":"D. R."}],"issued":{"date-parts":[["2019",5]]}},"prefix":"see","suffix":"for a review"}],"schema":</vt:lpwstr>
  </property>
  <property fmtid="{D5CDD505-2E9C-101B-9397-08002B2CF9AE}" pid="87" name="ZOTERO_BREF_PfV9LGVLf2Id_4">
    <vt:lpwstr>"https://github.com/citation-style-language/schema/raw/master/csl-citation.json"}</vt:lpwstr>
  </property>
  <property fmtid="{D5CDD505-2E9C-101B-9397-08002B2CF9AE}" pid="88" name="ZOTERO_BREF_Q5pVydRko6yo_1">
    <vt:lpwstr>ZOTERO_ITEM CSL_CITATION {"citationID":"M3tCUtjr","properties":{"formattedCitation":"({\\i{}11})","plainCitation":"(11)","noteIndex":0},"citationItems":[{"id":4754,"uris":["http://zotero.org/users/453153/items/848542VW"],"uri":["http://zotero.org/users/45</vt:lpwstr>
  </property>
  <property fmtid="{D5CDD505-2E9C-101B-9397-08002B2CF9AE}" pid="89" name="ZOTERO_BREF_Q5pVydRko6yo_2">
    <vt:lpwstr>3153/items/848542VW"],"itemData":{"id":4754,"type":"paper-conference","abstract":"Bagging predictors is a method for generating multiple versions of a predictor and using these to get an aggregated predictor. The aggregation averages over the versions whe</vt:lpwstr>
  </property>
  <property fmtid="{D5CDD505-2E9C-101B-9397-08002B2CF9AE}" pid="90" name="ZOTERO_BREF_Q5pVydRko6yo_3">
    <vt:lpwstr>n predicting a numerical outcome and does a plurality vote when predicting a class. The multiple versions are formed by making bootstrap replicates of the learning set and using these as new learning sets. Tests on real and simulated data sets using class</vt:lpwstr>
  </property>
  <property fmtid="{D5CDD505-2E9C-101B-9397-08002B2CF9AE}" pid="91" name="ZOTERO_BREF_Q5pVydRko6yo_4">
    <vt:lpwstr>ification and regression trees and subset selection in linear regression show that bagging can give substantial gains in accuracy. The vital element is the instability of the prediction method. If perturbing the learning set can cause significant changes </vt:lpwstr>
  </property>
  <property fmtid="{D5CDD505-2E9C-101B-9397-08002B2CF9AE}" pid="92" name="ZOTERO_BREF_Q5pVydRko6yo_5">
    <vt:lpwstr>in the predictor constructed, then bagging can improve accuracy. 1. Introduction A learning set of L consists of data f(y n ; x n ), n = 1; : : : ; Ng where the y's are either class labels or a numerical response. We have a procedure for using this learni</vt:lpwstr>
  </property>
  <property fmtid="{D5CDD505-2E9C-101B-9397-08002B2CF9AE}" pid="93" name="ZOTERO_BREF_Q5pVydRko6yo_6">
    <vt:lpwstr>ng set to form a predictor '(x; L) --- if the input is x we ...","container-title":"Machine Learning","page":"123–140","source":"CiteSeer","title":"Bagging Predictors","author":[{"family":"Breiman","given":"Leo"},{"family":"Breiman","given":"Leo"}],"issue</vt:lpwstr>
  </property>
  <property fmtid="{D5CDD505-2E9C-101B-9397-08002B2CF9AE}" pid="94" name="ZOTERO_BREF_Q5pVydRko6yo_7">
    <vt:lpwstr>d":{"date-parts":[["1996"]]}}}],"schema":"https://github.com/citation-style-language/schema/raw/master/csl-citation.json"}</vt:lpwstr>
  </property>
  <property fmtid="{D5CDD505-2E9C-101B-9397-08002B2CF9AE}" pid="95" name="ZOTERO_BREF_QwJYMsDIJl4i_1">
    <vt:lpwstr>ZOTERO_ITEM CSL_CITATION {"citationID":"PMfKMQKr","properties":{"formattedCitation":"({\\i{}23}, {\\i{}24})","plainCitation":"(23, 24)","noteIndex":0},"citationItems":[{"id":2709,"uris":["http://zotero.org/users/453153/items/4UWQ4N8P"],"uri":["http://zote</vt:lpwstr>
  </property>
  <property fmtid="{D5CDD505-2E9C-101B-9397-08002B2CF9AE}" pid="96" name="ZOTERO_BREF_QwJYMsDIJl4i_10">
    <vt:lpwstr>g a complex dance of elastic and plastic deformations, phase transitions, and their interplay. We identified the strain associated with individual ring rearrangements, observed the role of vacancies in shear deformation, and quantified fluctuations at a g</vt:lpwstr>
  </property>
  <property fmtid="{D5CDD505-2E9C-101B-9397-08002B2CF9AE}" pid="97" name="ZOTERO_BREF_QwJYMsDIJl4i_11">
    <vt:lpwstr>lass/liquid interface. These examples illustrate the wide-ranging and fundamental materials physics that can now be studied at atomic-resolution via transmission electron microscopy of two-dimensional glasses.\nDynamics of individual atoms in a two-dimens</vt:lpwstr>
  </property>
  <property fmtid="{D5CDD505-2E9C-101B-9397-08002B2CF9AE}" pid="98" name="ZOTERO_BREF_QwJYMsDIJl4i_12">
    <vt:lpwstr>ional silicate glass have been observed using transmission electron microscopy. [Also see Perspective by Heyde]\nDynamics of individual atoms in a two-dimensional silicate glass have been observed using transmission electron microscopy. [Also see Perspect</vt:lpwstr>
  </property>
  <property fmtid="{D5CDD505-2E9C-101B-9397-08002B2CF9AE}" pid="99" name="ZOTERO_BREF_QwJYMsDIJl4i_13">
    <vt:lpwstr>ive by Heyde]","container-title":"Science","DOI":"10.1126/science.1242248","ISSN":"0036-8075, 1095-9203","issue":"6155","language":"en","note":"PMID: 24115436","page":"224-227","source":"science.sciencemag.org","title":"Imaging Atomic Rearrangements in Tw</vt:lpwstr>
  </property>
  <property fmtid="{D5CDD505-2E9C-101B-9397-08002B2CF9AE}" pid="100" name="ZOTERO_BREF_QwJYMsDIJl4i_14">
    <vt:lpwstr>o-Dimensional Silica Glass: Watching Silica’s Dance","title-short":"Imaging Atomic Rearrangements in Two-Dimensional Silica Glass","volume":"342","author":[{"family":"Huang","given":"Pinshane Y."},{"family":"Kurasch","given":"Simon"},{"family":"Alden","gi</vt:lpwstr>
  </property>
  <property fmtid="{D5CDD505-2E9C-101B-9397-08002B2CF9AE}" pid="101" name="ZOTERO_BREF_QwJYMsDIJl4i_15">
    <vt:lpwstr>ven":"Jonathan S."},{"family":"Shekhawat","given":"Ashivni"},{"family":"Alemi","given":"Alexander A."},{"family":"McEuen","given":"Paul L."},{"family":"Sethna","given":"James P."},{"family":"Kaiser","given":"Ute"},{"family":"Muller","given":"David A."}],"</vt:lpwstr>
  </property>
  <property fmtid="{D5CDD505-2E9C-101B-9397-08002B2CF9AE}" pid="102" name="ZOTERO_BREF_QwJYMsDIJl4i_16">
    <vt:lpwstr>issued":{"date-parts":[["2013",10,11]]}}}],"schema":"https://github.com/citation-style-language/schema/raw/master/csl-citation.json"}</vt:lpwstr>
  </property>
  <property fmtid="{D5CDD505-2E9C-101B-9397-08002B2CF9AE}" pid="103" name="ZOTERO_BREF_QwJYMsDIJl4i_2">
    <vt:lpwstr>ro.org/users/453153/items/4UWQ4N8P"],"itemData":{"id":2709,"type":"article-journal","container-title":"Nano Letters","DOI":"10.1021/nl204423x","ISSN":"1530-6984, 1530-6992","issue":"2","language":"en","page":"1081-1086","source":"CrossRef","title":"Direct</vt:lpwstr>
  </property>
  <property fmtid="{D5CDD505-2E9C-101B-9397-08002B2CF9AE}" pid="104" name="ZOTERO_BREF_QwJYMsDIJl4i_3">
    <vt:lpwstr> Imaging of a Two-Dimensional Silica Glass on Graphene","volume":"12","author":[{"family":"Huang","given":"Pinshane Y."},{"family":"Kurasch","given":"Simon"},{"family":"Srivastava","given":"Anchal"},{"family":"Skakalova","given":"Viera"},{"family":"Kotako</vt:lpwstr>
  </property>
  <property fmtid="{D5CDD505-2E9C-101B-9397-08002B2CF9AE}" pid="105" name="ZOTERO_BREF_QwJYMsDIJl4i_4">
    <vt:lpwstr>ski","given":"Jani"},{"family":"Krasheninnikov","given":"Arkady V."},{"family":"Hovden","given":"Robert"},{"family":"Mao","given":"Qingyun"},{"family":"Meyer","given":"Jannik C."},{"family":"Smet","given":"Jurgen"},{"family":"Muller","given":"David A."},{</vt:lpwstr>
  </property>
  <property fmtid="{D5CDD505-2E9C-101B-9397-08002B2CF9AE}" pid="106" name="ZOTERO_BREF_QwJYMsDIJl4i_5">
    <vt:lpwstr>"family":"Kaiser","given":"Ute"}],"issued":{"date-parts":[["2012",2,8]]}}},{"id":2740,"uris":["http://zotero.org/users/453153/items/J93CMUTJ"],"uri":["http://zotero.org/users/453153/items/J93CMUTJ"],"itemData":{"id":2740,"type":"article-journal","abstract</vt:lpwstr>
  </property>
  <property fmtid="{D5CDD505-2E9C-101B-9397-08002B2CF9AE}" pid="107" name="ZOTERO_BREF_QwJYMsDIJl4i_6">
    <vt:lpwstr>":"Glassy Eyed\nIn crystalline materials, the collective motion of atoms in one- and two-dimensional defects—like dislocations and stacking faults—controls the response to an applied strain, but how glassy materials change their structure in response to s</vt:lpwstr>
  </property>
  <property fmtid="{D5CDD505-2E9C-101B-9397-08002B2CF9AE}" pid="108" name="ZOTERO_BREF_QwJYMsDIJl4i_7">
    <vt:lpwstr>train is much less clear. Huang et al. (p. 224; see the Perspective by Heyde) used advanced-transmission electron microscopy to investigate the structural rearrangements in a two-dimensional glass, including the basis for shear deformations and the atomic</vt:lpwstr>
  </property>
  <property fmtid="{D5CDD505-2E9C-101B-9397-08002B2CF9AE}" pid="109" name="ZOTERO_BREF_QwJYMsDIJl4i_8">
    <vt:lpwstr> behavior at the glass/liquid interface.\nStructural rearrangements control a wide range of behavior in amorphous materials, and visualizing these atomic-scale rearrangements is critical for developing and refining models for how glasses bend, break, and </vt:lpwstr>
  </property>
  <property fmtid="{D5CDD505-2E9C-101B-9397-08002B2CF9AE}" pid="110" name="ZOTERO_BREF_QwJYMsDIJl4i_9">
    <vt:lpwstr>melt. It is difficult, however, to directly image atomic motion in disordered solids. We demonstrate that using aberration-corrected transmission electron microscopy, we can excite and image atomic rearrangements in a two-dimensional silica glass—revealin</vt:lpwstr>
  </property>
  <property fmtid="{D5CDD505-2E9C-101B-9397-08002B2CF9AE}" pid="111" name="ZOTERO_BREF_R2leDjKZHKGA_1">
    <vt:lpwstr>ZOTERO_ITEM CSL_CITATION {"citationID":"JGl4IeaA","properties":{"formattedCitation":"({\\i{}25})","plainCitation":"(25)","noteIndex":0},"citationItems":[{"id":3505,"uris":["http://zotero.org/users/453153/items/PJAXRXCI"],"uri":["http://zotero.org/users/45</vt:lpwstr>
  </property>
  <property fmtid="{D5CDD505-2E9C-101B-9397-08002B2CF9AE}" pid="112" name="ZOTERO_BREF_R2leDjKZHKGA_10">
    <vt:lpwstr> melts","volume":"463","author":[{"family":"Le Losq","given":"C."},{"family":"Neuville","given":"D. R."}],"issued":{"date-parts":[["2017",5,1]]}},"locator":"201"}],"schema":"https://github.com/citation-style-language/schema/raw/master/csl-citation.json"}</vt:lpwstr>
  </property>
  <property fmtid="{D5CDD505-2E9C-101B-9397-08002B2CF9AE}" pid="113" name="ZOTERO_BREF_R2leDjKZHKGA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114" name="ZOTERO_BREF_R2leDjKZHKGA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115" name="ZOTERO_BREF_R2leDjKZHKGA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116" name="ZOTERO_BREF_R2leDjKZHKGA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117" name="ZOTERO_BREF_R2leDjKZHKGA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118" name="ZOTERO_BREF_R2leDjKZHKGA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119" name="ZOTERO_BREF_R2leDjKZHKGA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20" name="ZOTERO_BREF_R2leDjKZHKGA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121" name="ZOTERO_BREF_TNYEF5sE8ULi_1">
    <vt:lpwstr>ZOTERO_ITEM CSL_CITATION {"citationID":"6N6fZC6h","properties":{"formattedCitation":"({\\i{}25})","plainCitation":"(25)","noteIndex":0},"citationItems":[{"id":3505,"uris":["http://zotero.org/users/453153/items/PJAXRXCI"],"uri":["http://zotero.org/users/45</vt:lpwstr>
  </property>
  <property fmtid="{D5CDD505-2E9C-101B-9397-08002B2CF9AE}" pid="122" name="ZOTERO_BREF_TNYEF5sE8ULi_10">
    <vt:lpwstr> melts","volume":"463","author":[{"family":"Le Losq","given":"C."},{"family":"Neuville","given":"D. R."}],"issued":{"date-parts":[["2017",5,1]]}}}],"schema":"https://github.com/citation-style-language/schema/raw/master/csl-citation.json"}</vt:lpwstr>
  </property>
  <property fmtid="{D5CDD505-2E9C-101B-9397-08002B2CF9AE}" pid="123" name="ZOTERO_BREF_TNYEF5sE8ULi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124" name="ZOTERO_BREF_TNYEF5sE8ULi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125" name="ZOTERO_BREF_TNYEF5sE8ULi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126" name="ZOTERO_BREF_TNYEF5sE8ULi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127" name="ZOTERO_BREF_TNYEF5sE8ULi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128" name="ZOTERO_BREF_TNYEF5sE8ULi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129" name="ZOTERO_BREF_TNYEF5sE8ULi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30" name="ZOTERO_BREF_TNYEF5sE8ULi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131" name="ZOTERO_BREF_Wi1sjCIqUXhm_1">
    <vt:lpwstr>ZOTERO_BIBL {"uncited":[],"omitted":[],"custom":[]} CSL_BIBLIOGRAPHY</vt:lpwstr>
  </property>
  <property fmtid="{D5CDD505-2E9C-101B-9397-08002B2CF9AE}" pid="132" name="ZOTERO_BREF_Wp5FQSHZ76Wi_1">
    <vt:lpwstr>ZOTERO_ITEM CSL_CITATION {"citationID":"xKwYoBVH","properties":{"formattedCitation":"({\\i{}2})","plainCitation":"(2)","noteIndex":0},"citationItems":[{"id":501,"uris":["http://zotero.org/users/453153/items/8B8VC575"],"uri":["http://zotero.org/users/45315</vt:lpwstr>
  </property>
  <property fmtid="{D5CDD505-2E9C-101B-9397-08002B2CF9AE}" pid="133" name="ZOTERO_BREF_Wp5FQSHZ76Wi_2">
    <vt:lpwstr>3/items/8B8VC575"],"itemData":{"id":501,"type":"article-journal","container-title":"Chemical Geology","DOI":"http://dx.doi.org/10.1016/j.chemgeo.2012.09.009","page":"57-71","title":"Effect of the Na/K mixing on the structure and the rheology of tectosilic</vt:lpwstr>
  </property>
  <property fmtid="{D5CDD505-2E9C-101B-9397-08002B2CF9AE}" pid="134" name="ZOTERO_BREF_Wp5FQSHZ76Wi_3">
    <vt:lpwstr>ate silica-rich melts","volume":"346","author":[{"family":"Le Losq","given":"C."},{"family":"Neuville","given":"D. R."}],"issued":{"date-parts":[["2013"]]}}}],"schema":"https://github.com/citation-style-language/schema/raw/master/csl-citation.json"}</vt:lpwstr>
  </property>
  <property fmtid="{D5CDD505-2E9C-101B-9397-08002B2CF9AE}" pid="135" name="ZOTERO_BREF_XIwZPHRBx4oq_1">
    <vt:lpwstr>ZOTERO_ITEM CSL_CITATION {"citationID":"pNHExYn4","properties":{"formattedCitation":"({\\i{}7})","plainCitation":"(7)","noteIndex":0},"citationItems":[{"id":1058,"uris":["http://zotero.org/users/453153/items/NJ2V38JM"],"uri":["http://zotero.org/users/4531</vt:lpwstr>
  </property>
  <property fmtid="{D5CDD505-2E9C-101B-9397-08002B2CF9AE}" pid="136" name="ZOTERO_BREF_XIwZPHRBx4oq_2">
    <vt:lpwstr>53/items/NJ2V38JM"],"itemData":{"id":1058,"type":"article-journal","container-title":"The journal of chemical physics","issue":"1","page":"139-146","title":"On the temperature dependence of cooperative relaxation properties in glass-forming liquids","volu</vt:lpwstr>
  </property>
  <property fmtid="{D5CDD505-2E9C-101B-9397-08002B2CF9AE}" pid="137" name="ZOTERO_BREF_XIwZPHRBx4oq_3">
    <vt:lpwstr>me":"43","author":[{"family":"Adam","given":"G."},{"family":"Gibbs","given":"J. H."}],"issued":{"date-parts":[["1965"]]}}}],"schema":"https://github.com/citation-style-language/schema/raw/master/csl-citation.json"}</vt:lpwstr>
  </property>
  <property fmtid="{D5CDD505-2E9C-101B-9397-08002B2CF9AE}" pid="138" name="ZOTERO_BREF_YuMn7oQSFz89_1">
    <vt:lpwstr>ZOTERO_ITEM CSL_CITATION {"citationID":"OU65GCbL","properties":{"formattedCitation":"({\\i{}25})","plainCitation":"(25)","noteIndex":0},"citationItems":[{"id":3505,"uris":["http://zotero.org/users/453153/items/PJAXRXCI"],"uri":["http://zotero.org/users/45</vt:lpwstr>
  </property>
  <property fmtid="{D5CDD505-2E9C-101B-9397-08002B2CF9AE}" pid="139" name="ZOTERO_BREF_YuMn7oQSFz89_10">
    <vt:lpwstr> melts","volume":"463","author":[{"family":"Le Losq","given":"C."},{"family":"Neuville","given":"D. R."}],"issued":{"date-parts":[["2017",5,1]]}}}],"schema":"https://github.com/citation-style-language/schema/raw/master/csl-citation.json"}</vt:lpwstr>
  </property>
  <property fmtid="{D5CDD505-2E9C-101B-9397-08002B2CF9AE}" pid="140" name="ZOTERO_BREF_YuMn7oQSFz89_2">
    <vt:lpwstr>3153/items/PJAXRXCI"],"itemData":{"id":3505,"type":"article-journal","abstract":"The Adam and Gibbs theory depicts the viscous flow of silicate melts as governed by the cooperative re-arrangement of molecular sub-systems. Considering that such subsystems </vt:lpwstr>
  </property>
  <property fmtid="{D5CDD505-2E9C-101B-9397-08002B2CF9AE}" pid="141" name="ZOTERO_BREF_YuMn7oQSFz89_3">
    <vt:lpwstr>involve the silicate Qn units (n = number of bridging oxygens), this study presents a model that links the Qn unit fractions to the melt configurational entropy at the glass transition temperature Tg, Sconf(Tg), and finally, to its viscosity η. With 13 ad</vt:lpwstr>
  </property>
  <property fmtid="{D5CDD505-2E9C-101B-9397-08002B2CF9AE}" pid="142" name="ZOTERO_BREF_YuMn7oQSFz89_4">
    <vt:lpwstr>justable parameters, the model reproduces η and Tg of melts in the Na2O-K2O-SiO2 system (60 ≤ [SiO2] ≤ 100 mol%) with 1σ standard deviations of 0.18 log unit and 10.6°, respectively.\nThe model helps understanding the links between the melt chemical compo</vt:lpwstr>
  </property>
  <property fmtid="{D5CDD505-2E9C-101B-9397-08002B2CF9AE}" pid="143" name="ZOTERO_BREF_YuMn7oQSFz89_5">
    <vt:lpwstr>sition, structure, Sconf and η. For instance, small compositional changes in highly polymerized melts generate important changes in their Sconf(Tg) because of an excess of entropy generated by mixing Si between Q4 and Q3 units. Changing the melt silica co</vt:lpwstr>
  </property>
  <property fmtid="{D5CDD505-2E9C-101B-9397-08002B2CF9AE}" pid="144" name="ZOTERO_BREF_YuMn7oQSFz89_6">
    <vt:lpwstr>ncentration affects the Qn unit distribution, this resulting in non-linear changes in the topological contribution to Sconf(Tg). The model also indicates that, at [SiO2] ≥ 60 mol%, the mixed alkali effect has negligible impact on the silicate glass Qn uni</vt:lpwstr>
  </property>
  <property fmtid="{D5CDD505-2E9C-101B-9397-08002B2CF9AE}" pid="145" name="ZOTERO_BREF_YuMn7oQSFz89_7">
    <vt:lpwstr>t distribution, as corroborated by Raman spectroscopy data on mixed Na-K tri- and tetrasilicate glasses. Such model may be critical to link the melt structure to its physical and thermodynamic properties, but its refinement requires further high-quality q</vt:lpwstr>
  </property>
  <property fmtid="{D5CDD505-2E9C-101B-9397-08002B2CF9AE}" pid="146" name="ZOTERO_BREF_YuMn7oQSFz89_8">
    <vt:lpwstr>uantitative structural data on silicate and aluminosilicate melts.","container-title":"Journal of Non-Crystalline Solids","DOI":"10.1016/j.jnoncrysol.2017.02.010","ISSN":"0022-3093","journalAbbreviation":"Journal of Non-Crystalline Solids","page":"175-188</vt:lpwstr>
  </property>
  <property fmtid="{D5CDD505-2E9C-101B-9397-08002B2CF9AE}" pid="147" name="ZOTERO_BREF_YuMn7oQSFz89_9">
    <vt:lpwstr>","source":"ScienceDirect","title":"Molecular structure, configurational entropy and viscosity of silicate melts: Link through the Adam and Gibbs theory of viscous flow","title-short":"Molecular structure, configurational entropy and viscosity of silicate</vt:lpwstr>
  </property>
  <property fmtid="{D5CDD505-2E9C-101B-9397-08002B2CF9AE}" pid="148" name="ZOTERO_BREF_a4CLR88KY0r3_1">
    <vt:lpwstr>ZOTERO_ITEM CSL_CITATION {"citationID":"pBfPbd6Z","properties":{"formattedCitation":"({\\i{}3})","plainCitation":"(3)","noteIndex":0},"citationItems":[{"id":5671,"uris":["http://zotero.org/users/453153/items/VEEG3HPD"],"uri":["http://zotero.org/users/4531</vt:lpwstr>
  </property>
  <property fmtid="{D5CDD505-2E9C-101B-9397-08002B2CF9AE}" pid="149" name="ZOTERO_BREF_a4CLR88KY0r3_2">
    <vt:lpwstr>53/items/VEEG3HPD"],"itemData":{"id":5671,"type":"article-journal","abstract":"Multitask Learning is an approach to inductive transfer that improves generalization by using the domain information contained in the training signals of related tasks as an in</vt:lpwstr>
  </property>
  <property fmtid="{D5CDD505-2E9C-101B-9397-08002B2CF9AE}" pid="150" name="ZOTERO_BREF_a4CLR88KY0r3_3">
    <vt:lpwstr>ductive bias. It does this by learning tasks in parallel while using a shared representation; what is learned for each task can help other tasks be learned better. This paper reviews prior work on MTL, presents new evidence that MTL in backprop nets disco</vt:lpwstr>
  </property>
  <property fmtid="{D5CDD505-2E9C-101B-9397-08002B2CF9AE}" pid="151" name="ZOTERO_BREF_a4CLR88KY0r3_4">
    <vt:lpwstr>vers task relatedness without the need of supervisory signals, and presents new results for MTL with k-nearest neighbor and kernel regression. In this paper we demonstrate multitask learning in three domains. We explain how multitask learning works, and s</vt:lpwstr>
  </property>
  <property fmtid="{D5CDD505-2E9C-101B-9397-08002B2CF9AE}" pid="152" name="ZOTERO_BREF_a4CLR88KY0r3_5">
    <vt:lpwstr>how that there are many opportunities for multitask learning in real domains. We present an algorithm and results for multitask learning with case-based methods like k-nearest neighbor and kernel regression, and sketch an algorithm for multitask learning </vt:lpwstr>
  </property>
  <property fmtid="{D5CDD505-2E9C-101B-9397-08002B2CF9AE}" pid="153" name="ZOTERO_BREF_a4CLR88KY0r3_6">
    <vt:lpwstr>in decision trees. Because multitask learning works, can be applied to many different kinds of domains, and can be used with different learning algorithms, we conjecture there will be many opportunities for its use on real-world problems.","container-titl</vt:lpwstr>
  </property>
  <property fmtid="{D5CDD505-2E9C-101B-9397-08002B2CF9AE}" pid="154" name="ZOTERO_BREF_a4CLR88KY0r3_7">
    <vt:lpwstr>e":"Machine Learning","DOI":"10.1023/A:1007379606734","ISSN":"1573-0565","issue":"1","journalAbbreviation":"Machine Learning","language":"en","page":"41-75","source":"Springer Link","title":"Multitask Learning","volume":"28","author":[{"family":"Caruana",</vt:lpwstr>
  </property>
  <property fmtid="{D5CDD505-2E9C-101B-9397-08002B2CF9AE}" pid="155" name="ZOTERO_BREF_a4CLR88KY0r3_8">
    <vt:lpwstr>"given":"Rich"}],"issued":{"date-parts":[["1997",7,1]]}}}],"schema":"https://github.com/citation-style-language/schema/raw/master/csl-citation.json"}</vt:lpwstr>
  </property>
  <property fmtid="{D5CDD505-2E9C-101B-9397-08002B2CF9AE}" pid="156" name="ZOTERO_BREF_aWZ85P1iovLH_1">
    <vt:lpwstr>ZOTERO_ITEM CSL_CITATION {"citationID":"EL6Jkzld","properties":{"formattedCitation":"({\\i{}10})","plainCitation":"(10)","noteIndex":0},"citationItems":[{"id":5723,"uris":["http://zotero.org/users/453153/items/W4YPAGQA"],"uri":["http://zotero.org/users/45</vt:lpwstr>
  </property>
  <property fmtid="{D5CDD505-2E9C-101B-9397-08002B2CF9AE}" pid="157" name="ZOTERO_BREF_aWZ85P1iovLH_2">
    <vt:lpwstr>3153/items/W4YPAGQA"],"itemData":{"id":5723,"type":"article-journal","container-title":"Journal of Machine Learning Research","page":"1929-1958","source":"jmlr.org","title":"Dropout: A Simple Way to Prevent Neural Networks from Overfitting","title-short":</vt:lpwstr>
  </property>
  <property fmtid="{D5CDD505-2E9C-101B-9397-08002B2CF9AE}" pid="158" name="ZOTERO_BREF_aWZ85P1iovLH_3">
    <vt:lpwstr>"Dropout","volume":"15","author":[{"family":"Srivastava","given":"Nitish"},{"family":"Hinton","given":"Geoffrey"},{"family":"Krizhevsky","given":"Alex"},{"family":"Sutskever","given":"Ilya"},{"family":"Salakhutdinov","given":"Ruslan"}],"issued":{"date-par</vt:lpwstr>
  </property>
  <property fmtid="{D5CDD505-2E9C-101B-9397-08002B2CF9AE}" pid="159" name="ZOTERO_BREF_aWZ85P1iovLH_4">
    <vt:lpwstr>ts":[["2014"]]}}}],"schema":"https://github.com/citation-style-language/schema/raw/master/csl-citation.json"}</vt:lpwstr>
  </property>
  <property fmtid="{D5CDD505-2E9C-101B-9397-08002B2CF9AE}" pid="160" name="ZOTERO_BREF_b7kDl8uV3ABz_1">
    <vt:lpwstr>ZOTERO_ITEM CSL_CITATION {"citationID":"izIJoFQj","properties":{"formattedCitation":"({\\i{}35})","plainCitation":"(35)","noteIndex":0},"citationItems":[{"id":905,"uris":["http://zotero.org/users/453153/items/AVNB26JD"],"uri":["http://zotero.org/users/453</vt:lpwstr>
  </property>
  <property fmtid="{D5CDD505-2E9C-101B-9397-08002B2CF9AE}" pid="161" name="ZOTERO_BREF_b7kDl8uV3ABz_2">
    <vt:lpwstr>153/items/AVNB26JD"],"itemData":{"id":905,"type":"article-journal","abstract":"Drop calorimetry measurements made between 900 and 1800 K are reported for six MO-SiO2 liquids (M = Li2, K2, SrandBa) and two titanium alkalisilicate melts. These results, toge</vt:lpwstr>
  </property>
  <property fmtid="{D5CDD505-2E9C-101B-9397-08002B2CF9AE}" pid="162" name="ZOTERO_BREF_b7kDl8uV3ABz_3">
    <vt:lpwstr>ther with data from the literature, are used to derive a model for calculating the heat capacity of Al-free silicate melts as a function of temperature and chemical composition. Twenty-one major or minor oxides have been considered and, except for K2O-bea</vt:lpwstr>
  </property>
  <property fmtid="{D5CDD505-2E9C-101B-9397-08002B2CF9AE}" pid="163" name="ZOTERO_BREF_b7kDl8uV3ABz_4">
    <vt:lpwstr>ring melts, the available data do not indicate deviations of the heat capacities from an additive function of composition. Simple energy calculations show that large variations of the temperature of the liquids result in structural changes of a magnitude </vt:lpwstr>
  </property>
  <property fmtid="{D5CDD505-2E9C-101B-9397-08002B2CF9AE}" pid="164" name="ZOTERO_BREF_b7kDl8uV3ABz_5">
    <vt:lpwstr>similar to those of crystal-liquid transitions. It is suggested that network-modifier cations play an important role in changing the configuration of the liquid in response to temperature variations. The specificity of the behavior of the cations is shown</vt:lpwstr>
  </property>
  <property fmtid="{D5CDD505-2E9C-101B-9397-08002B2CF9AE}" pid="165" name="ZOTERO_BREF_b7kDl8uV3ABz_6">
    <vt:lpwstr> by the lack of a simple relationship between the heat capacities of the liquids and characteristics of the alkali and alkaline-earth cations such as ionic potential or field strength.","container-title":"Geochimica et Cosmochimica Acta","DOI":"10.1016/00</vt:lpwstr>
  </property>
  <property fmtid="{D5CDD505-2E9C-101B-9397-08002B2CF9AE}" pid="166" name="ZOTERO_BREF_b7kDl8uV3ABz_7">
    <vt:lpwstr>16-7037(85)90039-0","ISSN":"0016-7037","issue":"2","journalAbbreviation":"Geochimica et Cosmochimica Acta","page":"471-486","source":"ScienceDirect","title":"Heat capacity of aluminum-free liquid silicates","volume":"49","author":[{"family":"Richet","give</vt:lpwstr>
  </property>
  <property fmtid="{D5CDD505-2E9C-101B-9397-08002B2CF9AE}" pid="167" name="ZOTERO_BREF_b7kDl8uV3ABz_8">
    <vt:lpwstr>n":"Pascal"},{"family":"Bottinga","given":"Yan"}],"issued":{"date-parts":[["1985",2,1]]}}}],"schema":"https://github.com/citation-style-language/schema/raw/master/csl-citation.json"}</vt:lpwstr>
  </property>
  <property fmtid="{D5CDD505-2E9C-101B-9397-08002B2CF9AE}" pid="168" name="ZOTERO_BREF_d2Eb9LX4hCoC_1">
    <vt:lpwstr>ZOTERO_ITEM CSL_CITATION {"citationID":"PhVUONIU","properties":{"formattedCitation":"({\\i{}38})","plainCitation":"(38)","noteIndex":0},"citationItems":[{"id":416,"uris":["http://zotero.org/users/453153/items/AGSANS3H"],"uri":["http://zotero.org/users/453</vt:lpwstr>
  </property>
  <property fmtid="{D5CDD505-2E9C-101B-9397-08002B2CF9AE}" pid="169" name="ZOTERO_BREF_d2Eb9LX4hCoC_2">
    <vt:lpwstr>153/items/AGSANS3H"],"itemData":{"id":416,"type":"article-journal","container-title":"Physics and Chemistry of Minerals","page":"385-394","title":"Thermodynamics of open networks: ordering and entropy in NaAlSiO₄ glass, liquid and polymorphs","volume":"17</vt:lpwstr>
  </property>
  <property fmtid="{D5CDD505-2E9C-101B-9397-08002B2CF9AE}" pid="170" name="ZOTERO_BREF_d2Eb9LX4hCoC_3">
    <vt:lpwstr>","author":[{"family":"Richet","given":"P."},{"family":"Robie","given":"R. A."},{"family":"Rogez","given":"J."},{"family":"Hemingway","given":"B. S."},{"family":"Courtial","given":"P."},{"family":"Téqui","given":"C."}],"issued":{"date-parts":[["1990"]]}}}</vt:lpwstr>
  </property>
  <property fmtid="{D5CDD505-2E9C-101B-9397-08002B2CF9AE}" pid="171" name="ZOTERO_BREF_d2Eb9LX4hCoC_4">
    <vt:lpwstr>],"schema":"https://github.com/citation-style-language/schema/raw/master/csl-citation.json"}</vt:lpwstr>
  </property>
  <property fmtid="{D5CDD505-2E9C-101B-9397-08002B2CF9AE}" pid="172" name="ZOTERO_BREF_dT7LjsIsKPvM_1">
    <vt:lpwstr>ZOTERO_ITEM CSL_CITATION {"citationID":"rQd7t17c","properties":{"formattedCitation":"({\\i{}1})","plainCitation":"(1)","noteIndex":0},"citationItems":[{"id":383,"uris":["http://zotero.org/users/453153/items/M3385UI4"],"uri":["http://zotero.org/users/45315</vt:lpwstr>
  </property>
  <property fmtid="{D5CDD505-2E9C-101B-9397-08002B2CF9AE}" pid="173" name="ZOTERO_BREF_dT7LjsIsKPvM_2">
    <vt:lpwstr>3/items/M3385UI4"],"itemData":{"id":383,"type":"book","publisher":"Elsevier","title":"Handbook of glass data","volume":"C and B","author":[{"family":"Mazurin","given":"O. V."},{"family":"Streltsina","given":"M. V."},{"literal":"Shvaiko-Shvaikovskaya"}],"i</vt:lpwstr>
  </property>
  <property fmtid="{D5CDD505-2E9C-101B-9397-08002B2CF9AE}" pid="174" name="ZOTERO_BREF_dT7LjsIsKPvM_3">
    <vt:lpwstr>ssued":{"date-parts":[["1987"]]}}}],"schema":"https://github.com/citation-style-language/schema/raw/master/csl-citation.json"}</vt:lpwstr>
  </property>
  <property fmtid="{D5CDD505-2E9C-101B-9397-08002B2CF9AE}" pid="175" name="ZOTERO_BREF_ewiGgE4Skc9t_1">
    <vt:lpwstr>ZOTERO_ITEM CSL_CITATION {"citationID":"Sm20LIqg","properties":{"formattedCitation":"({\\i{}12})","plainCitation":"(12)","noteIndex":0},"citationItems":[{"id":5955,"uris":["http://zotero.org/users/453153/items/VQVKPG9Q"],"uri":["http://zotero.org/users/45</vt:lpwstr>
  </property>
  <property fmtid="{D5CDD505-2E9C-101B-9397-08002B2CF9AE}" pid="176" name="ZOTERO_BREF_ewiGgE4Skc9t_2">
    <vt:lpwstr>3153/items/VQVKPG9Q"],"itemData":{"id":5955,"type":"book","publisher":"MIT Press","title":"Deep Learning","URL":"http://www.deeplearningbook.org","author":[{"family":"Goodfellow","given":"I."},{"family":"Bengio","given":"Y."},{"family":"Courville","given"</vt:lpwstr>
  </property>
  <property fmtid="{D5CDD505-2E9C-101B-9397-08002B2CF9AE}" pid="177" name="ZOTERO_BREF_ewiGgE4Skc9t_3">
    <vt:lpwstr>:"A."}],"issued":{"date-parts":[["2016"]]}}}],"schema":"https://github.com/citation-style-language/schema/raw/master/csl-citation.json"}</vt:lpwstr>
  </property>
  <property fmtid="{D5CDD505-2E9C-101B-9397-08002B2CF9AE}" pid="178" name="ZOTERO_BREF_hFRS1UZ3uRMG_1">
    <vt:lpwstr>ZOTERO_ITEM CSL_CITATION {"citationID":"aYqgXcAU","properties":{"formattedCitation":"({\\i{}22})","plainCitation":"(22)","noteIndex":0},"citationItems":[{"id":534,"uris":["http://zotero.org/users/453153/items/XHMDNPUG"],"uri":["http://zotero.org/users/453</vt:lpwstr>
  </property>
  <property fmtid="{D5CDD505-2E9C-101B-9397-08002B2CF9AE}" pid="179" name="ZOTERO_BREF_hFRS1UZ3uRMG_2">
    <vt:lpwstr>153/items/XHMDNPUG"],"itemData":{"id":534,"type":"article-journal","container-title":"Nature","page":"638-639","title":"NMR evidence for five-coordinated silicon in a silicate glass at atmospheric pressure","volume":"351","author":[{"family":"Stebbins","g</vt:lpwstr>
  </property>
  <property fmtid="{D5CDD505-2E9C-101B-9397-08002B2CF9AE}" pid="180" name="ZOTERO_BREF_hFRS1UZ3uRMG_3">
    <vt:lpwstr>iven":"J."}],"issued":{"date-parts":[["1991"]]}}}],"schema":"https://github.com/citation-style-language/schema/raw/master/csl-citation.json"}</vt:lpwstr>
  </property>
  <property fmtid="{D5CDD505-2E9C-101B-9397-08002B2CF9AE}" pid="181" name="ZOTERO_BREF_hqDjR1w0g0Xl_1">
    <vt:lpwstr>ZOTERO_ITEM CSL_CITATION {"citationID":"iRdNmNX1","properties":{"formattedCitation":"({\\i{}6})","plainCitation":"(6)","noteIndex":0},"citationItems":[{"id":5621,"uris":["http://zotero.org/users/453153/items/9CVZQU9I"],"uri":["http://zotero.org/users/4531</vt:lpwstr>
  </property>
  <property fmtid="{D5CDD505-2E9C-101B-9397-08002B2CF9AE}" pid="182" name="ZOTERO_BREF_hqDjR1w0g0Xl_2">
    <vt:lpwstr>53/items/9CVZQU9I"],"itemData":{"id":5621,"type":"book","call-number":"Q327 .B52 2006","collection-title":"Information science and statistics","event-place":"New York","ISBN":"978-0-387-31073-2","language":"en","number-of-pages":"738","publisher":"Springe</vt:lpwstr>
  </property>
  <property fmtid="{D5CDD505-2E9C-101B-9397-08002B2CF9AE}" pid="183" name="ZOTERO_BREF_hqDjR1w0g0Xl_3">
    <vt:lpwstr>r","publisher-place":"New York","source":"Library of Congress ISBN","title":"Pattern recognition and machine learning","author":[{"family":"Bishop","given":"Christopher M."}],"issued":{"date-parts":[["2006"]]}}}],"schema":"https://github.com/citation-styl</vt:lpwstr>
  </property>
  <property fmtid="{D5CDD505-2E9C-101B-9397-08002B2CF9AE}" pid="184" name="ZOTERO_BREF_hqDjR1w0g0Xl_4">
    <vt:lpwstr>e-language/schema/raw/master/csl-citation.json"}</vt:lpwstr>
  </property>
  <property fmtid="{D5CDD505-2E9C-101B-9397-08002B2CF9AE}" pid="185" name="ZOTERO_BREF_ie894lXRwABm_1">
    <vt:lpwstr>ZOTERO_ITEM CSL_CITATION {"citationID":"RrLWmlRS","properties":{"formattedCitation":"({\\i{}27})","plainCitation":"(27)","noteIndex":0},"citationItems":[{"id":642,"uris":["http://zotero.org/users/453153/items/EH5CCRSB"],"uri":["http://zotero.org/users/453</vt:lpwstr>
  </property>
  <property fmtid="{D5CDD505-2E9C-101B-9397-08002B2CF9AE}" pid="186" name="ZOTERO_BREF_ie894lXRwABm_2">
    <vt:lpwstr>153/items/EH5CCRSB"],"itemData":{"id":642,"type":"article-journal","container-title":"American Mineralogist","page":"1668-1678","title":"The structural behavior of Al&lt;sup&gt;3+&lt;/sup&gt; in peralkaline melts and glasses in the system Na₂O-Al₂O₃-SiO₂","volume":"8</vt:lpwstr>
  </property>
  <property fmtid="{D5CDD505-2E9C-101B-9397-08002B2CF9AE}" pid="187" name="ZOTERO_BREF_ie894lXRwABm_3">
    <vt:lpwstr>8","author":[{"family":"Mysen","given":"B. O."},{"family":"Lucier","given":"A."},{"family":"Cody","given":"G. D."}],"issued":{"date-parts":[["2003"]]}}}],"schema":"https://github.com/citation-style-language/schema/raw/master/csl-citation.json"}</vt:lpwstr>
  </property>
  <property fmtid="{D5CDD505-2E9C-101B-9397-08002B2CF9AE}" pid="188" name="ZOTERO_BREF_ipyD8uvJUSJV_1">
    <vt:lpwstr>ZOTERO_ITEM CSL_CITATION {"citationID":"0mEJhA5e","properties":{"formattedCitation":"({\\i{}33}, {\\i{}34})","plainCitation":"(33, 34)","noteIndex":0},"citationItems":[{"id":516,"uris":["http://zotero.org/users/453153/items/QRCFZFJ7"],"uri":["http://zoter</vt:lpwstr>
  </property>
  <property fmtid="{D5CDD505-2E9C-101B-9397-08002B2CF9AE}" pid="189" name="ZOTERO_BREF_ipyD8uvJUSJV_10">
    <vt:lpwstr>emical Geology","DOI":"10.1016/j.chemgeo.2016.07.019","ISSN":"0009-2541","journalAbbreviation":"Chemical Geology","page":"140-151","source":"ScienceDirect","title":"Modelling configurational entropy of silicate melts","volume":"461","author":[{"family":"R</vt:lpwstr>
  </property>
  <property fmtid="{D5CDD505-2E9C-101B-9397-08002B2CF9AE}" pid="190" name="ZOTERO_BREF_ipyD8uvJUSJV_11">
    <vt:lpwstr>ussell","given":"J. K."},{"family":"Giordano","given":"D."}],"issued":{"date-parts":[["2017"]]}}}],"schema":"https://github.com/citation-style-language/schema/raw/master/csl-citation.json"}</vt:lpwstr>
  </property>
  <property fmtid="{D5CDD505-2E9C-101B-9397-08002B2CF9AE}" pid="191" name="ZOTERO_BREF_ipyD8uvJUSJV_2">
    <vt:lpwstr>o.org/users/453153/items/QRCFZFJ7"],"itemData":{"id":516,"type":"article-journal","container-title":"Chemical Geology","issue":"3-4","page":"92-101","title":"Configurational heat capacity of Na₂O–CaO–Al₂O₃–SiO₂ melts","volume":"256","author":[{"family":"W</vt:lpwstr>
  </property>
  <property fmtid="{D5CDD505-2E9C-101B-9397-08002B2CF9AE}" pid="192" name="ZOTERO_BREF_ipyD8uvJUSJV_3">
    <vt:lpwstr>ebb","given":"S. L. L."}],"issued":{"date-parts":[["2008"]]}}},{"id":2423,"uris":["http://zotero.org/users/453153/items/MAEM4I4T"],"uri":["http://zotero.org/users/453153/items/MAEM4I4T"],"itemData":{"id":2423,"type":"article-journal","abstract":"The Adam-</vt:lpwstr>
  </property>
  <property fmtid="{D5CDD505-2E9C-101B-9397-08002B2CF9AE}" pid="193" name="ZOTERO_BREF_ipyD8uvJUSJV_4">
    <vt:lpwstr>Gibbs theory provides a robust connection between the transport or relaxation properties of melts and their thermochemical properties. In its expanded form: log η = A + B T S c Tg + C p c ln T T g\n\nthe equation has adjustable unknown parameters A, B and</vt:lpwstr>
  </property>
  <property fmtid="{D5CDD505-2E9C-101B-9397-08002B2CF9AE}" pid="194" name="ZOTERO_BREF_ipyD8uvJUSJV_5">
    <vt:lpwstr> Sc (Tg) which can be estimated from experimental estimates of configurational heat capacity (Cpc), glass transition temperature (Tg) and viscosity (η). Here, we use recently published datasets for anhydrous and hydrous silicate melts and glasses (N ~ 50)</vt:lpwstr>
  </property>
  <property fmtid="{D5CDD505-2E9C-101B-9397-08002B2CF9AE}" pid="195" name="ZOTERO_BREF_ipyD8uvJUSJV_6">
    <vt:lpwstr> for which there are measurements of log η and calorimetric measurements of Cpc and Tg. Our fitting strategy follows the approach developed by previous workers with the sole exception that we assume all silicate melts converge to a common, but unknown, hi</vt:lpwstr>
  </property>
  <property fmtid="{D5CDD505-2E9C-101B-9397-08002B2CF9AE}" pid="196" name="ZOTERO_BREF_ipyD8uvJUSJV_7">
    <vt:lpwstr>gh temperature limit to melt viscosity (e.g., A = log η∞). Our optimal value for A is − 3.51 ± 0.25. A consequence of a common, high-temperature limit to silicate melt viscosity is that the corresponding model values of glass transition temperature (Tg12)</vt:lpwstr>
  </property>
  <property fmtid="{D5CDD505-2E9C-101B-9397-08002B2CF9AE}" pid="197" name="ZOTERO_BREF_ipyD8uvJUSJV_8">
    <vt:lpwstr>, melt fragility (m), and the ratio Cpc/Sc are constrained to lie on a single plane approximated as: Cp c S c = − Tg 12 243399 − m 15.518 + 0.996\n\nthereby establishing a quantitative connection between calorimetric and rheological measurements. Lastly, </vt:lpwstr>
  </property>
  <property fmtid="{D5CDD505-2E9C-101B-9397-08002B2CF9AE}" pid="198" name="ZOTERO_BREF_ipyD8uvJUSJV_9">
    <vt:lpwstr>we show a good correspondence between values of Tg12 and fragility (m) from this Adam-Gibbs based model of melt viscosity and values predicted by the GRD viscosity model for multicomponent silicate melts (cf. Giordano et al., 2008).","container-title":"Ch</vt:lpwstr>
  </property>
  <property fmtid="{D5CDD505-2E9C-101B-9397-08002B2CF9AE}" pid="199" name="ZOTERO_BREF_ivL1Vsg77JjN_1">
    <vt:lpwstr>ZOTERO_ITEM CSL_CITATION {"citationID":"yl5bIWs3","properties":{"unsorted":true,"formattedCitation":"({\\i{}28}\\uc0\\u8211{}{\\i{}31})","plainCitation":"(28–31)","noteIndex":0},"citationItems":[{"id":2366,"uris":["http://zotero.org/users/453153/items/2ZQ</vt:lpwstr>
  </property>
  <property fmtid="{D5CDD505-2E9C-101B-9397-08002B2CF9AE}" pid="200" name="ZOTERO_BREF_ivL1Vsg77JjN_10">
    <vt:lpwstr>r continuous variations in rheological properties, and has a demonstrated capacity for extrapolation beyond the original data.","container-title":"Geochimica et Cosmochimica Acta","DOI":"10.1016/j.gca.2005.06.019","ISSN":"0016-7037","issue":"22","journalA</vt:lpwstr>
  </property>
  <property fmtid="{D5CDD505-2E9C-101B-9397-08002B2CF9AE}" pid="201" name="ZOTERO_BREF_ivL1Vsg77JjN_11">
    <vt:lpwstr>bbreviation":"Geochimica et Cosmochimica Acta","page":"5333-5349","source":"ScienceDirect","title":"A model for silicate melt viscosity in the system CaMgSi&lt;sub&gt;2&lt;/sub&gt;O&lt;sub&gt;6&lt;/sub&gt;-CaAl&lt;sub&gt;2&lt;/sub&gt;Si&lt;sub&gt;2&lt;/sub&gt;O&lt;sub&gt;8&lt;/sub&gt;-NaAlSi&lt;sub&gt;3&lt;/sub&gt;O&lt;sub&gt;8&lt;/su</vt:lpwstr>
  </property>
  <property fmtid="{D5CDD505-2E9C-101B-9397-08002B2CF9AE}" pid="202" name="ZOTERO_BREF_ivL1Vsg77JjN_12">
    <vt:lpwstr>b&gt;","volume":"69","author":[{"family":"Russell","given":"James K."},{"family":"Giordano","given":"Daniele"}],"issued":{"date-parts":[["2005",11,15]]}}},{"id":505,"uris":["http://zotero.org/users/453153/items/B2UZRPWV"],"uri":["http://zotero.org/users/4531</vt:lpwstr>
  </property>
  <property fmtid="{D5CDD505-2E9C-101B-9397-08002B2CF9AE}" pid="203" name="ZOTERO_BREF_ivL1Vsg77JjN_13">
    <vt:lpwstr>53/items/B2UZRPWV"],"itemData":{"id":505,"type":"article-journal","container-title":"Geochimica et Cosmochimica Acta","issue":"2","page":"403-416","title":"Toward a general viscosity equation for natural anhydrous and hydrous silicate melts","volume":"71"</vt:lpwstr>
  </property>
  <property fmtid="{D5CDD505-2E9C-101B-9397-08002B2CF9AE}" pid="204" name="ZOTERO_BREF_ivL1Vsg77JjN_14">
    <vt:lpwstr>,"author":[{"family":"Hui","given":"H."},{"family":"Zhang","given":"Y."}],"issued":{"date-parts":[["2007"]]}}},{"id":757,"uris":["http://zotero.org/users/453153/items/5GE3I8II"],"uri":["http://zotero.org/users/453153/items/5GE3I8II"],"itemData":{"id":757,</vt:lpwstr>
  </property>
  <property fmtid="{D5CDD505-2E9C-101B-9397-08002B2CF9AE}" pid="205" name="ZOTERO_BREF_ivL1Vsg77JjN_15">
    <vt:lpwstr>"type":"article-journal","container-title":"Earth and Planetary Science Letters","DOI":"10.1016/j.epsl.2008.03.038","ISSN":"0012821X","issue":"1-4","language":"en","page":"123-134","source":"CrossRef","title":"Viscosity of magmatic liquids: A model","titl</vt:lpwstr>
  </property>
  <property fmtid="{D5CDD505-2E9C-101B-9397-08002B2CF9AE}" pid="206" name="ZOTERO_BREF_ivL1Vsg77JjN_16">
    <vt:lpwstr>e-short":"Viscosity of magmatic liquids","volume":"271","author":[{"family":"Giordano","given":"D."},{"family":"Russell","given":"J. K."},{"family":"Dingwell","given":"D. B."}],"issued":{"date-parts":[["2008",7]]}}},{"id":4880,"uris":["http://zotero.org/u</vt:lpwstr>
  </property>
  <property fmtid="{D5CDD505-2E9C-101B-9397-08002B2CF9AE}" pid="207" name="ZOTERO_BREF_ivL1Vsg77JjN_17">
    <vt:lpwstr>sers/453153/items/P7C95CY9"],"uri":["http://zotero.org/users/453153/items/P7C95CY9"],"itemData":{"id":4880,"type":"article-journal","abstract":"A new general model that takes into account the pressure and redox state effect is presented to calculate melt </vt:lpwstr>
  </property>
  <property fmtid="{D5CDD505-2E9C-101B-9397-08002B2CF9AE}" pid="208" name="ZOTERO_BREF_ivL1Vsg77JjN_18">
    <vt:lpwstr>viscosities of natural Fe-bearing melts. This new model is applicable to melts that span a wide range of temperatures (from 733 to 1873 K), pressures (0.001–15 kbar), H2O content (from 0 to 12.3 wt%), and compositions (from ultramafic, mafic to silicic me</vt:lpwstr>
  </property>
  <property fmtid="{D5CDD505-2E9C-101B-9397-08002B2CF9AE}" pid="209" name="ZOTERO_BREF_ivL1Vsg77JjN_19">
    <vt:lpwstr>lts). The accuracy of the model is calculated to be ±0.23 log units of viscosity, which is within or close to experimental uncertainty. The transport properties, including glass transition temperature and melt fragility, can also be calculated from this m</vt:lpwstr>
  </property>
  <property fmtid="{D5CDD505-2E9C-101B-9397-08002B2CF9AE}" pid="210" name="ZOTERO_BREF_ivL1Vsg77JjN_2">
    <vt:lpwstr>PAKPF"],"uri":["http://zotero.org/users/453153/items/2ZQPAKPF"],"itemData":{"id":2366,"type":"article-journal","abstract":"Five hundred eighty-five viscosity measurements on 40 melt compositions from the ternary system CaMgSi2O6 (Di)-CaAl2Si2O8 (An)-NaAlS</vt:lpwstr>
  </property>
  <property fmtid="{D5CDD505-2E9C-101B-9397-08002B2CF9AE}" pid="211" name="ZOTERO_BREF_ivL1Vsg77JjN_20">
    <vt:lpwstr>odel. A spreadsheet to calculate the viscosity is provided in an Electronic Supplement.","container-title":"American Mineralogist","DOI":"10.2138/am-2014-4841","ISSN":"0003-004X","issue":"11-12","language":"en","page":"2378-2388","source":"Crossref","titl</vt:lpwstr>
  </property>
  <property fmtid="{D5CDD505-2E9C-101B-9397-08002B2CF9AE}" pid="212" name="ZOTERO_BREF_ivL1Vsg77JjN_21">
    <vt:lpwstr>e":"A model for calculating the viscosity of natural iron-bearing silicate melts over a wide range of temperatures, pressures, oxygen fugacites, and compositions","volume":"99","author":[{"family":"Duan","given":"X."}],"issued":{"date-parts":[["2014",11,1</vt:lpwstr>
  </property>
  <property fmtid="{D5CDD505-2E9C-101B-9397-08002B2CF9AE}" pid="213" name="ZOTERO_BREF_ivL1Vsg77JjN_22">
    <vt:lpwstr>]]}}}],"schema":"https://github.com/citation-style-language/schema/raw/master/csl-citation.json"}</vt:lpwstr>
  </property>
  <property fmtid="{D5CDD505-2E9C-101B-9397-08002B2CF9AE}" pid="214" name="ZOTERO_BREF_ivL1Vsg77JjN_3">
    <vt:lpwstr>i3O8 (Ab) have been compiled to create an experimental database spanning a wide range of temperatures (660–2175°C). The melts within this ternary system show near-Arrhenian to strongly non-Arrhenian properties, and in this regard are comparable to natural</vt:lpwstr>
  </property>
  <property fmtid="{D5CDD505-2E9C-101B-9397-08002B2CF9AE}" pid="215" name="ZOTERO_BREF_ivL1Vsg77JjN_4">
    <vt:lpwstr> melts. The database is used to produce a chemical model for the compositional and temperature dependence of melt viscosity in the Di-An-Ab system. We use the Vogel-Fulcher-Tammann equation (VFT: log η = A + B/(T − C)) to account for the temperature depen</vt:lpwstr>
  </property>
  <property fmtid="{D5CDD505-2E9C-101B-9397-08002B2CF9AE}" pid="216" name="ZOTERO_BREF_ivL1Vsg77JjN_5">
    <vt:lpwstr>dence of melt viscosity. We also assume that all silicate melts converge to a common viscosity at high temperature. Thus, A is independent of composition, and all compositional dependence resides in the parameters B and C. The best estimate for A is −5.06</vt:lpwstr>
  </property>
  <property fmtid="{D5CDD505-2E9C-101B-9397-08002B2CF9AE}" pid="217" name="ZOTERO_BREF_ivL1Vsg77JjN_6">
    <vt:lpwstr>, which implies a high-temperature limit to viscosity of 10-5.06 Pa s. The compositional dependence of B and C is expressed by 12 coefficients (bi=1,2.6, cj=1,2..6) representing linear (e.g., bi=1:3) and higher order, nonlinear (e.g., bi=4:6) contribution</vt:lpwstr>
  </property>
  <property fmtid="{D5CDD505-2E9C-101B-9397-08002B2CF9AE}" pid="218" name="ZOTERO_BREF_ivL1Vsg77JjN_7">
    <vt:lpwstr>s. Our results suggest a near-linear compositional dependence for B (&amp;lt;10% nonlinear) and C (&amp;lt;7% nonlinear). We use the model to predict model VFT functions and to demonstrate the systematic variations in viscosity due to changes in melt composition.</vt:lpwstr>
  </property>
  <property fmtid="{D5CDD505-2E9C-101B-9397-08002B2CF9AE}" pid="219" name="ZOTERO_BREF_ivL1Vsg77JjN_8">
    <vt:lpwstr> Despite the near linear compositional dependence of B and C, the model reproduces the pronounced nonlinearities shown by the original data, including the crossing of VFT functions for different melt compositions. We also calculate values of Tg for melts </vt:lpwstr>
  </property>
  <property fmtid="{D5CDD505-2E9C-101B-9397-08002B2CF9AE}" pid="220" name="ZOTERO_BREF_ivL1Vsg77JjN_9">
    <vt:lpwstr>across the Di-An-Ab ternary system and show that intermediate melt compositions have Tg values that are depressed by up to 100°C relative to the end-members Di-An-Ab. Our non-Arrhenian viscosity model accurately reproduces the original database, allows fo</vt:lpwstr>
  </property>
  <property fmtid="{D5CDD505-2E9C-101B-9397-08002B2CF9AE}" pid="221" name="ZOTERO_BREF_jKuB97iEj4hK_1">
    <vt:lpwstr>ZOTERO_ITEM CSL_CITATION {"citationID":"zAiHESrM","properties":{"formattedCitation":"({\\i{}2})","plainCitation":"(2)","noteIndex":0},"citationItems":[{"id":501,"uris":["http://zotero.org/users/453153/items/8B8VC575"],"uri":["http://zotero.org/users/45315</vt:lpwstr>
  </property>
  <property fmtid="{D5CDD505-2E9C-101B-9397-08002B2CF9AE}" pid="222" name="ZOTERO_BREF_jKuB97iEj4hK_2">
    <vt:lpwstr>3/items/8B8VC575"],"itemData":{"id":501,"type":"article-journal","container-title":"Chemical Geology","DOI":"http://dx.doi.org/10.1016/j.chemgeo.2012.09.009","page":"57-71","title":"Effect of the Na/K mixing on the structure and the rheology of tectosilic</vt:lpwstr>
  </property>
  <property fmtid="{D5CDD505-2E9C-101B-9397-08002B2CF9AE}" pid="223" name="ZOTERO_BREF_jKuB97iEj4hK_3">
    <vt:lpwstr>ate silica-rich melts","volume":"346","author":[{"family":"Le Losq","given":"C."},{"family":"Neuville","given":"D. R."}],"issued":{"date-parts":[["2013"]]}}}],"schema":"https://github.com/citation-style-language/schema/raw/master/csl-citation.json"}</vt:lpwstr>
  </property>
  <property fmtid="{D5CDD505-2E9C-101B-9397-08002B2CF9AE}" pid="224" name="ZOTERO_BREF_l6C4rjugeCOw_1">
    <vt:lpwstr/>
  </property>
  <property fmtid="{D5CDD505-2E9C-101B-9397-08002B2CF9AE}" pid="225" name="ZOTERO_BREF_mAQhnCA8mPAP_1">
    <vt:lpwstr>ZOTERO_ITEM CSL_CITATION {"citationID":"lwYuOhzX","properties":{"formattedCitation":"({\\i{}26})","plainCitation":"(26)","noteIndex":0},"citationItems":[{"id":358,"uris":["http://zotero.org/users/453153/items/UENA3I4E"],"uri":["http://zotero.org/users/453</vt:lpwstr>
  </property>
  <property fmtid="{D5CDD505-2E9C-101B-9397-08002B2CF9AE}" pid="226" name="ZOTERO_BREF_mAQhnCA8mPAP_2">
    <vt:lpwstr>153/items/UENA3I4E"],"itemData":{"id":358,"type":"article-journal","container-title":"European Journal of Mineralogy","page":"745-766","title":"Experimental, in situ, high-temperature studies of properties and structure of silicate melts relevant to magma</vt:lpwstr>
  </property>
  <property fmtid="{D5CDD505-2E9C-101B-9397-08002B2CF9AE}" pid="227" name="ZOTERO_BREF_mAQhnCA8mPAP_3">
    <vt:lpwstr>tic processes","volume":"7","author":[{"family":"Mysen","given":"B. O."}],"issued":{"date-parts":[["1995"]]}}}],"schema":"https://github.com/citation-style-language/schema/raw/master/csl-citation.json"}</vt:lpwstr>
  </property>
  <property fmtid="{D5CDD505-2E9C-101B-9397-08002B2CF9AE}" pid="228" name="ZOTERO_BREF_mmlFsYuqkYKw_1">
    <vt:lpwstr>ZOTERO_ITEM CSL_CITATION {"citationID":"3NsFOIM5","properties":{"formattedCitation":"(see review of {\\i{}13})","plainCitation":"(see review of 13)","noteIndex":0},"citationItems":[{"id":4729,"uris":["http://zotero.org/users/453153/items/2XWMG3XB"],"uri":</vt:lpwstr>
  </property>
  <property fmtid="{D5CDD505-2E9C-101B-9397-08002B2CF9AE}" pid="229" name="ZOTERO_BREF_mmlFsYuqkYKw_2">
    <vt:lpwstr>["http://zotero.org/users/453153/items/2XWMG3XB"],"itemData":{"id":4729,"type":"chapter","container-title":"Handbook of Glass","ISBN":"978-3-319-93728-1","publisher":"Springer","title":"Silicate Glasses","URL":"https://www.springer.com/us/book/97833199372</vt:lpwstr>
  </property>
  <property fmtid="{D5CDD505-2E9C-101B-9397-08002B2CF9AE}" pid="230" name="ZOTERO_BREF_mmlFsYuqkYKw_3">
    <vt:lpwstr>67","author":[{"family":"Le Losq","given":"C."},{"family":"Cicconi","given":"M. R."},{"family":"Greaves","given":"G. N."},{"family":"Neuville","given":"D. R."}],"issued":{"date-parts":[["2019",5]]}},"prefix":"see review of"}],"schema":"https://github.com/</vt:lpwstr>
  </property>
  <property fmtid="{D5CDD505-2E9C-101B-9397-08002B2CF9AE}" pid="231" name="ZOTERO_BREF_mmlFsYuqkYKw_4">
    <vt:lpwstr>citation-style-language/schema/raw/master/csl-citation.json"}</vt:lpwstr>
  </property>
  <property fmtid="{D5CDD505-2E9C-101B-9397-08002B2CF9AE}" pid="232" name="ZOTERO_BREF_pu3oU2ySGXy6_1">
    <vt:lpwstr>ZOTERO_ITEM CSL_CITATION {"citationID":"adbrzYNV","properties":{"formattedCitation":"({\\i{}9})","plainCitation":"(9)","noteIndex":0},"citationItems":[{"id":1375,"uris":["http://zotero.org/users/453153/items/PMMGXQ3B"],"uri":["http://zotero.org/users/4531</vt:lpwstr>
  </property>
  <property fmtid="{D5CDD505-2E9C-101B-9397-08002B2CF9AE}" pid="233" name="ZOTERO_BREF_pu3oU2ySGXy6_2">
    <vt:lpwstr>53/items/PMMGXQ3B"],"itemData":{"id":1375,"type":"paper-conference","container-title":"International Conference on Artificial Intelligence and Statistics","page":"315–323","source":"Google Scholar","title":"Deep sparse rectifier neural networks","URL":"ht</vt:lpwstr>
  </property>
  <property fmtid="{D5CDD505-2E9C-101B-9397-08002B2CF9AE}" pid="234" name="ZOTERO_BREF_pu3oU2ySGXy6_3">
    <vt:lpwstr>tp://machinelearning.wustl.edu/mlpapers/paper_files/AISTATS2011_GlorotBB11.pdf","author":[{"family":"Glorot","given":"Xavier"},{"family":"Bordes","given":"Antoine"},{"family":"Bengio","given":"Yoshua"}],"accessed":{"date-parts":[["2016",6,15]]},"issued":{</vt:lpwstr>
  </property>
  <property fmtid="{D5CDD505-2E9C-101B-9397-08002B2CF9AE}" pid="235" name="ZOTERO_BREF_pu3oU2ySGXy6_4">
    <vt:lpwstr>"date-parts":[["2011"]]}}}],"schema":"https://github.com/citation-style-language/schema/raw/master/csl-citation.json"}</vt:lpwstr>
  </property>
  <property fmtid="{D5CDD505-2E9C-101B-9397-08002B2CF9AE}" pid="236" name="ZOTERO_BREF_tGGwCehXNU1e_1">
    <vt:lpwstr>ZOTERO_ITEM CSL_CITATION {"citationID":"RAVzEbb8","properties":{"formattedCitation":"({\\i{}2}, {\\i{}21})","plainCitation":"(2, 21)","noteIndex":0},"citationItems":[{"id":501,"uris":["http://zotero.org/users/453153/items/8B8VC575"],"uri":["http://zotero.</vt:lpwstr>
  </property>
  <property fmtid="{D5CDD505-2E9C-101B-9397-08002B2CF9AE}" pid="237" name="ZOTERO_BREF_tGGwCehXNU1e_10">
    <vt:lpwstr>ercolation channels: a universal idea to describe the atomic structure and dynamics of glasses and melts","title-short":"Percolation channels","volume":"7","author":[{"family":"Le Losq","given":"C."},{"family":"Neuville","given":"D. R."},{"family":"Chen",</vt:lpwstr>
  </property>
  <property fmtid="{D5CDD505-2E9C-101B-9397-08002B2CF9AE}" pid="238" name="ZOTERO_BREF_tGGwCehXNU1e_11">
    <vt:lpwstr>"given":"W."},{"family":"Florian","given":"P."},{"family":"Massiot","given":"D."},{"family":"Zhou","given":"Z."},{"family":"Greaves","given":"G. N."}],"issued":{"date-parts":[["2017",12]]}}}],"schema":"https://github.com/citation-style-language/schema/raw</vt:lpwstr>
  </property>
  <property fmtid="{D5CDD505-2E9C-101B-9397-08002B2CF9AE}" pid="239" name="ZOTERO_BREF_tGGwCehXNU1e_12">
    <vt:lpwstr>/master/csl-citation.json"}</vt:lpwstr>
  </property>
  <property fmtid="{D5CDD505-2E9C-101B-9397-08002B2CF9AE}" pid="240" name="ZOTERO_BREF_tGGwCehXNU1e_2">
    <vt:lpwstr>org/users/453153/items/8B8VC575"],"itemData":{"id":501,"type":"article-journal","container-title":"Chemical Geology","DOI":"http://dx.doi.org/10.1016/j.chemgeo.2012.09.009","page":"57-71","title":"Effect of the Na/K mixing on the structure and the rheolog</vt:lpwstr>
  </property>
  <property fmtid="{D5CDD505-2E9C-101B-9397-08002B2CF9AE}" pid="241" name="ZOTERO_BREF_tGGwCehXNU1e_3">
    <vt:lpwstr>y of tectosilicate silica-rich melts","volume":"346","author":[{"family":"Le Losq","given":"C."},{"family":"Neuville","given":"D. R."}],"issued":{"date-parts":[["2013"]]}}},{"id":4406,"uris":["http://zotero.org/users/453153/items/6VDKVSXJ"],"uri":["http:/</vt:lpwstr>
  </property>
  <property fmtid="{D5CDD505-2E9C-101B-9397-08002B2CF9AE}" pid="242" name="ZOTERO_BREF_tGGwCehXNU1e_4">
    <vt:lpwstr>/zotero.org/users/453153/items/6VDKVSXJ"],"itemData":{"id":4406,"type":"article-journal","abstract":"Understanding the links between chemical composition, nano-structure and the dynamic properties of silicate melts and glasses is fundamental to both Earth</vt:lpwstr>
  </property>
  <property fmtid="{D5CDD505-2E9C-101B-9397-08002B2CF9AE}" pid="243" name="ZOTERO_BREF_tGGwCehXNU1e_5">
    <vt:lpwstr> and Materials Sciences. Central to this is whether the distribution of mobile metallic ions is random or not. In silicate systems, such as window glass, it is well-established that the short-range structure is not random but metal ions cluster, forming p</vt:lpwstr>
  </property>
  <property fmtid="{D5CDD505-2E9C-101B-9397-08002B2CF9AE}" pid="244" name="ZOTERO_BREF_tGGwCehXNU1e_6">
    <vt:lpwstr>ercolation channels through a partly broken network of corner-sharing SiO4 tetrahedra. In alumino-silicate glasses and melts, extensively used in industry and representing most of the Earth magmas, metal ions compensate the electrical charge deficit of Al</vt:lpwstr>
  </property>
  <property fmtid="{D5CDD505-2E9C-101B-9397-08002B2CF9AE}" pid="245" name="ZOTERO_BREF_tGGwCehXNU1e_7">
    <vt:lpwstr>O4\n                        − tetrahedra, but until now clustering has not been confirmed. Here we report how major changes in melt viscosity, together with glass Raman and Nuclear Magnetic Resonance measurements and Molecular Dynamics simulations, demons</vt:lpwstr>
  </property>
  <property fmtid="{D5CDD505-2E9C-101B-9397-08002B2CF9AE}" pid="246" name="ZOTERO_BREF_tGGwCehXNU1e_8">
    <vt:lpwstr>trate that metal ions nano-segregate into percolation channels, making this a universal phenomenon of oxide glasses and melts. Furthermore, we can explain how, in both single and mixed alkali compositions, metal ion clustering and percolation radically af</vt:lpwstr>
  </property>
  <property fmtid="{D5CDD505-2E9C-101B-9397-08002B2CF9AE}" pid="247" name="ZOTERO_BREF_tGGwCehXNU1e_9">
    <vt:lpwstr>fect melt mobility, central to understanding industrial and geological processes.","container-title":"Scientific Reports","DOI":"10.1038/s41598-017-16741-3","ISSN":"2045-2322","issue":"1","language":"En","page":"16490","source":"www.nature.com","title":"P</vt:lpwstr>
  </property>
  <property fmtid="{D5CDD505-2E9C-101B-9397-08002B2CF9AE}" pid="248" name="ZOTERO_BREF_w4moMihUmSXA_1">
    <vt:lpwstr>ZOTERO_ITEM CSL_CITATION {"citationID":"G7dOkTva","properties":{"formattedCitation":"({\\i{}19})","plainCitation":"(19)","noteIndex":0},"citationItems":[{"id":1328,"uris":["http://zotero.org/users/453153/items/CZT3JPVA"],"uri":["http://zotero.org/users/45</vt:lpwstr>
  </property>
  <property fmtid="{D5CDD505-2E9C-101B-9397-08002B2CF9AE}" pid="249" name="ZOTERO_BREF_w4moMihUmSXA_2">
    <vt:lpwstr>3153/items/CZT3JPVA"],"itemData":{"id":1328,"type":"article-journal","container-title":"Geochimica et Cosmochimica Acta","DOI":"10.1016/j.gca.2013.11.010","ISSN":"00167037","language":"en","page":"495-517","source":"CrossRef","title":"The role of Al&lt;sup&gt;3</vt:lpwstr>
  </property>
  <property fmtid="{D5CDD505-2E9C-101B-9397-08002B2CF9AE}" pid="250" name="ZOTERO_BREF_w4moMihUmSXA_3">
    <vt:lpwstr>+&lt;/sup&gt; on rheology and structural changes of sodium silicate and aluminosilicate glasses and melts.","volume":"126","author":[{"family":"Le Losq","given":"C."},{"family":"Neuville","given":"D. R."},{"family":"Florian","given":"P."},{"family":"Henderson",</vt:lpwstr>
  </property>
  <property fmtid="{D5CDD505-2E9C-101B-9397-08002B2CF9AE}" pid="251" name="ZOTERO_BREF_w4moMihUmSXA_4">
    <vt:lpwstr>"given":"G. S."},{"family":"Massiot","given":"D."}],"issued":{"date-parts":[["2014",2]]}}}],"schema":"https://github.com/citation-style-language/schema/raw/master/csl-citation.json"}</vt:lpwstr>
  </property>
  <property fmtid="{D5CDD505-2E9C-101B-9397-08002B2CF9AE}" pid="252" name="ZOTERO_BREF_wyWYVq7Zg1SU_1">
    <vt:lpwstr>ZOTERO_ITEM CSL_CITATION {"citationID":"aEglQ0MW","properties":{"formattedCitation":"({\\i{}8})","plainCitation":"(8)","noteIndex":0},"citationItems":[{"id":1009,"uris":["http://zotero.org/users/453153/items/CP3UVTPK"],"uri":["http://zotero.org/users/4531</vt:lpwstr>
  </property>
  <property fmtid="{D5CDD505-2E9C-101B-9397-08002B2CF9AE}" pid="253" name="ZOTERO_BREF_wyWYVq7Zg1SU_2">
    <vt:lpwstr>53/items/CP3UVTPK"],"itemData":{"id":1009,"type":"article-journal","abstract":"With the configurational entropy theory of relaxation processes of Adam and Gibbs (1965), one predicts that the viscosity depends on temperature according to log η = Ae + BeTSc</vt:lpwstr>
  </property>
  <property fmtid="{D5CDD505-2E9C-101B-9397-08002B2CF9AE}" pid="254" name="ZOTERO_BREF_wyWYVq7Zg1SU_3">
    <vt:lpwstr>onf, where Sconf is the configurational entropy of the liquid. Thermochemical calculations of Sconf performed for some mineral compositions show the importance of non-configurational contributions to the entropy differences between amorphous and crystalli</vt:lpwstr>
  </property>
  <property fmtid="{D5CDD505-2E9C-101B-9397-08002B2CF9AE}" pid="255" name="ZOTERO_BREF_wyWYVq7Zg1SU_4">
    <vt:lpwstr>ne phases. Except for the case of SiO2, the available thermodynamic data indicate that the above equation for viscosity accounts quantitatively for the experimentally determined temperature dependence of the viscosity of silicate melts. The Adam and Gibbs</vt:lpwstr>
  </property>
  <property fmtid="{D5CDD505-2E9C-101B-9397-08002B2CF9AE}" pid="256" name="ZOTERO_BREF_wyWYVq7Zg1SU_5">
    <vt:lpwstr> theory also provides a simple rationale for the non linear variation of the logarithmic viscosity with composition in mixed alkali silicate liquids at low temperatures, the minimum of viscosity resulting from the contribution of the entropy of mixing to </vt:lpwstr>
  </property>
  <property fmtid="{D5CDD505-2E9C-101B-9397-08002B2CF9AE}" pid="257" name="ZOTERO_BREF_wyWYVq7Zg1SU_6">
    <vt:lpwstr>Sconf.","container-title":"Geochimica et Cosmochimica Acta","DOI":"10.1016/0016-7037(84)90275-8","ISSN":"0016-7037","issue":"3","journalAbbreviation":"Geochimica et Cosmochimica Acta","page":"471-483","source":"ScienceDirect","title":"Viscosity and config</vt:lpwstr>
  </property>
  <property fmtid="{D5CDD505-2E9C-101B-9397-08002B2CF9AE}" pid="258" name="ZOTERO_BREF_wyWYVq7Zg1SU_7">
    <vt:lpwstr>urational entropy of silicate melts","volume":"48","author":[{"family":"Richet","given":"P."}],"issued":{"date-parts":[["1984",3,1]]}}}],"schema":"https://github.com/citation-style-language/schema/raw/master/csl-citation.json"}</vt:lpwstr>
  </property>
  <property fmtid="{D5CDD505-2E9C-101B-9397-08002B2CF9AE}" pid="259" name="ZOTERO_BREF_z88cu7Bx1r5y_1">
    <vt:lpwstr>ZOTERO_ITEM CSL_CITATION {"citationID":"AhxTP1xD","properties":{"formattedCitation":"({\\i{}5})","plainCitation":"(5)","noteIndex":0},"citationItems":[{"id":1639,"uris":["http://zotero.org/users/453153/items/VXTS2VFC"],"uri":["http://zotero.org/users/4531</vt:lpwstr>
  </property>
  <property fmtid="{D5CDD505-2E9C-101B-9397-08002B2CF9AE}" pid="260" name="ZOTERO_BREF_z88cu7Bx1r5y_2">
    <vt:lpwstr>53/items/VXTS2VFC"],"itemData":{"id":1639,"type":"book","event-place":"Cambridge, Massachusetts","publisher":"The MIT Press","publisher-place":"Cambridge, Massachusetts","title":"Machine Learning: A Probabilistic Perspective","author":[{"family":"Murphy",</vt:lpwstr>
  </property>
  <property fmtid="{D5CDD505-2E9C-101B-9397-08002B2CF9AE}" pid="261" name="ZOTERO_BREF_z88cu7Bx1r5y_3">
    <vt:lpwstr>"given":"K. P."}],"issued":{"date-parts":[["2012"]]}}}],"schema":"https://github.com/citation-style-language/schema/raw/master/csl-citation.json"}</vt:lpwstr>
  </property>
  <property fmtid="{D5CDD505-2E9C-101B-9397-08002B2CF9AE}" pid="262" name="ZOTERO_PREF_1">
    <vt:lpwstr>&lt;data data-version="3" zotero-version="5.0.89"&gt;&lt;session id="slKXOrfW"/&gt;&lt;style id="http://www.zotero.org/styles/science" hasBibliography="1" bibliographyStyleHasBeenSet="1"/&gt;&lt;prefs&gt;&lt;pref name="fieldType" value="Bookmark"/&gt;&lt;/prefs&gt;&lt;/data&gt;</vt:lpwstr>
  </property>
</Properties>
</file>