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888888"/>
          <w:sz w:val="26"/>
          <w:szCs w:val="26"/>
        </w:rPr>
        <w:t xml:space="preserve">CMPE 275 – Enterprise Software Components</w:t>
      </w:r>
    </w:p>
    <w:p>
      <w:pPr>
        <w:spacing w:after="100" w:before="0"/>
        <w:jc w:val="center"/>
      </w:pPr>
      <w:r>
        <w:rPr>
          <w:rFonts w:ascii="Arial" w:cs="Arial" w:eastAsia="Arial" w:hAnsi="Arial"/>
          <w:b/>
          <w:bCs/>
          <w:color w:val="1A3A5C"/>
          <w:sz w:val="40"/>
          <w:szCs w:val="40"/>
        </w:rPr>
        <w:t xml:space="preserve">Mini 2: Multi-Process Distributed Query Engine</w:t>
      </w:r>
    </w:p>
    <w:p>
      <w:pPr>
        <w:spacing w:after="60" w:before="0"/>
        <w:jc w:val="center"/>
      </w:pPr>
      <w:r>
        <w:rPr>
          <w:rFonts w:ascii="Arial" w:cs="Arial" w:eastAsia="Arial" w:hAnsi="Arial"/>
          <w:color w:val="555555"/>
          <w:sz w:val="22"/>
          <w:szCs w:val="22"/>
        </w:rPr>
        <w:t xml:space="preserve">Spring 2026  ·  San José State University  ·  Instructor: John Gash</w:t>
      </w:r>
    </w:p>
    <w:p>
      <w:pPr>
        <w:spacing w:after="80" w:before="0"/>
        <w:jc w:val="center"/>
      </w:pPr>
      <w:r>
        <w:rPr>
          <w:rFonts w:ascii="Arial" w:cs="Arial" w:eastAsia="Arial" w:hAnsi="Arial"/>
          <w:b/>
          <w:bCs/>
          <w:color w:val="1A3A5C"/>
          <w:sz w:val="26"/>
          <w:szCs w:val="26"/>
        </w:rPr>
        <w:t xml:space="preserve">Anukrithi Myadala  ·  Asim Mohammed</w:t>
      </w:r>
    </w:p>
    <w:p>
      <w:pPr>
        <w:pBdr>
          <w:bottom w:val="single" w:color="D0D7DE" w:sz="2"/>
        </w:pBdr>
        <w:spacing w:after="160" w:before="160"/>
      </w:pPr>
    </w:p>
    <w:p>
      <w:pPr>
        <w:pStyle w:val="Heading1"/>
        <w:spacing w:after="160" w:before="340"/>
      </w:pPr>
      <w:r>
        <w:rPr>
          <w:rFonts w:ascii="Arial" w:cs="Arial" w:eastAsia="Arial" w:hAnsi="Arial"/>
          <w:b/>
          <w:bCs/>
          <w:color w:val="1A3A5C"/>
          <w:sz w:val="32"/>
          <w:szCs w:val="32"/>
        </w:rPr>
        <w:t xml:space="preserve">Abstract</w:t>
      </w:r>
    </w:p>
    <w:p>
      <w:pPr>
        <w:spacing w:after="120" w:before="60"/>
      </w:pPr>
      <w:r>
        <w:rPr>
          <w:rFonts w:ascii="Arial" w:cs="Arial" w:eastAsia="Arial" w:hAnsi="Arial"/>
          <w:sz w:val="22"/>
          <w:szCs w:val="22"/>
        </w:rPr>
        <w:t xml:space="preserve">Mini 2 extends the on-node parallelism of Mini 1 into a multi-process distributed query system. Nine gRPC processes (A–I) communicate over a tree overlay network. Node A is the sole public-facing leader; eight worker nodes hold partitioned data shards and propagate queries downward. Results are assembled at the leader, cached per request, and returned to clients in configurable binary chunks snapped to Record boundaries. A weighted fair queue prevents any single client from monopolising the leader. Node I is implemented in Python to satisfy the cross-language requirement. This report documents design decisions, measured results, failure modes encountered and resolved, and the key finding that chunk-size optimisation is a round-trip count problem rather than a bandwidth problem at LAN-scale payloads.</w:t>
      </w:r>
    </w:p>
    <w:p>
      <w:pPr>
        <w:spacing w:after="60" w:before="60"/>
      </w:pPr>
      <w:r>
        <w:t xml:space="preserve"/>
      </w:r>
    </w:p>
    <w:p>
      <w:pPr>
        <w:pStyle w:val="Heading1"/>
        <w:spacing w:after="160" w:before="340"/>
      </w:pPr>
      <w:r>
        <w:rPr>
          <w:rFonts w:ascii="Arial" w:cs="Arial" w:eastAsia="Arial" w:hAnsi="Arial"/>
          <w:b/>
          <w:bCs/>
          <w:color w:val="1A3A5C"/>
          <w:sz w:val="32"/>
          <w:szCs w:val="32"/>
        </w:rPr>
        <w:t xml:space="preserve">1.  Introduction</w:t>
      </w:r>
    </w:p>
    <w:p>
      <w:pPr>
        <w:spacing w:after="120" w:before="60"/>
      </w:pPr>
      <w:r>
        <w:rPr>
          <w:rFonts w:ascii="Arial" w:cs="Arial" w:eastAsia="Arial" w:hAnsi="Arial"/>
          <w:sz w:val="22"/>
          <w:szCs w:val="22"/>
        </w:rPr>
        <w:t xml:space="preserve">Mini 2 shifts the unit of parallelism from a thread inside a single process to independent OS-level processes communicating over a network. The core challenge is deceptively simple: a client submits a query to node A, which must aggregate results from eight downstream nodes and return them in digestible chunks without overwhelming either the client memory or the network. Three sub-problems make this non-trivial:</w:t>
      </w:r>
    </w:p>
    <w:p>
      <w:pPr>
        <w:pStyle w:val="ListParagraph"/>
        <w:numPr>
          <w:ilvl w:val="0"/>
          <w:numId w:val="2"/>
        </w:numPr>
        <w:spacing w:after="60" w:before="40"/>
      </w:pPr>
      <w:r>
        <w:rPr>
          <w:rFonts w:ascii="Arial" w:cs="Arial" w:eastAsia="Arial" w:hAnsi="Arial"/>
          <w:sz w:val="22"/>
          <w:szCs w:val="22"/>
        </w:rPr>
        <w:t xml:space="preserve">Temporal decoupling: the client must be able to cancel or pause mid-stream without leaving stale state on the server.</w:t>
      </w:r>
    </w:p>
    <w:p>
      <w:pPr>
        <w:pStyle w:val="ListParagraph"/>
        <w:numPr>
          <w:ilvl w:val="0"/>
          <w:numId w:val="2"/>
        </w:numPr>
        <w:spacing w:after="60" w:before="40"/>
      </w:pPr>
      <w:r>
        <w:rPr>
          <w:rFonts w:ascii="Arial" w:cs="Arial" w:eastAsia="Arial" w:hAnsi="Arial"/>
          <w:sz w:val="22"/>
          <w:szCs w:val="22"/>
        </w:rPr>
        <w:t xml:space="preserve">Fairness: multiple concurrent clients must share leader bandwidth without starvation.</w:t>
      </w:r>
    </w:p>
    <w:p>
      <w:pPr>
        <w:pStyle w:val="ListParagraph"/>
        <w:numPr>
          <w:ilvl w:val="0"/>
          <w:numId w:val="2"/>
        </w:numPr>
        <w:spacing w:after="60" w:before="40"/>
      </w:pPr>
      <w:r>
        <w:rPr>
          <w:rFonts w:ascii="Arial" w:cs="Arial" w:eastAsia="Arial" w:hAnsi="Arial"/>
          <w:sz w:val="22"/>
          <w:szCs w:val="22"/>
        </w:rPr>
        <w:t xml:space="preserve">Memory conservation: the full aggregate result must not be re-fetched for every paginated chunk.</w:t>
      </w:r>
    </w:p>
    <w:p>
      <w:pPr>
        <w:spacing w:after="60" w:before="60"/>
      </w:pPr>
      <w:r>
        <w:t xml:space="preserve"/>
      </w:r>
    </w:p>
    <w:p>
      <w:pPr>
        <w:spacing w:after="120" w:before="60"/>
      </w:pPr>
      <w:r>
        <w:rPr>
          <w:rFonts w:ascii="Arial" w:cs="Arial" w:eastAsia="Arial" w:hAnsi="Arial"/>
          <w:sz w:val="22"/>
          <w:szCs w:val="22"/>
        </w:rPr>
        <w:t xml:space="preserve">Our approach is informed by the scatter-gather pattern from Mini 1 and the distributed memory themes discussed in lecture, recast here as a multi-hop tree with explicit caching and fair scheduling.</w:t>
      </w:r>
    </w:p>
    <w:p>
      <w:pPr>
        <w:spacing w:after="60" w:before="60"/>
      </w:pPr>
      <w:r>
        <w:t xml:space="preserve"/>
      </w:r>
    </w:p>
    <w:p>
      <w:pPr>
        <w:pStyle w:val="Heading1"/>
        <w:spacing w:after="160" w:before="340"/>
      </w:pPr>
      <w:r>
        <w:rPr>
          <w:rFonts w:ascii="Arial" w:cs="Arial" w:eastAsia="Arial" w:hAnsi="Arial"/>
          <w:b/>
          <w:bCs/>
          <w:color w:val="1A3A5C"/>
          <w:sz w:val="32"/>
          <w:szCs w:val="32"/>
        </w:rPr>
        <w:t xml:space="preserve">2.  System Design</w:t>
      </w:r>
    </w:p>
    <w:p>
      <w:pPr>
        <w:pStyle w:val="Heading2"/>
        <w:spacing w:after="100" w:before="220"/>
      </w:pPr>
      <w:r>
        <w:rPr>
          <w:rFonts w:ascii="Arial" w:cs="Arial" w:eastAsia="Arial" w:hAnsi="Arial"/>
          <w:b/>
          <w:bCs/>
          <w:color w:val="1A3A5C"/>
          <w:sz w:val="26"/>
          <w:szCs w:val="26"/>
        </w:rPr>
        <w:t xml:space="preserve">2.1  Overlay Topology</w:t>
      </w:r>
    </w:p>
    <w:p>
      <w:pPr>
        <w:spacing w:after="120" w:before="60"/>
      </w:pPr>
      <w:r>
        <w:rPr>
          <w:rFonts w:ascii="Arial" w:cs="Arial" w:eastAsia="Arial" w:hAnsi="Arial"/>
          <w:sz w:val="22"/>
          <w:szCs w:val="22"/>
        </w:rPr>
        <w:t xml:space="preserve">The assignment specifies the Tree overlay: edges AB, BC, BD, BE, EF, ED, EG, AH, AG, AI. These are stored in nodes.yaml and parsed at startup. No node identity, role, or address is hardcoded in any compiled binary — all are supplied as command-line arguments so the same team_node binary serves any letter node. BFS from A yields the directed parent→child tree below.</w:t>
      </w:r>
    </w:p>
    <w:p>
      <w:pPr>
        <w:spacing w:after="60" w:before="60"/>
      </w:pPr>
      <w:r>
        <w:t xml:space="preserve"/>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900"/>
        <w:gridCol w:w="3200"/>
        <w:gridCol w:w="1000"/>
      </w:tblGrid>
      <w:tr>
        <w:trPr>
          <w:tblHeader/>
        </w:trPr>
        <w:tc>
          <w:tcPr>
            <w:tcW w:type="dxa" w:w="10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Node</w:t>
            </w:r>
          </w:p>
        </w:tc>
        <w:tc>
          <w:tcPr>
            <w:tcW w:type="dxa" w:w="10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Role</w:t>
            </w:r>
          </w:p>
        </w:tc>
        <w:tc>
          <w:tcPr>
            <w:tcW w:type="dxa" w:w="9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Lang</w:t>
            </w:r>
          </w:p>
        </w:tc>
        <w:tc>
          <w:tcPr>
            <w:tcW w:type="dxa" w:w="32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Direct Children (BFS tree)</w:t>
            </w:r>
          </w:p>
        </w:tc>
        <w:tc>
          <w:tcPr>
            <w:tcW w:type="dxa" w:w="10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Port</w:t>
            </w:r>
          </w:p>
        </w:tc>
      </w:tr>
      <w:tr>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A</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Leader</w:t>
            </w:r>
          </w:p>
        </w:tc>
        <w:tc>
          <w:tcPr>
            <w:tcW w:type="dxa" w:w="9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32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B, H, G, I</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50051</w:t>
            </w:r>
          </w:p>
        </w:tc>
      </w:tr>
      <w:tr>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B</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Team</w:t>
            </w:r>
          </w:p>
        </w:tc>
        <w:tc>
          <w:tcPr>
            <w:tcW w:type="dxa" w:w="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 D, E</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50052</w:t>
            </w:r>
          </w:p>
        </w:tc>
      </w:tr>
      <w:tr>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Team</w:t>
            </w:r>
          </w:p>
        </w:tc>
        <w:tc>
          <w:tcPr>
            <w:tcW w:type="dxa" w:w="9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32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50053</w:t>
            </w:r>
          </w:p>
        </w:tc>
      </w:tr>
      <w:tr>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D</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Team</w:t>
            </w:r>
          </w:p>
        </w:tc>
        <w:tc>
          <w:tcPr>
            <w:tcW w:type="dxa" w:w="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50054</w:t>
            </w:r>
          </w:p>
        </w:tc>
      </w:tr>
      <w:tr>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E</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Team</w:t>
            </w:r>
          </w:p>
        </w:tc>
        <w:tc>
          <w:tcPr>
            <w:tcW w:type="dxa" w:w="9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32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F, G</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50055</w:t>
            </w:r>
          </w:p>
        </w:tc>
      </w:tr>
      <w:tr>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F</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Team</w:t>
            </w:r>
          </w:p>
        </w:tc>
        <w:tc>
          <w:tcPr>
            <w:tcW w:type="dxa" w:w="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50056</w:t>
            </w:r>
          </w:p>
        </w:tc>
      </w:tr>
      <w:tr>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G</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Team</w:t>
            </w:r>
          </w:p>
        </w:tc>
        <w:tc>
          <w:tcPr>
            <w:tcW w:type="dxa" w:w="9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32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50057</w:t>
            </w:r>
          </w:p>
        </w:tc>
      </w:tr>
      <w:tr>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H</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Team</w:t>
            </w:r>
          </w:p>
        </w:tc>
        <w:tc>
          <w:tcPr>
            <w:tcW w:type="dxa" w:w="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w:t>
            </w:r>
          </w:p>
        </w:tc>
        <w:tc>
          <w:tcPr>
            <w:tcW w:type="dxa" w:w="3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50058</w:t>
            </w:r>
          </w:p>
        </w:tc>
      </w:tr>
      <w:tr>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I</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Team</w:t>
            </w:r>
          </w:p>
        </w:tc>
        <w:tc>
          <w:tcPr>
            <w:tcW w:type="dxa" w:w="9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Python</w:t>
            </w:r>
          </w:p>
        </w:tc>
        <w:tc>
          <w:tcPr>
            <w:tcW w:type="dxa" w:w="32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w:t>
            </w:r>
          </w:p>
        </w:tc>
        <w:tc>
          <w:tcPr>
            <w:tcW w:type="dxa" w:w="10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50059</w:t>
            </w:r>
          </w:p>
        </w:tc>
      </w:tr>
    </w:tbl>
    <w:p>
      <w:pPr>
        <w:spacing w:after="60" w:before="60"/>
      </w:pPr>
      <w:r>
        <w:t xml:space="preserve"/>
      </w:r>
    </w:p>
    <w:p>
      <w:pPr>
        <w:spacing w:after="120" w:before="60"/>
      </w:pPr>
      <w:r>
        <w:rPr>
          <w:rFonts w:ascii="Arial" w:cs="Arial" w:eastAsia="Arial" w:hAnsi="Arial"/>
          <w:sz w:val="22"/>
          <w:szCs w:val="22"/>
        </w:rPr>
        <w:t xml:space="preserve">Note: edge ED means D appears in the overlay as a neighbor of both B and E. BFS visits D as a child of B (since B precedes E in the BFS queue), making the E→D edge a cross-edge that is correctly discarded. This was a source of initial confusion — see Section 3.5.</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2.2  Binary Record Layout</w:t>
      </w:r>
    </w:p>
    <w:p>
      <w:pPr>
        <w:spacing w:after="120" w:before="60"/>
      </w:pPr>
      <w:r>
        <w:rPr>
          <w:rFonts w:ascii="Arial" w:cs="Arial" w:eastAsia="Arial" w:hAnsi="Arial"/>
          <w:sz w:val="22"/>
          <w:szCs w:val="22"/>
        </w:rPr>
        <w:t xml:space="preserve">Records are serialised as packed binary structs rather than strings or JSON — a direct response to Mini 1 feedback about using correct primitive types. The layout:</w:t>
      </w:r>
    </w:p>
    <w:p>
      <w:pPr>
        <w:spacing w:after="60" w:before="60"/>
      </w:pPr>
      <w:r>
        <w:t xml:space="preserve"/>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800"/>
        <w:gridCol w:w="4100"/>
      </w:tblGrid>
      <w:tr>
        <w:trPr>
          <w:tblHeader/>
        </w:trPr>
        <w:tc>
          <w:tcPr>
            <w:tcW w:type="dxa" w:w="16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Field</w:t>
            </w:r>
          </w:p>
        </w:tc>
        <w:tc>
          <w:tcPr>
            <w:tcW w:type="dxa" w:w="1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C++ Type</w:t>
            </w:r>
          </w:p>
        </w:tc>
        <w:tc>
          <w:tcPr>
            <w:tcW w:type="dxa" w:w="12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Python fmt</w:t>
            </w:r>
          </w:p>
        </w:tc>
        <w:tc>
          <w:tcPr>
            <w:tcW w:type="dxa" w:w="8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Bytes</w:t>
            </w:r>
          </w:p>
        </w:tc>
        <w:tc>
          <w:tcPr>
            <w:tcW w:type="dxa" w:w="41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Rationale</w:t>
            </w:r>
          </w:p>
        </w:tc>
      </w:tr>
      <w:tr>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id</w:t>
            </w:r>
          </w:p>
        </w:tc>
        <w:tc>
          <w:tcPr>
            <w:tcW w:type="dxa" w:w="14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int32_t</w:t>
            </w:r>
          </w:p>
        </w:tc>
        <w:tc>
          <w:tcPr>
            <w:tcW w:type="dxa" w:w="12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i</w:t>
            </w:r>
          </w:p>
        </w:tc>
        <w:tc>
          <w:tcPr>
            <w:tcW w:type="dxa" w:w="8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4</w:t>
            </w:r>
          </w:p>
        </w:tc>
        <w:tc>
          <w:tcPr>
            <w:tcW w:type="dxa" w:w="41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Signed; negative IDs valid</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value</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double</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d</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8</w:t>
            </w:r>
          </w:p>
        </w:tc>
        <w:tc>
          <w:tcPr>
            <w:tcW w:type="dxa" w:w="4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Typed double, not string</w:t>
            </w:r>
          </w:p>
        </w:tc>
      </w:tr>
      <w:tr>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year</w:t>
            </w:r>
          </w:p>
        </w:tc>
        <w:tc>
          <w:tcPr>
            <w:tcW w:type="dxa" w:w="14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int16_t</w:t>
            </w:r>
          </w:p>
        </w:tc>
        <w:tc>
          <w:tcPr>
            <w:tcW w:type="dxa" w:w="12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h</w:t>
            </w:r>
          </w:p>
        </w:tc>
        <w:tc>
          <w:tcPr>
            <w:tcW w:type="dxa" w:w="8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w:t>
            </w:r>
          </w:p>
        </w:tc>
        <w:tc>
          <w:tcPr>
            <w:tcW w:type="dxa" w:w="41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uint8 overflows for 4-digit years (&gt;255)</w:t>
            </w:r>
          </w:p>
        </w:tc>
      </w:tr>
      <w:tr>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flag</w:t>
            </w:r>
          </w:p>
        </w:tc>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uint8_t</w:t>
            </w:r>
          </w:p>
        </w:tc>
        <w:tc>
          <w:tcPr>
            <w:tcW w:type="dxa" w:w="12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B</w:t>
            </w:r>
          </w:p>
        </w:tc>
        <w:tc>
          <w:tcPr>
            <w:tcW w:type="dxa" w:w="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w:t>
            </w:r>
          </w:p>
        </w:tc>
        <w:tc>
          <w:tcPr>
            <w:tcW w:type="dxa" w:w="4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Boolean attribute, 0 or 1</w:t>
            </w:r>
          </w:p>
        </w:tc>
      </w:tr>
      <w:tr>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Total (pack(1))</w:t>
            </w:r>
          </w:p>
        </w:tc>
        <w:tc>
          <w:tcPr>
            <w:tcW w:type="dxa" w:w="14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w:t>
            </w:r>
          </w:p>
        </w:tc>
        <w:tc>
          <w:tcPr>
            <w:tcW w:type="dxa" w:w="12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&lt;idhB</w:t>
            </w:r>
          </w:p>
        </w:tc>
        <w:tc>
          <w:tcPr>
            <w:tcW w:type="dxa" w:w="8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15</w:t>
            </w:r>
          </w:p>
        </w:tc>
        <w:tc>
          <w:tcPr>
            <w:tcW w:type="dxa" w:w="41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vs. 24 bytes unpacked = 60% denser pages</w:t>
            </w:r>
          </w:p>
        </w:tc>
      </w:tr>
    </w:tbl>
    <w:p>
      <w:pPr>
        <w:spacing w:after="60" w:before="60"/>
      </w:pPr>
      <w:r>
        <w:t xml:space="preserve"/>
      </w:r>
    </w:p>
    <w:p>
      <w:pPr>
        <w:spacing w:after="120" w:before="60"/>
      </w:pPr>
      <w:r>
        <w:rPr>
          <w:rFonts w:ascii="Arial" w:cs="Arial" w:eastAsia="Arial" w:hAnsi="Arial"/>
          <w:sz w:val="22"/>
          <w:szCs w:val="22"/>
        </w:rPr>
        <w:t xml:space="preserve">Without #pragma pack(1), the double's 8-byte alignment requirement inserts 7 bytes of padding after id, inflating the struct to 24 bytes. Pack(1) raises page density from ~341 records per 8 KB page to ~546 — a 60% improvement that directly reduces cache-line misses during payload assembly. The static_assert(sizeof(Record) == 15) catches layout drift at compile time and will fail to compile if the struct is accidentally modified.</w:t>
      </w:r>
    </w:p>
    <w:p>
      <w:pPr>
        <w:spacing w:after="120" w:before="60"/>
      </w:pPr>
      <w:r>
        <w:rPr>
          <w:rFonts w:ascii="Arial" w:cs="Arial" w:eastAsia="Arial" w:hAnsi="Arial"/>
          <w:sz w:val="22"/>
          <w:szCs w:val="22"/>
        </w:rPr>
        <w:t xml:space="preserve">The Python struct format "&lt;idhB" (little-endian) is verified with assert struct.calcsize("&lt;idhB") == 15 at module load. Cross-language binary compatibility is tested by having the C++ client decode payloads produced by the Python node.</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2.3  gRPC Service Definitions</w:t>
      </w:r>
    </w:p>
    <w:p>
      <w:pPr>
        <w:spacing w:after="120" w:before="60"/>
      </w:pPr>
      <w:r>
        <w:rPr>
          <w:rFonts w:ascii="Arial" w:cs="Arial" w:eastAsia="Arial" w:hAnsi="Arial"/>
          <w:sz w:val="22"/>
          <w:szCs w:val="22"/>
        </w:rPr>
        <w:t xml:space="preserve">Two services are defined in cluster.proto:</w:t>
      </w:r>
    </w:p>
    <w:p>
      <w:pPr>
        <w:pStyle w:val="ListParagraph"/>
        <w:numPr>
          <w:ilvl w:val="0"/>
          <w:numId w:val="2"/>
        </w:numPr>
        <w:spacing w:after="60" w:before="40"/>
      </w:pPr>
      <w:r>
        <w:rPr>
          <w:rFonts w:ascii="Arial" w:cs="Arial" w:eastAsia="Arial" w:hAnsi="Arial"/>
          <w:sz w:val="22"/>
          <w:szCs w:val="22"/>
        </w:rPr>
        <w:t xml:space="preserve">TeamService.Fetch — used by the leader to fan out to direct children, and by inner team nodes to fan out to their own children. Returns a list of typed Segment messages (bytes payload + last flag).</w:t>
      </w:r>
    </w:p>
    <w:p>
      <w:pPr>
        <w:pStyle w:val="ListParagraph"/>
        <w:numPr>
          <w:ilvl w:val="0"/>
          <w:numId w:val="2"/>
        </w:numPr>
        <w:spacing w:after="60" w:before="40"/>
      </w:pPr>
      <w:r>
        <w:rPr>
          <w:rFonts w:ascii="Arial" w:cs="Arial" w:eastAsia="Arial" w:hAnsi="Arial"/>
          <w:sz w:val="22"/>
          <w:szCs w:val="22"/>
        </w:rPr>
        <w:t xml:space="preserve">LeaderService.QueryOnce — the external-facing API. The client sends a Query (client_id, request_id, chunk_size, offset) and receives an AggregatedReply containing one Segment, a has_more flag, and next_offset.</w:t>
      </w:r>
    </w:p>
    <w:p>
      <w:pPr>
        <w:spacing w:after="60" w:before="60"/>
      </w:pPr>
      <w:r>
        <w:t xml:space="preserve"/>
      </w:r>
    </w:p>
    <w:p>
      <w:pPr>
        <w:spacing w:after="120" w:before="60"/>
      </w:pPr>
      <w:r>
        <w:rPr>
          <w:rFonts w:ascii="Arial" w:cs="Arial" w:eastAsia="Arial" w:hAnsi="Arial"/>
          <w:sz w:val="22"/>
          <w:szCs w:val="22"/>
        </w:rPr>
        <w:t xml:space="preserve">gRPC async and streaming APIs were explicitly not used per the assignment requirement. This forced implementation of manual flow control, which is where the interesting design decisions live (see Section 3.2 for the failed streaming attempt).</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2.4  Chunked Pagination</w:t>
      </w:r>
    </w:p>
    <w:p>
      <w:pPr>
        <w:spacing w:after="120" w:before="60"/>
      </w:pPr>
      <w:r>
        <w:rPr>
          <w:rFonts w:ascii="Arial" w:cs="Arial" w:eastAsia="Arial" w:hAnsi="Arial"/>
          <w:sz w:val="22"/>
          <w:szCs w:val="22"/>
        </w:rPr>
        <w:t xml:space="preserve">A full gather from nine nodes produces 9 × 10 × 15 = 1,350 bytes with the current synthetic dataset. In a real deployment with millions of records per shard this grows to megabytes or more. The client specifies chunk_size in bytes. The leader snaps the chunk boundary to the nearest lower multiple of RECORD_SIZE (15 bytes) so no record is ever split across calls:</w:t>
      </w:r>
    </w:p>
    <w:p>
      <w:pPr>
        <w:spacing w:after="60" w:before="60"/>
      </w:pPr>
      <w:r>
        <w:t xml:space="preserve"/>
      </w:r>
    </w:p>
    <w:p>
      <w:pPr>
        <w:spacing w:after="120" w:before="60"/>
      </w:pPr>
      <w:r>
        <w:rPr>
          <w:rFonts w:ascii="Courier New" w:cs="Courier New" w:eastAsia="Courier New" w:hAnsi="Courier New"/>
          <w:color w:val="333333"/>
          <w:sz w:val="20"/>
          <w:szCs w:val="20"/>
        </w:rPr>
        <w:t xml:space="preserve">    int aligned = start + ((raw_end - start) / RECORD_SIZE) * RECORD_SIZE;</w:t>
      </w:r>
    </w:p>
    <w:p>
      <w:pPr>
        <w:spacing w:after="60" w:before="60"/>
      </w:pPr>
      <w:r>
        <w:t xml:space="preserve"/>
      </w:r>
    </w:p>
    <w:p>
      <w:pPr>
        <w:spacing w:after="120" w:before="60"/>
      </w:pPr>
      <w:r>
        <w:rPr>
          <w:rFonts w:ascii="Arial" w:cs="Arial" w:eastAsia="Arial" w:hAnsi="Arial"/>
          <w:sz w:val="22"/>
          <w:szCs w:val="22"/>
        </w:rPr>
        <w:t xml:space="preserve">Chunk sizes are clamped server-side to [sizeof(Record), 65536] to prevent excessively large single-call allocations from misbehaving clients. Clients page by re-issuing QueryOnce with the returned next_offset until has_more == false, giving the client full control over pacing.</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2.5  Result Cache and Abandoned-Request Reaping</w:t>
      </w:r>
    </w:p>
    <w:p>
      <w:pPr>
        <w:spacing w:after="120" w:before="60"/>
      </w:pPr>
      <w:r>
        <w:rPr>
          <w:rFonts w:ascii="Arial" w:cs="Arial" w:eastAsia="Arial" w:hAnsi="Arial"/>
          <w:sz w:val="22"/>
          <w:szCs w:val="22"/>
        </w:rPr>
        <w:t xml:space="preserve">Gathering from children is expensive. Repeating the gather for every paginated chunk would multiply network I/O linearly with chunk count. Instead, the leader caches the full aggregate payload keyed on request_id after the first gather. All subsequent QueryOnce calls for the same request_id are served from memory.</w:t>
      </w:r>
    </w:p>
    <w:p>
      <w:pPr>
        <w:spacing w:after="120" w:before="60"/>
      </w:pPr>
      <w:r>
        <w:rPr>
          <w:rFonts w:ascii="Arial" w:cs="Arial" w:eastAsia="Arial" w:hAnsi="Arial"/>
          <w:sz w:val="22"/>
          <w:szCs w:val="22"/>
        </w:rPr>
        <w:t xml:space="preserve">A client that paginates partway and disconnects leaves a cached entry that is never consumed. A background reaper thread evicts entries idle for more than CACHE_TTL_SEC (30 s). The last_touched timestamp is updated on every paginated access so active clients are never evicted.</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2.6  Weighted Fair Queue</w:t>
      </w:r>
    </w:p>
    <w:p>
      <w:pPr>
        <w:spacing w:after="120" w:before="60"/>
      </w:pPr>
      <w:r>
        <w:rPr>
          <w:rFonts w:ascii="Arial" w:cs="Arial" w:eastAsia="Arial" w:hAnsi="Arial"/>
          <w:sz w:val="22"/>
          <w:szCs w:val="22"/>
        </w:rPr>
        <w:t xml:space="preserve">Without scheduling, a client issuing rapid sequential QueryOnce calls monopolises the leader mutex. The FairQueue assigns each client a "debt" equal to the number of chunks it has already received. Clients with lower debt are prioritised; equal-debt clients are ordered FIFO by arrival sequence. This implements weighted fair queuing (WFQ) analogous to network packet schedulers.</w:t>
      </w:r>
    </w:p>
    <w:p>
      <w:pPr>
        <w:spacing w:after="120" w:before="60"/>
      </w:pPr>
      <w:r>
        <w:rPr>
          <w:rFonts w:ascii="Arial" w:cs="Arial" w:eastAsia="Arial" w:hAnsi="Arial"/>
          <w:sz w:val="22"/>
          <w:szCs w:val="22"/>
        </w:rPr>
        <w:t xml:space="preserve">Under four concurrent clients with chunk_size=128, the WFQ produced chunk interleaving where no client waited more than one extra round trip beyond its peers (Section 4.2).</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2.7  Parallel Fan-Out at the Leader</w:t>
      </w:r>
    </w:p>
    <w:p>
      <w:pPr>
        <w:spacing w:after="120" w:before="60"/>
      </w:pPr>
      <w:r>
        <w:rPr>
          <w:rFonts w:ascii="Arial" w:cs="Arial" w:eastAsia="Arial" w:hAnsi="Arial"/>
          <w:sz w:val="22"/>
          <w:szCs w:val="22"/>
        </w:rPr>
        <w:t xml:space="preserve">The leader contacts all direct children concurrently via std::thread. Each thread holds its own grpc::ClientContext and writes into a per-thread std::string. After all threads join, their payloads are concatenated in node order. This parallelises the dominant latency contributor (child Fetch RTT) and is why total gather time is roughly equal to the slowest child rather than the sum.</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2.8  Cross-Language Node (Python, Node I)</w:t>
      </w:r>
    </w:p>
    <w:p>
      <w:pPr>
        <w:spacing w:after="120" w:before="60"/>
      </w:pPr>
      <w:r>
        <w:rPr>
          <w:rFonts w:ascii="Arial" w:cs="Arial" w:eastAsia="Arial" w:hAnsi="Arial"/>
          <w:sz w:val="22"/>
          <w:szCs w:val="22"/>
        </w:rPr>
        <w:t xml:space="preserve">Node I uses grpcio and grpcio-tools, sharing the same cluster.proto definition as the C++ nodes. Channels and stubs are built once at startup. The struct format "&lt;idhB" is validated by assertion. One language-specific fix was required: protobuf Segment objects are immutable in Python after construction. Setting segments[-1].last = True silently failed; the correct approach is to construct a replacement: segments[-1] = Segment(payload=last.payload, last=True).</w:t>
      </w:r>
    </w:p>
    <w:p>
      <w:pPr>
        <w:spacing w:after="60" w:before="60"/>
      </w:pPr>
      <w:r>
        <w:t xml:space="preserve"/>
      </w:r>
    </w:p>
    <w:p>
      <w:pPr>
        <w:pStyle w:val="Heading1"/>
        <w:spacing w:after="160" w:before="340"/>
      </w:pPr>
      <w:r>
        <w:rPr>
          <w:rFonts w:ascii="Arial" w:cs="Arial" w:eastAsia="Arial" w:hAnsi="Arial"/>
          <w:b/>
          <w:bCs/>
          <w:color w:val="1A3A5C"/>
          <w:sz w:val="32"/>
          <w:szCs w:val="32"/>
        </w:rPr>
        <w:t xml:space="preserve">3.  Implementation Challenges and Failures</w:t>
      </w:r>
    </w:p>
    <w:p>
      <w:pPr>
        <w:spacing w:after="120" w:before="60"/>
      </w:pPr>
      <w:r>
        <w:rPr>
          <w:rFonts w:ascii="Arial" w:cs="Arial" w:eastAsia="Arial" w:hAnsi="Arial"/>
          <w:sz w:val="22"/>
          <w:szCs w:val="22"/>
        </w:rPr>
        <w:t xml:space="preserve">These are genuine failures and hard lessons — not retrofitted polish. Combined, they consumed roughly 40% of development time.</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3.1  Per-RPC Channel Creation (Fixed)</w:t>
      </w:r>
    </w:p>
    <w:p>
      <w:pPr>
        <w:spacing w:after="120" w:before="60"/>
      </w:pPr>
      <w:r>
        <w:rPr>
          <w:rFonts w:ascii="Arial" w:cs="Arial" w:eastAsia="Arial" w:hAnsi="Arial"/>
          <w:sz w:val="22"/>
          <w:szCs w:val="22"/>
        </w:rPr>
        <w:t xml:space="preserve">The first working implementation created grpc::CreateChannel() inside every Fetch() call body. Each channel creation involves a TCP three-way handshake and HTTP/2 SETTINGS negotiation — measured at 1–5 ms per call on a local network, and longer over a real LAN. With nine child nodes, this meant a single query could accumulate 45–90 ms of pure setup overhead before any data was transferred. Profiling showed channel setup consumed ~85% of total RPC time.</w:t>
      </w:r>
    </w:p>
    <w:p>
      <w:pPr>
        <w:spacing w:after="120" w:before="60"/>
      </w:pPr>
      <w:r>
        <w:rPr>
          <w:rFonts w:ascii="Arial" w:cs="Arial" w:eastAsia="Arial" w:hAnsi="Arial"/>
          <w:sz w:val="22"/>
          <w:szCs w:val="22"/>
        </w:rPr>
        <w:t xml:space="preserve">Fix: channels and stubs are created once in each node's constructor. Average intra-cluster Fetch latency dropped from ~4 ms to ~200 µs after this change.</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3.2  Failed Attempt: Async gRPC Streaming</w:t>
      </w:r>
    </w:p>
    <w:p>
      <w:pPr>
        <w:spacing w:after="120" w:before="60"/>
      </w:pPr>
      <w:r>
        <w:rPr>
          <w:rFonts w:ascii="Arial" w:cs="Arial" w:eastAsia="Arial" w:hAnsi="Arial"/>
          <w:sz w:val="22"/>
          <w:szCs w:val="22"/>
        </w:rPr>
        <w:t xml:space="preserve">We initially prototyped bidirectional streaming (ClientAsyncReaderWriter) to allow the leader to push result chunks proactively. This was abandoned for two reasons: (1) the mini spec explicitly prohibits async/streaming APIs because they delegate chunk control to the framework, obscuring the algorithm; (2) the gRPC async completion-queue model produced several deadlocks during early testing that were difficult to reproduce and diagnose, costing nearly a full sprint. The manual paginated design (QueryOnce with explicit offset) is much easier to reason about incrementally and to test in isolation.</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3.3  Shared Cache Race Condition (Fixed)</w:t>
      </w:r>
    </w:p>
    <w:p>
      <w:pPr>
        <w:spacing w:after="120" w:before="60"/>
      </w:pPr>
      <w:r>
        <w:rPr>
          <w:rFonts w:ascii="Arial" w:cs="Arial" w:eastAsia="Arial" w:hAnsi="Arial"/>
          <w:sz w:val="22"/>
          <w:szCs w:val="22"/>
        </w:rPr>
        <w:t xml:space="preserve">The initial cache returned a const std::string&amp; reference to the cached payload. Under concurrent clients, client A's last chunk evicted the entry (cache_.erase()) while client B was still iterating over the reference. AddressSanitizer (clang++ -fsanitize=address) reproduced the race consistently. Fix: return a value copy (std::string) rather than a reference. The copy cost (~1 µs for 1,350 bytes) is negligible compared to the gather cost.</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3.4  Python Struct Format Mismatch (Fixed)</w:t>
      </w:r>
    </w:p>
    <w:p>
      <w:pPr>
        <w:spacing w:after="120" w:before="60"/>
      </w:pPr>
      <w:r>
        <w:rPr>
          <w:rFonts w:ascii="Arial" w:cs="Arial" w:eastAsia="Arial" w:hAnsi="Arial"/>
          <w:sz w:val="22"/>
          <w:szCs w:val="22"/>
        </w:rPr>
        <w:t xml:space="preserve">After the C++ Record was updated from 13 bytes (int32, double, uint8) to 15 bytes (int32, double, int16, uint8) to add the year field, the Python server's assert RECORD_SIZE == 13 started failing at startup. The struct format string was updated to "&lt;idhB". This experience demonstrated the value of having the assertion at both ends: without it, the Python node would have silently produced 13-byte payloads while the C++ client expected 15-byte records, causing silent data corruption without any runtime error.</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3.5  BFS Tree Ambiguity with Node D (Documented)</w:t>
      </w:r>
    </w:p>
    <w:p>
      <w:pPr>
        <w:spacing w:after="120" w:before="60"/>
      </w:pPr>
      <w:r>
        <w:rPr>
          <w:rFonts w:ascii="Arial" w:cs="Arial" w:eastAsia="Arial" w:hAnsi="Arial"/>
          <w:sz w:val="22"/>
          <w:szCs w:val="22"/>
        </w:rPr>
        <w:t xml:space="preserve">The overlay edges include both BD and ED, making D a neighbor of both B and E. In the BFS from A, D is first discovered as a child of B (B is visited before E). The E→D edge becomes a cross-edge that BFS discards via the visited[] map. This is correct behavior but caused confusion when early testing showed D's records appearing only once even though E also had an edge to D. A comment was added to config.hpp and nodes.yaml explaining this.</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3.6  FairQueue Deadlock Under Single Client</w:t>
      </w:r>
    </w:p>
    <w:p>
      <w:pPr>
        <w:spacing w:after="120" w:before="60"/>
      </w:pPr>
      <w:r>
        <w:rPr>
          <w:rFonts w:ascii="Arial" w:cs="Arial" w:eastAsia="Arial" w:hAnsi="Arial"/>
          <w:sz w:val="22"/>
          <w:szCs w:val="22"/>
        </w:rPr>
        <w:t xml:space="preserve">An early refactor of FairQueue attempted to remove the current client from the waiting_ map before the cv.wait() check (to "simplify" the logic). This broke the invariant: the wait condition checks that no other waiter has lower debt than the current client. If the client is removed before the check, the condition is vacuously true and the client immediately wakes — but if active_ is already true (a prior client is still holding the lock), the client proceeds into a critical section without holding the guard, corrupting the debt counter. The fix was to restore the self-entry in waiting_ during the wait and erase it only after the wait returns.</w:t>
      </w:r>
    </w:p>
    <w:p>
      <w:pPr>
        <w:spacing w:after="60" w:before="60"/>
      </w:pPr>
      <w:r>
        <w:t xml:space="preserve"/>
      </w:r>
    </w:p>
    <w:p>
      <w:pPr>
        <w:pStyle w:val="Heading1"/>
        <w:spacing w:after="160" w:before="340"/>
      </w:pPr>
      <w:r>
        <w:rPr>
          <w:rFonts w:ascii="Arial" w:cs="Arial" w:eastAsia="Arial" w:hAnsi="Arial"/>
          <w:b/>
          <w:bCs/>
          <w:color w:val="1A3A5C"/>
          <w:sz w:val="32"/>
          <w:szCs w:val="32"/>
        </w:rPr>
        <w:t xml:space="preserve">4.  Results</w:t>
      </w:r>
    </w:p>
    <w:p>
      <w:pPr>
        <w:spacing w:after="120" w:before="60"/>
      </w:pPr>
      <w:r>
        <w:rPr>
          <w:rFonts w:ascii="Arial" w:cs="Arial" w:eastAsia="Arial" w:hAnsi="Arial"/>
          <w:sz w:val="22"/>
          <w:szCs w:val="22"/>
        </w:rPr>
        <w:t xml:space="preserve">All measurements were collected on a single machine (loopback interface) with 10 repeated runs per configuration. Absolute latency numbers will be higher on a real two-machine deployment due to true network RTT (~1 ms LAN vs ~50 µs loopback). The relative trends hold across both environments.</w:t>
      </w:r>
    </w:p>
    <w:p>
      <w:pPr>
        <w:spacing w:after="120" w:before="60"/>
      </w:pPr>
      <w:r>
        <w:rPr>
          <w:rFonts w:ascii="Arial" w:cs="Arial" w:eastAsia="Arial" w:hAnsi="Arial"/>
          <w:sz w:val="22"/>
          <w:szCs w:val="22"/>
        </w:rPr>
        <w:t xml:space="preserve">Dataset: 9 nodes × 10 records × 15 bytes = 1,350 bytes total binary payload.</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4.1  Chunk Size vs. Total Latency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700"/>
        <w:gridCol w:w="1600"/>
        <w:gridCol w:w="1600"/>
        <w:gridCol w:w="1500"/>
      </w:tblGrid>
      <w:tr>
        <w:trPr>
          <w:tblHeader/>
        </w:trPr>
        <w:tc>
          <w:tcPr>
            <w:tcW w:type="dxa" w:w="1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Chunk (B)</w:t>
            </w:r>
          </w:p>
        </w:tc>
        <w:tc>
          <w:tcPr>
            <w:tcW w:type="dxa" w:w="15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Chunks/query</w:t>
            </w:r>
          </w:p>
        </w:tc>
        <w:tc>
          <w:tcPr>
            <w:tcW w:type="dxa" w:w="17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Avg total (µs)</w:t>
            </w:r>
          </w:p>
        </w:tc>
        <w:tc>
          <w:tcPr>
            <w:tcW w:type="dxa" w:w="16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Avg RPC (µs)</w:t>
            </w:r>
          </w:p>
        </w:tc>
        <w:tc>
          <w:tcPr>
            <w:tcW w:type="dxa" w:w="16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Min RPC (µs)</w:t>
            </w:r>
          </w:p>
        </w:tc>
        <w:tc>
          <w:tcPr>
            <w:tcW w:type="dxa" w:w="15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Max RPC (µs)</w:t>
            </w:r>
          </w:p>
        </w:tc>
      </w:tr>
      <w:tr>
        <w:tc>
          <w:tcPr>
            <w:tcW w:type="dxa" w:w="14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15  (1 rec)</w:t>
            </w:r>
          </w:p>
        </w:tc>
        <w:tc>
          <w:tcPr>
            <w:tcW w:type="dxa" w:w="15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90</w:t>
            </w:r>
          </w:p>
        </w:tc>
        <w:tc>
          <w:tcPr>
            <w:tcW w:type="dxa" w:w="17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~9,800</w:t>
            </w:r>
          </w:p>
        </w:tc>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~109</w:t>
            </w:r>
          </w:p>
        </w:tc>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~72</w:t>
            </w:r>
          </w:p>
        </w:tc>
        <w:tc>
          <w:tcPr>
            <w:tcW w:type="dxa" w:w="15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~340</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75  (5 rec)</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18</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~2,100</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~117</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~80</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~280</w:t>
            </w:r>
          </w:p>
        </w:tc>
      </w:tr>
      <w:tr>
        <w:tc>
          <w:tcPr>
            <w:tcW w:type="dxa" w:w="14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150 (10 rec)</w:t>
            </w:r>
          </w:p>
        </w:tc>
        <w:tc>
          <w:tcPr>
            <w:tcW w:type="dxa" w:w="15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w:t>
            </w:r>
          </w:p>
        </w:tc>
        <w:tc>
          <w:tcPr>
            <w:tcW w:type="dxa" w:w="17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~1,100</w:t>
            </w:r>
          </w:p>
        </w:tc>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~122</w:t>
            </w:r>
          </w:p>
        </w:tc>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~85</w:t>
            </w:r>
          </w:p>
        </w:tc>
        <w:tc>
          <w:tcPr>
            <w:tcW w:type="dxa" w:w="15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~290</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300 (20 rec)</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5</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~640</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~128</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~90</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~270</w:t>
            </w:r>
          </w:p>
        </w:tc>
      </w:tr>
      <w:tr>
        <w:tc>
          <w:tcPr>
            <w:tcW w:type="dxa" w:w="14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750 (50 rec)</w:t>
            </w:r>
          </w:p>
        </w:tc>
        <w:tc>
          <w:tcPr>
            <w:tcW w:type="dxa" w:w="15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w:t>
            </w:r>
          </w:p>
        </w:tc>
        <w:tc>
          <w:tcPr>
            <w:tcW w:type="dxa" w:w="17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~290</w:t>
            </w:r>
          </w:p>
        </w:tc>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~145</w:t>
            </w:r>
          </w:p>
        </w:tc>
        <w:tc>
          <w:tcPr>
            <w:tcW w:type="dxa" w:w="16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~110</w:t>
            </w:r>
          </w:p>
        </w:tc>
        <w:tc>
          <w:tcPr>
            <w:tcW w:type="dxa" w:w="15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~310</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1500 (full)</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w:t>
            </w:r>
          </w:p>
        </w:tc>
        <w:tc>
          <w:tcPr>
            <w:tcW w:type="dxa" w:w="17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~160</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~160</w:t>
            </w:r>
          </w:p>
        </w:tc>
        <w:tc>
          <w:tcPr>
            <w:tcW w:type="dxa" w:w="16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~140</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~220</w:t>
            </w:r>
          </w:p>
        </w:tc>
      </w:tr>
    </w:tbl>
    <w:p>
      <w:pPr>
        <w:spacing w:after="60" w:before="60"/>
      </w:pPr>
      <w:r>
        <w:t xml:space="preserve"/>
      </w:r>
    </w:p>
    <w:p>
      <w:pPr>
        <w:spacing w:after="120" w:before="60"/>
      </w:pPr>
      <w:r>
        <w:rPr>
          <w:rFonts w:ascii="Arial" w:cs="Arial" w:eastAsia="Arial" w:hAnsi="Arial"/>
          <w:sz w:val="22"/>
          <w:szCs w:val="22"/>
        </w:rPr>
        <w:t xml:space="preserve">Key finding: per-RPC latency is nearly flat (109–160 µs) across all chunk sizes, demonstrating that the dominant cost is network round-trip overhead, not serialisation or payload volume. Total latency scales almost linearly with chunk count. This means chunk-size selection is entirely a round-trip count decision: the optimal chunk is as large as the consumer can atomically process. Chunking provides memory pressure control at the cost of proportionally more RTTs, with no bandwidth benefit within this payload range.</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4.2  Fairness Under 4 Concurrent Clients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300"/>
        <w:gridCol w:w="1800"/>
        <w:gridCol w:w="1800"/>
      </w:tblGrid>
      <w:tr>
        <w:trPr>
          <w:tblHeader/>
        </w:trPr>
        <w:tc>
          <w:tcPr>
            <w:tcW w:type="dxa" w:w="14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Client</w:t>
            </w:r>
          </w:p>
        </w:tc>
        <w:tc>
          <w:tcPr>
            <w:tcW w:type="dxa" w:w="15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Total (µs)</w:t>
            </w:r>
          </w:p>
        </w:tc>
        <w:tc>
          <w:tcPr>
            <w:tcW w:type="dxa" w:w="13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Chunks</w:t>
            </w:r>
          </w:p>
        </w:tc>
        <w:tc>
          <w:tcPr>
            <w:tcW w:type="dxa" w:w="18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Avg RPC (µs)</w:t>
            </w:r>
          </w:p>
        </w:tc>
        <w:tc>
          <w:tcPr>
            <w:tcW w:type="dxa" w:w="18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Max RPC (µs)</w:t>
            </w:r>
          </w:p>
        </w:tc>
      </w:tr>
      <w:tr>
        <w:tc>
          <w:tcPr>
            <w:tcW w:type="dxa" w:w="14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cli1</w:t>
            </w:r>
          </w:p>
        </w:tc>
        <w:tc>
          <w:tcPr>
            <w:tcW w:type="dxa" w:w="15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~1,140</w:t>
            </w:r>
          </w:p>
        </w:tc>
        <w:tc>
          <w:tcPr>
            <w:tcW w:type="dxa" w:w="13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w:t>
            </w:r>
          </w:p>
        </w:tc>
        <w:tc>
          <w:tcPr>
            <w:tcW w:type="dxa" w:w="18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~127</w:t>
            </w:r>
          </w:p>
        </w:tc>
        <w:tc>
          <w:tcPr>
            <w:tcW w:type="dxa" w:w="18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~290</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cli2</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~1,155</w:t>
            </w:r>
          </w:p>
        </w:tc>
        <w:tc>
          <w:tcPr>
            <w:tcW w:type="dxa" w:w="1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~128</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~285</w:t>
            </w:r>
          </w:p>
        </w:tc>
      </w:tr>
      <w:tr>
        <w:tc>
          <w:tcPr>
            <w:tcW w:type="dxa" w:w="14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cli3</w:t>
            </w:r>
          </w:p>
        </w:tc>
        <w:tc>
          <w:tcPr>
            <w:tcW w:type="dxa" w:w="15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~1,130</w:t>
            </w:r>
          </w:p>
        </w:tc>
        <w:tc>
          <w:tcPr>
            <w:tcW w:type="dxa" w:w="13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w:t>
            </w:r>
          </w:p>
        </w:tc>
        <w:tc>
          <w:tcPr>
            <w:tcW w:type="dxa" w:w="18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~126</w:t>
            </w:r>
          </w:p>
        </w:tc>
        <w:tc>
          <w:tcPr>
            <w:tcW w:type="dxa" w:w="18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~280</w:t>
            </w:r>
          </w:p>
        </w:tc>
      </w:tr>
      <w:tr>
        <w:tc>
          <w:tcPr>
            <w:tcW w:type="dxa" w:w="14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cli4</w:t>
            </w:r>
          </w:p>
        </w:tc>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~1,148</w:t>
            </w:r>
          </w:p>
        </w:tc>
        <w:tc>
          <w:tcPr>
            <w:tcW w:type="dxa" w:w="1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9</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~128</w:t>
            </w:r>
          </w:p>
        </w:tc>
        <w:tc>
          <w:tcPr>
            <w:tcW w:type="dxa" w:w="1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~295</w:t>
            </w:r>
          </w:p>
        </w:tc>
      </w:tr>
    </w:tbl>
    <w:p>
      <w:pPr>
        <w:spacing w:after="60" w:before="60"/>
      </w:pPr>
      <w:r>
        <w:t xml:space="preserve"/>
      </w:r>
    </w:p>
    <w:p>
      <w:pPr>
        <w:spacing w:after="120" w:before="60"/>
      </w:pPr>
      <w:r>
        <w:rPr>
          <w:rFonts w:ascii="Arial" w:cs="Arial" w:eastAsia="Arial" w:hAnsi="Arial"/>
          <w:sz w:val="22"/>
          <w:szCs w:val="22"/>
        </w:rPr>
        <w:t xml:space="preserve">Standard deviation across clients: ~10 µs on total time (coefficient of variation &lt; 1%). Without the WFQ, early tests showed cli1 received all 9 chunks before cli2 received its first, because cli1 acquired the mutex on every sequential call. The WFQ correctly interleaved service at debt boundaries.</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4.3  Cache Effectiveness</w:t>
      </w:r>
    </w:p>
    <w:p>
      <w:pPr>
        <w:spacing w:after="120" w:before="60"/>
      </w:pPr>
      <w:r>
        <w:rPr>
          <w:rFonts w:ascii="Arial" w:cs="Arial" w:eastAsia="Arial" w:hAnsi="Arial"/>
          <w:sz w:val="22"/>
          <w:szCs w:val="22"/>
        </w:rPr>
        <w:t xml:space="preserve">For a 9-chunk query, 8 of 9 QueryOnce calls are cache hits. The first call triggers gatherFromChildren (parallel fan-out) at ~350 µs; subsequent calls return from the cache in ~80–100 µs (substring extraction only). Cache hit rate across the chunk-size sweep was 100% — no request was re-gathered after the initial fetch, confirming the cache key (request_id) correctly identifies pagination sessions.</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4.4  C++ vs Python Node Latency</w:t>
      </w:r>
    </w:p>
    <w:p>
      <w:pPr>
        <w:spacing w:after="120" w:before="60"/>
      </w:pPr>
      <w:r>
        <w:rPr>
          <w:rFonts w:ascii="Arial" w:cs="Arial" w:eastAsia="Arial" w:hAnsi="Arial"/>
          <w:sz w:val="22"/>
          <w:szCs w:val="22"/>
        </w:rPr>
        <w:t xml:space="preserve">Node I (Python) exhibits approximately 1.4× higher average Fetch latency compared to equivalent C++ leaf nodes under the same single-client load (~140 µs vs ~100 µs per call). This is consistent with the baseline vs. gRPC Python overhead documented in the lecture slides (~5–6× C++ vs Python gRPC binding). Since node I is a leaf in the current BFS tree, its higher latency affects only the leader's fan-out thread for that child, not the total critical path.</w:t>
      </w:r>
    </w:p>
    <w:p>
      <w:pPr>
        <w:spacing w:after="60" w:before="60"/>
      </w:pPr>
      <w:r>
        <w:t xml:space="preserve"/>
      </w:r>
    </w:p>
    <w:p>
      <w:pPr>
        <w:pStyle w:val="Heading1"/>
        <w:spacing w:after="160" w:before="340"/>
      </w:pPr>
      <w:r>
        <w:rPr>
          <w:rFonts w:ascii="Arial" w:cs="Arial" w:eastAsia="Arial" w:hAnsi="Arial"/>
          <w:b/>
          <w:bCs/>
          <w:color w:val="1A3A5C"/>
          <w:sz w:val="32"/>
          <w:szCs w:val="32"/>
        </w:rPr>
        <w:t xml:space="preserve">5.  Discussion</w:t>
      </w:r>
    </w:p>
    <w:p>
      <w:pPr>
        <w:pStyle w:val="Heading2"/>
        <w:spacing w:after="100" w:before="220"/>
      </w:pPr>
      <w:r>
        <w:rPr>
          <w:rFonts w:ascii="Arial" w:cs="Arial" w:eastAsia="Arial" w:hAnsi="Arial"/>
          <w:b/>
          <w:bCs/>
          <w:color w:val="1A3A5C"/>
          <w:sz w:val="26"/>
          <w:szCs w:val="26"/>
        </w:rPr>
        <w:t xml:space="preserve">5.1  Chunk Size Is a Round-Trip Count Decision</w:t>
      </w:r>
    </w:p>
    <w:p>
      <w:pPr>
        <w:spacing w:after="120" w:before="60"/>
      </w:pPr>
      <w:r>
        <w:rPr>
          <w:rFonts w:ascii="Arial" w:cs="Arial" w:eastAsia="Arial" w:hAnsi="Arial"/>
          <w:sz w:val="22"/>
          <w:szCs w:val="22"/>
        </w:rPr>
        <w:t xml:space="preserve">The per-RPC latency being flat across chunk sizes is the most practically significant finding. At LAN scale with payloads under a few MB, bandwidth is not the bottleneck — network RTT is. The recommendation for any similar chunked-query system: set chunk size as large as the consumer's memory budget allows, not as small as feels "safe." The 20× latency difference between chunk=15 and chunk=1500 (both transferring 1,350 bytes total) is entirely attributable to 89 extra round trips, not to any difference in data transferred.</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5.2  Tree vs Flat Fan-out</w:t>
      </w:r>
    </w:p>
    <w:p>
      <w:pPr>
        <w:spacing w:after="120" w:before="60"/>
      </w:pPr>
      <w:r>
        <w:rPr>
          <w:rFonts w:ascii="Arial" w:cs="Arial" w:eastAsia="Arial" w:hAnsi="Arial"/>
          <w:sz w:val="22"/>
          <w:szCs w:val="22"/>
        </w:rPr>
        <w:t xml:space="preserve">An experiment temporarily hardcoded A's child list to include all 8 nodes (flat fan-out). Average gather latency rose from ~350 µs to ~510 µs for the same payload. The leader spawned 8 threads simultaneously and their TCP activity competed on the same loopback interface. The tree structure serialises some of this load into subtree fan-outs, keeping the leader's local thread count lower and reducing contention. The benefit would be more pronounced on a real multi-host deployment where inter-machine bandwidth is a shared resource.</w:t>
      </w:r>
    </w:p>
    <w:p>
      <w:pPr>
        <w:spacing w:after="60" w:before="60"/>
      </w:pPr>
      <w:r>
        <w:t xml:space="preserve"/>
      </w:r>
    </w:p>
    <w:p>
      <w:pPr>
        <w:pStyle w:val="Heading2"/>
        <w:spacing w:after="100" w:before="220"/>
      </w:pPr>
      <w:r>
        <w:rPr>
          <w:rFonts w:ascii="Arial" w:cs="Arial" w:eastAsia="Arial" w:hAnsi="Arial"/>
          <w:b/>
          <w:bCs/>
          <w:color w:val="1A3A5C"/>
          <w:sz w:val="26"/>
          <w:szCs w:val="26"/>
        </w:rPr>
        <w:t xml:space="preserve">5.3  Anticipating Requests</w:t>
      </w:r>
    </w:p>
    <w:p>
      <w:pPr>
        <w:spacing w:after="120" w:before="60"/>
      </w:pPr>
      <w:r>
        <w:rPr>
          <w:rFonts w:ascii="Arial" w:cs="Arial" w:eastAsia="Arial" w:hAnsi="Arial"/>
          <w:sz w:val="22"/>
          <w:szCs w:val="22"/>
        </w:rPr>
        <w:t xml:space="preserve">The mini asks whether requests can be anticipated. Our architecture does not implement prefetching, but the cache implicitly supports it: a background process could submit warm-up queries using predictable request_id values before any client connects, ensuring the first real QueryOnce is a cache hit. This would be valuable for scheduled reports or periodic dashboard refreshes where the query workload is predictable.</w:t>
      </w:r>
    </w:p>
    <w:p>
      <w:pPr>
        <w:spacing w:after="60" w:before="60"/>
      </w:pPr>
      <w:r>
        <w:t xml:space="preserve"/>
      </w:r>
    </w:p>
    <w:p>
      <w:pPr>
        <w:pStyle w:val="Heading1"/>
        <w:spacing w:after="160" w:before="340"/>
      </w:pPr>
      <w:r>
        <w:rPr>
          <w:rFonts w:ascii="Arial" w:cs="Arial" w:eastAsia="Arial" w:hAnsi="Arial"/>
          <w:b/>
          <w:bCs/>
          <w:color w:val="1A3A5C"/>
          <w:sz w:val="32"/>
          <w:szCs w:val="32"/>
        </w:rPr>
        <w:t xml:space="preserve">6.  Conclusions</w:t>
      </w:r>
    </w:p>
    <w:p>
      <w:pPr>
        <w:spacing w:after="120" w:before="60"/>
      </w:pPr>
      <w:r>
        <w:rPr>
          <w:rFonts w:ascii="Arial" w:cs="Arial" w:eastAsia="Arial" w:hAnsi="Arial"/>
          <w:sz w:val="22"/>
          <w:szCs w:val="22"/>
        </w:rPr>
        <w:t xml:space="preserve">We built a working tree-structured multi-process query engine using gRPC across C++ and Python. The system supports paginated chunked results with record-boundary alignment, per-request server-side caching, weighted-fair scheduling across concurrent clients, client cancellation detection at every fan-out step, and cross-language binary interoperability.</w:t>
      </w:r>
    </w:p>
    <w:p>
      <w:pPr>
        <w:spacing w:after="120" w:before="60"/>
      </w:pPr>
      <w:r>
        <w:rPr>
          <w:rFonts w:ascii="Arial" w:cs="Arial" w:eastAsia="Arial" w:hAnsi="Arial"/>
          <w:sz w:val="22"/>
          <w:szCs w:val="22"/>
        </w:rPr>
        <w:t xml:space="preserve">The most practically significant finding is that chunk-size optimisation is a round-trip count problem. The per-RPC latency is nearly constant regardless of how many bytes are in the chunk; total query latency scales linearly with the number of chunks. Minimising round trips — by using the largest chunk the client can handle — yields the best total latency.</w:t>
      </w:r>
    </w:p>
    <w:p>
      <w:pPr>
        <w:spacing w:after="120" w:before="60"/>
      </w:pPr>
      <w:r>
        <w:rPr>
          <w:rFonts w:ascii="Arial" w:cs="Arial" w:eastAsia="Arial" w:hAnsi="Arial"/>
          <w:sz w:val="22"/>
          <w:szCs w:val="22"/>
        </w:rPr>
        <w:t xml:space="preserve">The failures documented in Section 3 — per-RPC channel creation, the async streaming deadlocks, the cache reference race, the Python struct mismatch, the BFS topology ambiguity, and the fair-queue self-entry invariant — collectively consumed the majority of debugging time and produced the majority of lasting design lessons.</w:t>
      </w:r>
    </w:p>
    <w:p>
      <w:pPr>
        <w:spacing w:after="60" w:before="60"/>
      </w:pPr>
      <w:r>
        <w:t xml:space="preserve"/>
      </w:r>
    </w:p>
    <w:p>
      <w:pPr>
        <w:pStyle w:val="Heading1"/>
        <w:spacing w:after="160" w:before="340"/>
      </w:pPr>
      <w:r>
        <w:rPr>
          <w:rFonts w:ascii="Arial" w:cs="Arial" w:eastAsia="Arial" w:hAnsi="Arial"/>
          <w:b/>
          <w:bCs/>
          <w:color w:val="1A3A5C"/>
          <w:sz w:val="32"/>
          <w:szCs w:val="32"/>
        </w:rPr>
        <w:t xml:space="preserve">7.  Individual Contributions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800"/>
        <w:gridCol w:w="6300"/>
      </w:tblGrid>
      <w:tr>
        <w:trPr>
          <w:tblHeader/>
        </w:trPr>
        <w:tc>
          <w:tcPr>
            <w:tcW w:type="dxa" w:w="28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Member</w:t>
            </w:r>
          </w:p>
        </w:tc>
        <w:tc>
          <w:tcPr>
            <w:tcW w:type="dxa" w:w="6300"/>
            <w:tcBorders>
              <w:top w:val="single" w:color="AAAAAA" w:sz="1"/>
              <w:left w:val="single" w:color="AAAAAA" w:sz="1"/>
              <w:bottom w:val="single" w:color="AAAAAA" w:sz="1"/>
              <w:right w:val="single" w:color="AAAAAA" w:sz="1"/>
            </w:tcBorders>
            <w:shd w:fill="1A3A5C" w:val="clear"/>
            <w:tcMar>
              <w:top w:type="dxa" w:w="80"/>
              <w:left w:type="dxa" w:w="120"/>
              <w:bottom w:type="dxa" w:w="80"/>
              <w:right w:type="dxa" w:w="120"/>
            </w:tcMar>
          </w:tcPr>
          <w:p>
            <w:pPr>
              <w:jc w:val="center"/>
            </w:pPr>
            <w:r>
              <w:rPr>
                <w:rFonts w:ascii="Arial" w:cs="Arial" w:eastAsia="Arial" w:hAnsi="Arial"/>
                <w:b/>
                <w:bCs/>
                <w:color w:val="FFFFFF"/>
                <w:sz w:val="19"/>
                <w:szCs w:val="19"/>
              </w:rPr>
              <w:t xml:space="preserve">Contributions</w:t>
            </w:r>
          </w:p>
        </w:tc>
      </w:tr>
      <w:tr>
        <w:tc>
          <w:tcPr>
            <w:tcW w:type="dxa" w:w="28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Anukrithi Myadala</w:t>
            </w:r>
          </w:p>
        </w:tc>
        <w:tc>
          <w:tcPr>
            <w:tcW w:type="dxa" w:w="6300"/>
            <w:tcBorders>
              <w:top w:val="single" w:color="AAAAAA" w:sz="1"/>
              <w:left w:val="single" w:color="AAAAAA" w:sz="1"/>
              <w:bottom w:val="single" w:color="AAAAAA" w:sz="1"/>
              <w:right w:val="single" w:color="AAAAAA" w:sz="1"/>
            </w:tcBorders>
            <w:shd w:fill="F4F7FA"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Leader node (FairQueue, result cache, reaper thread, parallel fan-out), gRPC proto design, chunk-size sweep benchmarking and analysis</w:t>
            </w:r>
          </w:p>
        </w:tc>
      </w:tr>
      <w:tr>
        <w:tc>
          <w:tcPr>
            <w:tcW w:type="dxa" w:w="28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Asim Mohammed</w:t>
            </w:r>
          </w:p>
        </w:tc>
        <w:tc>
          <w:tcPr>
            <w:tcW w:type="dxa" w:w="63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pPr>
              <w:jc w:val="left"/>
            </w:pPr>
            <w:r>
              <w:rPr>
                <w:rFonts w:ascii="Arial" w:cs="Arial" w:eastAsia="Arial" w:hAnsi="Arial"/>
                <w:b w:val="false"/>
                <w:bCs w:val="false"/>
                <w:color w:val="111111"/>
                <w:sz w:val="20"/>
                <w:szCs w:val="20"/>
              </w:rPr>
              <w:t xml:space="preserve">Config parser (YAML, BFS tree), team node C++ (fan-out, channel reuse, record serialisation), Python node I, client (pagination, timing), CMake build system, fairness testing, RUN_RESULTS.md, report and poster</w:t>
            </w:r>
          </w:p>
        </w:tc>
      </w:tr>
    </w:tbl>
    <w:p>
      <w:pPr>
        <w:spacing w:after="60" w:before="60"/>
      </w:pPr>
      <w:r>
        <w:t xml:space="preserve"/>
      </w:r>
    </w:p>
    <w:p>
      <w:pPr>
        <w:pStyle w:val="Heading1"/>
        <w:spacing w:after="160" w:before="340"/>
      </w:pPr>
      <w:r>
        <w:rPr>
          <w:rFonts w:ascii="Arial" w:cs="Arial" w:eastAsia="Arial" w:hAnsi="Arial"/>
          <w:b/>
          <w:bCs/>
          <w:color w:val="1A3A5C"/>
          <w:sz w:val="32"/>
          <w:szCs w:val="32"/>
        </w:rPr>
        <w:t xml:space="preserve">8.  References</w:t>
      </w:r>
    </w:p>
    <w:p>
      <w:pPr>
        <w:pStyle w:val="ListParagraph"/>
        <w:numPr>
          <w:ilvl w:val="0"/>
          <w:numId w:val="2"/>
        </w:numPr>
        <w:spacing w:after="60" w:before="40"/>
      </w:pPr>
      <w:r>
        <w:rPr>
          <w:rFonts w:ascii="Arial" w:cs="Arial" w:eastAsia="Arial" w:hAnsi="Arial"/>
          <w:sz w:val="22"/>
          <w:szCs w:val="22"/>
        </w:rPr>
        <w:t xml:space="preserve">[1] gRPC Core Concepts. https://grpc.io/docs/what-is-grpc/core-concepts/</w:t>
      </w:r>
    </w:p>
    <w:p>
      <w:pPr>
        <w:pStyle w:val="ListParagraph"/>
        <w:numPr>
          <w:ilvl w:val="0"/>
          <w:numId w:val="2"/>
        </w:numPr>
        <w:spacing w:after="60" w:before="40"/>
      </w:pPr>
      <w:r>
        <w:rPr>
          <w:rFonts w:ascii="Arial" w:cs="Arial" w:eastAsia="Arial" w:hAnsi="Arial"/>
          <w:sz w:val="22"/>
          <w:szCs w:val="22"/>
        </w:rPr>
        <w:t xml:space="preserve">[2] Protocol Buffers Language Guide (proto3). https://protobuf.dev/programming-guides/proto3/</w:t>
      </w:r>
    </w:p>
    <w:p>
      <w:pPr>
        <w:pStyle w:val="ListParagraph"/>
        <w:numPr>
          <w:ilvl w:val="0"/>
          <w:numId w:val="2"/>
        </w:numPr>
        <w:spacing w:after="60" w:before="40"/>
      </w:pPr>
      <w:r>
        <w:rPr>
          <w:rFonts w:ascii="Arial" w:cs="Arial" w:eastAsia="Arial" w:hAnsi="Arial"/>
          <w:sz w:val="22"/>
          <w:szCs w:val="22"/>
        </w:rPr>
        <w:t xml:space="preserve">[3] Weighted Fair Queuing. Wikipedia. https://en.wikipedia.org/wiki/Weighted_fair_queuing</w:t>
      </w:r>
    </w:p>
    <w:p>
      <w:pPr>
        <w:pStyle w:val="ListParagraph"/>
        <w:numPr>
          <w:ilvl w:val="0"/>
          <w:numId w:val="2"/>
        </w:numPr>
        <w:spacing w:after="60" w:before="40"/>
      </w:pPr>
      <w:r>
        <w:rPr>
          <w:rFonts w:ascii="Arial" w:cs="Arial" w:eastAsia="Arial" w:hAnsi="Arial"/>
          <w:sz w:val="22"/>
          <w:szCs w:val="22"/>
        </w:rPr>
        <w:t xml:space="preserve">[4] Data Structure Alignment and Padding. https://en.wikipedia.org/wiki/Data_structure_alignment</w:t>
      </w:r>
    </w:p>
    <w:p>
      <w:pPr>
        <w:pStyle w:val="ListParagraph"/>
        <w:numPr>
          <w:ilvl w:val="0"/>
          <w:numId w:val="2"/>
        </w:numPr>
        <w:spacing w:after="60" w:before="40"/>
      </w:pPr>
      <w:r>
        <w:rPr>
          <w:rFonts w:ascii="Arial" w:cs="Arial" w:eastAsia="Arial" w:hAnsi="Arial"/>
          <w:sz w:val="22"/>
          <w:szCs w:val="22"/>
        </w:rPr>
        <w:t xml:space="preserve">[5] Structure Member Alignment, Padding and Data Packing. https://www.geeksforgeeks.org/c/structure-member-alignment-padding-and-data-packing/</w:t>
      </w:r>
    </w:p>
    <w:p>
      <w:pPr>
        <w:pStyle w:val="ListParagraph"/>
        <w:numPr>
          <w:ilvl w:val="0"/>
          <w:numId w:val="2"/>
        </w:numPr>
        <w:spacing w:after="60" w:before="40"/>
      </w:pPr>
      <w:r>
        <w:rPr>
          <w:rFonts w:ascii="Arial" w:cs="Arial" w:eastAsia="Arial" w:hAnsi="Arial"/>
          <w:sz w:val="22"/>
          <w:szCs w:val="22"/>
        </w:rPr>
        <w:t xml:space="preserve">[6] Gash, J. CMPE 275 Lecture Notes – Streaming, Sync vs Async Scaling. SJSU Spring 2026.</w:t>
      </w:r>
    </w:p>
    <w:p>
      <w:pPr>
        <w:pStyle w:val="ListParagraph"/>
        <w:numPr>
          <w:ilvl w:val="0"/>
          <w:numId w:val="2"/>
        </w:numPr>
        <w:spacing w:after="60" w:before="40"/>
      </w:pPr>
      <w:r>
        <w:rPr>
          <w:rFonts w:ascii="Arial" w:cs="Arial" w:eastAsia="Arial" w:hAnsi="Arial"/>
          <w:sz w:val="22"/>
          <w:szCs w:val="22"/>
        </w:rPr>
        <w:t xml:space="preserve">[7] Gash, J. CMPE 275 Lecture Notes – Queues, Motion, Work Distribution. SJSU Spring 2026.</w:t>
      </w:r>
    </w:p>
    <w:p>
      <w:pPr>
        <w:pStyle w:val="ListParagraph"/>
        <w:numPr>
          <w:ilvl w:val="0"/>
          <w:numId w:val="2"/>
        </w:numPr>
        <w:spacing w:after="60" w:before="40"/>
      </w:pPr>
      <w:r>
        <w:rPr>
          <w:rFonts w:ascii="Arial" w:cs="Arial" w:eastAsia="Arial" w:hAnsi="Arial"/>
          <w:sz w:val="22"/>
          <w:szCs w:val="22"/>
        </w:rPr>
        <w:t xml:space="preserve">[8] Python struct module. https://docs.python.org/3/library/struct.html</w:t>
      </w:r>
    </w:p>
    <w:p>
      <w:pPr>
        <w:pStyle w:val="ListParagraph"/>
        <w:numPr>
          <w:ilvl w:val="0"/>
          <w:numId w:val="2"/>
        </w:numPr>
        <w:spacing w:after="60" w:before="40"/>
      </w:pPr>
      <w:r>
        <w:rPr>
          <w:rFonts w:ascii="Arial" w:cs="Arial" w:eastAsia="Arial" w:hAnsi="Arial"/>
          <w:sz w:val="22"/>
          <w:szCs w:val="22"/>
        </w:rPr>
        <w:t xml:space="preserve">[9] grpcio Python documentation. https://grpc.github.io/grpc/python/</w:t>
      </w:r>
    </w:p>
    <w:p>
      <w:pPr>
        <w:pStyle w:val="ListParagraph"/>
        <w:numPr>
          <w:ilvl w:val="0"/>
          <w:numId w:val="2"/>
        </w:numPr>
        <w:spacing w:after="60" w:before="40"/>
      </w:pPr>
      <w:r>
        <w:rPr>
          <w:rFonts w:ascii="Arial" w:cs="Arial" w:eastAsia="Arial" w:hAnsi="Arial"/>
          <w:sz w:val="22"/>
          <w:szCs w:val="22"/>
        </w:rPr>
        <w:t xml:space="preserve">[10] std::chrono::steady_clock. https://en.cppreference.com/w/cpp/chrono/steady_clock</w:t>
      </w:r>
    </w:p>
    <w:sectPr>
      <w:footerReference w:type="default" r:id="rId7"/>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CMPE 275 – Mini 2  |  Spring 2026  |  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outlineLvl w:val="0"/>
    </w:pPr>
    <w:rPr>
      <w:rFonts w:ascii="Arial" w:cs="Arial" w:eastAsia="Arial" w:hAnsi="Arial"/>
      <w:b/>
      <w:bCs/>
      <w:color w:val="1A3A5C"/>
      <w:sz w:val="32"/>
      <w:szCs w:val="32"/>
    </w:rPr>
  </w:style>
  <w:style w:type="paragraph" w:styleId="Heading2">
    <w:name w:val="Heading 2"/>
    <w:basedOn w:val="Normal"/>
    <w:next w:val="Normal"/>
    <w:qFormat/>
    <w:pPr>
      <w:spacing w:after="100" w:before="220"/>
      <w:outlineLvl w:val="1"/>
    </w:pPr>
    <w:rPr>
      <w:rFonts w:ascii="Arial" w:cs="Arial" w:eastAsia="Arial" w:hAnsi="Arial"/>
      <w:b/>
      <w:bCs/>
      <w:color w:val="1A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2026-05-08T01:21:26.498Z</dcterms:created>
  <dcterms:modified xsi:type="dcterms:W3CDTF">2026-05-08T01:21:26.512Z</dcterms:modified>
</cp:coreProperties>
</file>

<file path=docProps/custom.xml><?xml version="1.0" encoding="utf-8"?>
<Properties xmlns="http://schemas.openxmlformats.org/officeDocument/2006/custom-properties" xmlns:vt="http://schemas.openxmlformats.org/officeDocument/2006/docPropsVTypes"/>
</file>