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60"/>
          <w:szCs w:val="60"/>
        </w:rPr>
        <w:t xml:space="preserve">IntelliRoute</w:t>
      </w:r>
    </w:p>
    <w:p>
      <w:pPr>
        <w:spacing w:after="400"/>
        <w:jc w:val="center"/>
      </w:pPr>
      <w:r>
        <w:rPr>
          <w:rFonts w:ascii="Arial" w:cs="Arial" w:eastAsia="Arial" w:hAnsi="Arial"/>
          <w:color w:val="2C3E50"/>
          <w:sz w:val="36"/>
          <w:szCs w:val="36"/>
        </w:rPr>
        <w:t xml:space="preserve">Architecture Document</w:t>
      </w:r>
    </w:p>
    <w:p>
      <w:pPr>
        <w:spacing w:after="100"/>
        <w:jc w:val="center"/>
      </w:pPr>
      <w:r>
        <w:rPr>
          <w:rFonts w:ascii="Arial" w:cs="Arial" w:eastAsia="Arial" w:hAnsi="Arial"/>
          <w:i/>
          <w:iCs/>
          <w:color w:val="566573"/>
          <w:sz w:val="24"/>
          <w:szCs w:val="24"/>
        </w:rPr>
        <w:t xml:space="preserve">A Distributed Control Plane for Multi-LLM Orchestration</w:t>
      </w:r>
    </w:p>
    <w:p>
      <w:pPr>
        <w:pBdr>
          <w:bottom w:val="single" w:color="2E86C1" w:sz="6" w:space="1"/>
        </w:pBdr>
        <w:spacing w:before="600"/>
      </w:pPr>
    </w:p>
    <w:p>
      <w:pPr>
        <w:spacing w:before="400"/>
      </w:pPr>
    </w:p>
    <w:p>
      <w:pPr>
        <w:spacing w:after="100"/>
        <w:jc w:val="center"/>
      </w:pPr>
      <w:r>
        <w:rPr>
          <w:rFonts w:ascii="Arial" w:cs="Arial" w:eastAsia="Arial" w:hAnsi="Arial"/>
          <w:color w:val="566573"/>
          <w:sz w:val="22"/>
          <w:szCs w:val="22"/>
        </w:rPr>
        <w:t xml:space="preserve">CMPE 273 — Enterprise Distributed Systems</w:t>
      </w:r>
    </w:p>
    <w:p>
      <w:pPr>
        <w:spacing w:after="100"/>
        <w:jc w:val="center"/>
      </w:pPr>
      <w:r>
        <w:rPr>
          <w:rFonts w:ascii="Arial" w:cs="Arial" w:eastAsia="Arial" w:hAnsi="Arial"/>
          <w:color w:val="566573"/>
          <w:sz w:val="22"/>
          <w:szCs w:val="22"/>
        </w:rPr>
        <w:t xml:space="preserve">Spring 2026, San José State University</w:t>
      </w:r>
    </w:p>
    <w:p>
      <w:pPr>
        <w:spacing w:before="300"/>
      </w:pPr>
    </w:p>
    <w:p>
      <w:pPr>
        <w:spacing w:after="80"/>
        <w:jc w:val="center"/>
      </w:pPr>
      <w:r>
        <w:rPr>
          <w:rFonts w:ascii="Arial" w:cs="Arial" w:eastAsia="Arial" w:hAnsi="Arial"/>
          <w:b/>
          <w:bCs/>
          <w:color w:val="2C3E50"/>
          <w:sz w:val="22"/>
          <w:szCs w:val="22"/>
        </w:rPr>
        <w:t xml:space="preserve">Team Members</w:t>
      </w:r>
    </w:p>
    <w:p>
      <w:pPr>
        <w:spacing w:after="60"/>
        <w:jc w:val="center"/>
      </w:pPr>
      <w:r>
        <w:rPr>
          <w:rFonts w:ascii="Arial" w:cs="Arial" w:eastAsia="Arial" w:hAnsi="Arial"/>
          <w:color w:val="566573"/>
          <w:sz w:val="22"/>
          <w:szCs w:val="22"/>
        </w:rPr>
        <w:t xml:space="preserve">Anukrithi Myadala  •  Larry Nguyen  •  James Pham  •  Surbhi Singh</w:t>
      </w:r>
    </w:p>
    <w:p>
      <w:pPr>
        <w:spacing w:before="400"/>
      </w:pPr>
    </w:p>
    <w:p>
      <w:pPr>
        <w:jc w:val="center"/>
      </w:pPr>
      <w:r>
        <w:rPr>
          <w:rFonts w:ascii="Arial" w:cs="Arial" w:eastAsia="Arial" w:hAnsi="Arial"/>
          <w:color w:val="566573"/>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rPr>
        <w:t xml:space="preserve">1. Executive Summary</w:t>
      </w:r>
    </w:p>
    <w:p>
      <w:pPr>
        <w:spacing w:after="120"/>
      </w:pPr>
      <w:r>
        <w:rPr>
          <w:rFonts w:ascii="Arial" w:cs="Arial" w:eastAsia="Arial" w:hAnsi="Arial"/>
          <w:sz w:val="22"/>
          <w:szCs w:val="22"/>
        </w:rPr>
        <w:t xml:space="preserve">IntelliRoute is a distributed control plane that sits between applications and multiple LLM providers, turning them into a single, governed compute resource. It classifies each request by intent, picks the optimal provider using a multi-objective scoring policy, enforces distributed rate limits with leader-based replication, automatically fails over when providers degrade, and tracks cost per tenant in real time.</w:t>
      </w:r>
    </w:p>
    <w:p>
      <w:pPr>
        <w:spacing w:after="120"/>
      </w:pPr>
      <w:r>
        <w:rPr>
          <w:rFonts w:ascii="Arial" w:cs="Arial" w:eastAsia="Arial" w:hAnsi="Arial"/>
          <w:sz w:val="22"/>
          <w:szCs w:val="22"/>
        </w:rPr>
        <w:t xml:space="preserve">The system is implemented as ten cooperating microservices built with Python and FastAPI, demonstrating core distributed systems concepts including leader election, circuit breakers, token-bucket rate limiting with replication, adaptive feedback loops, and priority queues with backpressure.</w:t>
      </w:r>
    </w:p>
    <w:p>
      <w:pPr>
        <w:pStyle w:val="Heading1"/>
        <w:spacing w:after="180" w:before="360"/>
      </w:pPr>
      <w:r>
        <w:rPr>
          <w:rFonts w:ascii="Arial" w:cs="Arial" w:eastAsia="Arial" w:hAnsi="Arial"/>
        </w:rPr>
        <w:t xml:space="preserve">2. System Overview</w:t>
      </w:r>
    </w:p>
    <w:p>
      <w:pPr>
        <w:spacing w:after="120"/>
      </w:pPr>
      <w:r>
        <w:rPr>
          <w:rFonts w:ascii="Arial" w:cs="Arial" w:eastAsia="Arial" w:hAnsi="Arial"/>
          <w:sz w:val="22"/>
          <w:szCs w:val="22"/>
        </w:rPr>
        <w:t xml:space="preserve">IntelliRoute addresses the operational challenges organizations face when integrating multiple LLM providers: unpredictable latency, fragmented rate limits, escalating costs, and no unified routing layer. The system treats LLMs as distributed compute resources behind a control plane rather than isolated APIs.</w:t>
      </w:r>
    </w:p>
    <w:p>
      <w:pPr>
        <w:pStyle w:val="Heading2"/>
        <w:spacing w:after="180" w:before="240"/>
      </w:pPr>
      <w:r>
        <w:rPr>
          <w:rFonts w:ascii="Arial" w:cs="Arial" w:eastAsia="Arial" w:hAnsi="Arial"/>
        </w:rPr>
        <w:t xml:space="preserve">2.1 Design Goals</w:t>
      </w:r>
    </w:p>
    <w:p>
      <w:pPr>
        <w:pStyle w:val="ListParagraph"/>
        <w:numPr>
          <w:ilvl w:val="0"/>
          <w:numId w:val="2"/>
        </w:numPr>
        <w:spacing w:after="60"/>
      </w:pPr>
      <w:r>
        <w:rPr>
          <w:rFonts w:ascii="Arial" w:cs="Arial" w:eastAsia="Arial" w:hAnsi="Arial"/>
          <w:sz w:val="22"/>
          <w:szCs w:val="22"/>
        </w:rPr>
        <w:t xml:space="preserve">Intent-aware routing: classify requests as interactive, reasoning, batch, or code and route to the best-fit provider.</w:t>
      </w:r>
    </w:p>
    <w:p>
      <w:pPr>
        <w:pStyle w:val="ListParagraph"/>
        <w:numPr>
          <w:ilvl w:val="0"/>
          <w:numId w:val="2"/>
        </w:numPr>
        <w:spacing w:after="60"/>
      </w:pPr>
      <w:r>
        <w:rPr>
          <w:rFonts w:ascii="Arial" w:cs="Arial" w:eastAsia="Arial" w:hAnsi="Arial"/>
          <w:sz w:val="22"/>
          <w:szCs w:val="22"/>
        </w:rPr>
        <w:t xml:space="preserve">Multi-objective optimization: rank providers by a weighted combination of latency, cost, capability, and historical success rate.</w:t>
      </w:r>
    </w:p>
    <w:p>
      <w:pPr>
        <w:pStyle w:val="ListParagraph"/>
        <w:numPr>
          <w:ilvl w:val="0"/>
          <w:numId w:val="2"/>
        </w:numPr>
        <w:spacing w:after="60"/>
      </w:pPr>
      <w:r>
        <w:rPr>
          <w:rFonts w:ascii="Arial" w:cs="Arial" w:eastAsia="Arial" w:hAnsi="Arial"/>
          <w:sz w:val="22"/>
          <w:szCs w:val="22"/>
        </w:rPr>
        <w:t xml:space="preserve">Distributed rate limiting with leader-based consistency and replication log.</w:t>
      </w:r>
    </w:p>
    <w:p>
      <w:pPr>
        <w:pStyle w:val="ListParagraph"/>
        <w:numPr>
          <w:ilvl w:val="0"/>
          <w:numId w:val="2"/>
        </w:numPr>
        <w:spacing w:after="60"/>
      </w:pPr>
      <w:r>
        <w:rPr>
          <w:rFonts w:ascii="Arial" w:cs="Arial" w:eastAsia="Arial" w:hAnsi="Arial"/>
          <w:sz w:val="22"/>
          <w:szCs w:val="22"/>
        </w:rPr>
        <w:t xml:space="preserve">Automatic failover via circuit breakers and a ranked fallback chain.</w:t>
      </w:r>
    </w:p>
    <w:p>
      <w:pPr>
        <w:pStyle w:val="ListParagraph"/>
        <w:numPr>
          <w:ilvl w:val="0"/>
          <w:numId w:val="2"/>
        </w:numPr>
        <w:spacing w:after="60"/>
      </w:pPr>
      <w:r>
        <w:rPr>
          <w:rFonts w:ascii="Arial" w:cs="Arial" w:eastAsia="Arial" w:hAnsi="Arial"/>
          <w:sz w:val="22"/>
          <w:szCs w:val="22"/>
        </w:rPr>
        <w:t xml:space="preserve">Per-tenant cost accounting with budget-exceeded alerting.</w:t>
      </w:r>
    </w:p>
    <w:p>
      <w:pPr>
        <w:pStyle w:val="ListParagraph"/>
        <w:numPr>
          <w:ilvl w:val="0"/>
          <w:numId w:val="2"/>
        </w:numPr>
        <w:spacing w:after="120"/>
      </w:pPr>
      <w:r>
        <w:rPr>
          <w:rFonts w:ascii="Arial" w:cs="Arial" w:eastAsia="Arial" w:hAnsi="Arial"/>
          <w:sz w:val="22"/>
          <w:szCs w:val="22"/>
        </w:rPr>
        <w:t xml:space="preserve">Full observability: structured JSON logs, health snapshots, and a real-time dashboard.</w:t>
      </w:r>
    </w:p>
    <w:p>
      <w:pPr>
        <w:pStyle w:val="Heading1"/>
        <w:spacing w:after="180" w:before="360"/>
      </w:pPr>
      <w:r>
        <w:rPr>
          <w:rFonts w:ascii="Arial" w:cs="Arial" w:eastAsia="Arial" w:hAnsi="Arial"/>
        </w:rPr>
        <w:t xml:space="preserve">3. High-Level Architecture</w:t>
      </w:r>
    </w:p>
    <w:p>
      <w:pPr>
        <w:spacing w:after="120"/>
      </w:pPr>
      <w:r>
        <w:rPr>
          <w:rFonts w:ascii="Arial" w:cs="Arial" w:eastAsia="Arial" w:hAnsi="Arial"/>
          <w:sz w:val="22"/>
          <w:szCs w:val="22"/>
        </w:rPr>
        <w:t xml:space="preserve">The system consists of six distinct service types deployed as ten processes. All inter-service communication uses HTTP, with synchronous calls for the critical routing path and asynchronous fire-and-forget calls for cost event publishing.</w:t>
      </w:r>
    </w:p>
    <w:p>
      <w:pPr>
        <w:pStyle w:val="Heading2"/>
        <w:spacing w:after="180" w:before="240"/>
      </w:pPr>
      <w:r>
        <w:rPr>
          <w:rFonts w:ascii="Arial" w:cs="Arial" w:eastAsia="Arial" w:hAnsi="Arial"/>
        </w:rPr>
        <w:t xml:space="preserve">3.1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Port(s)</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entry point, API-key authentication, tenant identity rewriting, request tracing via X-Request-Id, and proxying to the Router.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w:t>
            </w:r>
          </w:p>
        </w:tc>
        <w:tc>
          <w:tcPr>
            <w:tcW w:type="dxa" w:w="6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Intent classification, multi-objective provider ranking, fallback chain execution, async health/cost event publishing.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8002, 8012, 8022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replicas running the Bully leader election algorithm. The leader maintains the authoritative token-bucket state; followers replicate via a 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Tracker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8003</w:t>
            </w:r>
          </w:p>
        </w:tc>
        <w:tc>
          <w:tcPr>
            <w:tcW w:type="dxa" w:w="6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Receives async cost events, maintains per-tenant rollups with per-provider breakdown, and fires budget-exceeded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 Monitor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Per-provider circuit breakers (closed/open/half_open), periodic liveness polling every 5 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Mock Providers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9001–9003</w:t>
            </w:r>
          </w:p>
        </w:tc>
        <w:tc>
          <w:tcPr>
            <w:tcW w:type="dxa" w:w="6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Three simulated LLMs (mock-fast, mock-smart, mock-cheap) with distinct latency, cost, and capability profiles.</w:t>
            </w:r>
          </w:p>
        </w:tc>
      </w:tr>
    </w:tbl>
    <w:p>
      <w:pPr>
        <w:spacing w:before="200"/>
      </w:pPr>
    </w:p>
    <w:p>
      <w:pPr>
        <w:pStyle w:val="Heading2"/>
        <w:spacing w:after="180" w:before="240"/>
      </w:pPr>
      <w:r>
        <w:rPr>
          <w:rFonts w:ascii="Arial" w:cs="Arial" w:eastAsia="Arial" w:hAnsi="Arial"/>
        </w:rPr>
        <w:t xml:space="preserve">3.2 Request Flow</w:t>
      </w:r>
    </w:p>
    <w:p>
      <w:pPr>
        <w:spacing w:after="120"/>
      </w:pPr>
      <w:r>
        <w:rPr>
          <w:rFonts w:ascii="Arial" w:cs="Arial" w:eastAsia="Arial" w:hAnsi="Arial"/>
          <w:sz w:val="22"/>
          <w:szCs w:val="22"/>
        </w:rPr>
        <w:t xml:space="preserve">A typical completion request follows this path through the system:</w:t>
      </w:r>
    </w:p>
    <w:p>
      <w:pPr>
        <w:pStyle w:val="ListParagraph"/>
        <w:numPr>
          <w:ilvl w:val="0"/>
          <w:numId w:val="3"/>
        </w:numPr>
        <w:spacing w:after="60"/>
      </w:pPr>
      <w:r>
        <w:rPr>
          <w:rFonts w:ascii="Arial" w:cs="Arial" w:eastAsia="Arial" w:hAnsi="Arial"/>
          <w:sz w:val="22"/>
          <w:szCs w:val="22"/>
        </w:rPr>
        <w:t xml:space="preserve">Client sends POST /v1/complete to the Gateway with an X-API-Key header.</w:t>
      </w:r>
    </w:p>
    <w:p>
      <w:pPr>
        <w:pStyle w:val="ListParagraph"/>
        <w:numPr>
          <w:ilvl w:val="0"/>
          <w:numId w:val="3"/>
        </w:numPr>
        <w:spacing w:after="60"/>
      </w:pPr>
      <w:r>
        <w:rPr>
          <w:rFonts w:ascii="Arial" w:cs="Arial" w:eastAsia="Arial" w:hAnsi="Arial"/>
          <w:sz w:val="22"/>
          <w:szCs w:val="22"/>
        </w:rPr>
        <w:t xml:space="preserve">Gateway authenticates the API key, resolves the tenant identity, injects X-Request-Id, and forwards to the Router.</w:t>
      </w:r>
    </w:p>
    <w:p>
      <w:pPr>
        <w:pStyle w:val="ListParagraph"/>
        <w:numPr>
          <w:ilvl w:val="0"/>
          <w:numId w:val="3"/>
        </w:numPr>
        <w:spacing w:after="60"/>
      </w:pPr>
      <w:r>
        <w:rPr>
          <w:rFonts w:ascii="Arial" w:cs="Arial" w:eastAsia="Arial" w:hAnsi="Arial"/>
          <w:sz w:val="22"/>
          <w:szCs w:val="22"/>
        </w:rPr>
        <w:t xml:space="preserve">Router classifies the request intent (interactive/reasoning/batch/code) and queries the Health Monitor for provider states.</w:t>
      </w:r>
    </w:p>
    <w:p>
      <w:pPr>
        <w:pStyle w:val="ListParagraph"/>
        <w:numPr>
          <w:ilvl w:val="0"/>
          <w:numId w:val="3"/>
        </w:numPr>
        <w:spacing w:after="60"/>
      </w:pPr>
      <w:r>
        <w:rPr>
          <w:rFonts w:ascii="Arial" w:cs="Arial" w:eastAsia="Arial" w:hAnsi="Arial"/>
          <w:sz w:val="22"/>
          <w:szCs w:val="22"/>
        </w:rPr>
        <w:t xml:space="preserve">Router applies the multi-objective scoring policy to rank providers, incorporating EMA-based feedback metrics.</w:t>
      </w:r>
    </w:p>
    <w:p>
      <w:pPr>
        <w:pStyle w:val="ListParagraph"/>
        <w:numPr>
          <w:ilvl w:val="0"/>
          <w:numId w:val="3"/>
        </w:numPr>
        <w:spacing w:after="60"/>
      </w:pPr>
      <w:r>
        <w:rPr>
          <w:rFonts w:ascii="Arial" w:cs="Arial" w:eastAsia="Arial" w:hAnsi="Arial"/>
          <w:sz w:val="22"/>
          <w:szCs w:val="22"/>
        </w:rPr>
        <w:t xml:space="preserve">For each provider (in ranked order), the Router checks the Rate Limiter. If tokens are available and the circuit is closed, it forwards the request to that provider.</w:t>
      </w:r>
    </w:p>
    <w:p>
      <w:pPr>
        <w:pStyle w:val="ListParagraph"/>
        <w:numPr>
          <w:ilvl w:val="0"/>
          <w:numId w:val="3"/>
        </w:numPr>
        <w:spacing w:after="60"/>
      </w:pPr>
      <w:r>
        <w:rPr>
          <w:rFonts w:ascii="Arial" w:cs="Arial" w:eastAsia="Arial" w:hAnsi="Arial"/>
          <w:sz w:val="22"/>
          <w:szCs w:val="22"/>
        </w:rPr>
        <w:t xml:space="preserve">On success, the Router asynchronously reports the outcome to the Health Monitor (for circuit breaker updates) and publishes a cost event to the Cost Tracker.</w:t>
      </w:r>
    </w:p>
    <w:p>
      <w:pPr>
        <w:pStyle w:val="ListParagraph"/>
        <w:numPr>
          <w:ilvl w:val="0"/>
          <w:numId w:val="3"/>
        </w:numPr>
        <w:spacing w:after="120"/>
      </w:pPr>
      <w:r>
        <w:rPr>
          <w:rFonts w:ascii="Arial" w:cs="Arial" w:eastAsia="Arial" w:hAnsi="Arial"/>
          <w:sz w:val="22"/>
          <w:szCs w:val="22"/>
        </w:rPr>
        <w:t xml:space="preserve">If the primary provider fails or is rate-limited, the Router moves to the next provider in the fallback chain. The response includes fallback_used: true when this occurs.</w:t>
      </w:r>
    </w:p>
    <w:p>
      <w:r>
        <w:br w:type="page"/>
      </w:r>
    </w:p>
    <w:p>
      <w:pPr>
        <w:pStyle w:val="Heading1"/>
        <w:spacing w:after="180" w:before="360"/>
      </w:pPr>
      <w:r>
        <w:rPr>
          <w:rFonts w:ascii="Arial" w:cs="Arial" w:eastAsia="Arial" w:hAnsi="Arial"/>
        </w:rPr>
        <w:t xml:space="preserve">4. Distributed Systems Concepts</w:t>
      </w:r>
    </w:p>
    <w:p>
      <w:pPr>
        <w:pStyle w:val="Heading2"/>
        <w:spacing w:after="180" w:before="240"/>
      </w:pPr>
      <w:r>
        <w:rPr>
          <w:rFonts w:ascii="Arial" w:cs="Arial" w:eastAsia="Arial" w:hAnsi="Arial"/>
        </w:rPr>
        <w:t xml:space="preserve">4.1 Leader Election (Bully Algorithm)</w:t>
      </w:r>
    </w:p>
    <w:p>
      <w:pPr>
        <w:spacing w:after="120"/>
      </w:pPr>
      <w:r>
        <w:rPr>
          <w:rFonts w:ascii="Arial" w:cs="Arial" w:eastAsia="Arial" w:hAnsi="Arial"/>
          <w:sz w:val="22"/>
          <w:szCs w:val="22"/>
        </w:rPr>
        <w:t xml:space="preserve">The rate limiter runs three replicas (rl-0, rl-1, rl-2) that coordinate using the Bully election algorithm. Each replica has a numeric ID; the highest ID always wins the election. When a replica detects a leader timeout (no heartbeat received within the configured interval), it initiates an election by challenging all replicas with higher IDs. If no higher replica responds, the challenger declares itself leader and broadcasts a victory announcement. The leader is the single authority for token-bucket decisions, ensuring strong consistency for rate limiting.</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intelliroute/rate_limiter/election.py</w:t>
      </w:r>
    </w:p>
    <w:p>
      <w:pPr>
        <w:pStyle w:val="Heading2"/>
        <w:spacing w:after="180" w:before="240"/>
      </w:pPr>
      <w:r>
        <w:rPr>
          <w:rFonts w:ascii="Arial" w:cs="Arial" w:eastAsia="Arial" w:hAnsi="Arial"/>
        </w:rPr>
        <w:t xml:space="preserve">4.2 Token-Bucket Rate Limiting with Replication</w:t>
      </w:r>
    </w:p>
    <w:p>
      <w:pPr>
        <w:spacing w:after="120"/>
      </w:pPr>
      <w:r>
        <w:rPr>
          <w:rFonts w:ascii="Arial" w:cs="Arial" w:eastAsia="Arial" w:hAnsi="Arial"/>
          <w:sz w:val="22"/>
          <w:szCs w:val="22"/>
        </w:rPr>
        <w:t xml:space="preserve">Rate limits are enforced via a token bucket algorithm. Each (tenant, provider) pair has an independent bucket with configurable capacity and refill rate. Tokens refill linearly over time. The leader processes all /check requests and logs each decision to a replication log. Follower replicas tail this log and replay entries to maintain an eventually-consistent local copy of the state, enabling fast read-only queries and seamless failover if the leader goes down.</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intelliroute/rate_limiter/token_bucket.py</w:t>
      </w:r>
    </w:p>
    <w:p>
      <w:pPr>
        <w:pStyle w:val="Heading2"/>
        <w:spacing w:after="180" w:before="240"/>
      </w:pPr>
      <w:r>
        <w:rPr>
          <w:rFonts w:ascii="Arial" w:cs="Arial" w:eastAsia="Arial" w:hAnsi="Arial"/>
        </w:rPr>
        <w:t xml:space="preserve">4.3 Circuit Breaker Pattern</w:t>
      </w:r>
    </w:p>
    <w:p>
      <w:pPr>
        <w:spacing w:after="120"/>
      </w:pPr>
      <w:r>
        <w:rPr>
          <w:rFonts w:ascii="Arial" w:cs="Arial" w:eastAsia="Arial" w:hAnsi="Arial"/>
          <w:sz w:val="22"/>
          <w:szCs w:val="22"/>
        </w:rPr>
        <w:t xml:space="preserve">Each LLM provider has a dedicated three-state circuit breaker managed by the Health Monitor:</w:t>
      </w:r>
    </w:p>
    <w:p>
      <w:pPr>
        <w:pStyle w:val="ListParagraph"/>
        <w:numPr>
          <w:ilvl w:val="0"/>
          <w:numId w:val="2"/>
        </w:numPr>
        <w:spacing w:after="60"/>
      </w:pPr>
      <w:r>
        <w:rPr>
          <w:rFonts w:ascii="Arial" w:cs="Arial" w:eastAsia="Arial" w:hAnsi="Arial"/>
          <w:b/>
          <w:bCs/>
          <w:sz w:val="22"/>
          <w:szCs w:val="22"/>
        </w:rPr>
        <w:t xml:space="preserve">Closed: </w:t>
      </w:r>
      <w:r>
        <w:rPr>
          <w:rFonts w:ascii="Arial" w:cs="Arial" w:eastAsia="Arial" w:hAnsi="Arial"/>
          <w:sz w:val="22"/>
          <w:szCs w:val="22"/>
        </w:rPr>
        <w:t xml:space="preserve">Normal operation. Requests pass through. The breaker tracks errors in a sliding time window.</w:t>
      </w:r>
    </w:p>
    <w:p>
      <w:pPr>
        <w:pStyle w:val="ListParagraph"/>
        <w:numPr>
          <w:ilvl w:val="0"/>
          <w:numId w:val="2"/>
        </w:numPr>
        <w:spacing w:after="60"/>
      </w:pPr>
      <w:r>
        <w:rPr>
          <w:rFonts w:ascii="Arial" w:cs="Arial" w:eastAsia="Arial" w:hAnsi="Arial"/>
          <w:b/>
          <w:bCs/>
          <w:sz w:val="22"/>
          <w:szCs w:val="22"/>
        </w:rPr>
        <w:t xml:space="preserve">Open: </w:t>
      </w:r>
      <w:r>
        <w:rPr>
          <w:rFonts w:ascii="Arial" w:cs="Arial" w:eastAsia="Arial" w:hAnsi="Arial"/>
          <w:sz w:val="22"/>
          <w:szCs w:val="22"/>
        </w:rPr>
        <w:t xml:space="preserve">Tripped when the error rate exceeds the threshold (default 50%). All requests are immediately rejected. After a configurable cooldown (default 30s), transitions to half-open.</w:t>
      </w:r>
    </w:p>
    <w:p>
      <w:pPr>
        <w:pStyle w:val="ListParagraph"/>
        <w:numPr>
          <w:ilvl w:val="0"/>
          <w:numId w:val="2"/>
        </w:numPr>
        <w:spacing w:after="120"/>
      </w:pPr>
      <w:r>
        <w:rPr>
          <w:rFonts w:ascii="Arial" w:cs="Arial" w:eastAsia="Arial" w:hAnsi="Arial"/>
          <w:b/>
          <w:bCs/>
          <w:sz w:val="22"/>
          <w:szCs w:val="22"/>
        </w:rPr>
        <w:t xml:space="preserve">Half-Open: </w:t>
      </w:r>
      <w:r>
        <w:rPr>
          <w:rFonts w:ascii="Arial" w:cs="Arial" w:eastAsia="Arial" w:hAnsi="Arial"/>
          <w:sz w:val="22"/>
          <w:szCs w:val="22"/>
        </w:rPr>
        <w:t xml:space="preserve">A limited number of trial requests are allowed through. If they succeed, the breaker closes. If any fail, it re-opens.</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intelliroute/health_monitor/circuit_breaker.py</w:t>
      </w:r>
    </w:p>
    <w:p>
      <w:pPr>
        <w:pStyle w:val="Heading2"/>
        <w:spacing w:after="180" w:before="240"/>
      </w:pPr>
      <w:r>
        <w:rPr>
          <w:rFonts w:ascii="Arial" w:cs="Arial" w:eastAsia="Arial" w:hAnsi="Arial"/>
        </w:rPr>
        <w:t xml:space="preserve">4.4 EMA-Based Adaptive Feedback Loop</w:t>
      </w:r>
    </w:p>
    <w:p>
      <w:pPr>
        <w:spacing w:after="120"/>
      </w:pPr>
      <w:r>
        <w:rPr>
          <w:rFonts w:ascii="Arial" w:cs="Arial" w:eastAsia="Arial" w:hAnsi="Arial"/>
          <w:sz w:val="22"/>
          <w:szCs w:val="22"/>
        </w:rPr>
        <w:t xml:space="preserve">The Router maintains an Exponential Moving Average (EMA) of each provider’s latency, success rate, and token efficiency. This feedback data adjusts the multi-objective scoring in real time: a provider whose latency has recently spiked will see its latency sub-score drop, causing the policy to prefer alternatives. Anomaly detection flags responses with unusually high or low token-per-character ratios, which penalizes the provider’s ranking score.</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intelliroute/router/feedback.py</w:t>
      </w:r>
    </w:p>
    <w:p>
      <w:pPr>
        <w:pStyle w:val="Heading2"/>
        <w:spacing w:after="180" w:before="240"/>
      </w:pPr>
      <w:r>
        <w:rPr>
          <w:rFonts w:ascii="Arial" w:cs="Arial" w:eastAsia="Arial" w:hAnsi="Arial"/>
        </w:rPr>
        <w:t xml:space="preserve">4.5 Priority Queue with Backpressure and Load Shedding</w:t>
      </w:r>
    </w:p>
    <w:p>
      <w:pPr>
        <w:spacing w:after="120"/>
      </w:pPr>
      <w:r>
        <w:rPr>
          <w:rFonts w:ascii="Arial" w:cs="Arial" w:eastAsia="Arial" w:hAnsi="Arial"/>
          <w:sz w:val="22"/>
          <w:szCs w:val="22"/>
        </w:rPr>
        <w:t xml:space="preserve">The Router maintains an internal priority queue that maps intent types to priority levels: interactive and code requests get HIGH priority, reasoning gets MEDIUM, and batch gets LOW. When the queue depth exceeds the configured threshold, low-priority requests are shed first (load shedding). If the queue reaches maximum depth, all new requests are rejected. This provides backpressure signaling to upstream callers while ensuring high-priority interactive requests are served even under heavy load.</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intelliroute/router/queue.py</w:t>
      </w:r>
    </w:p>
    <w:p>
      <w:pPr>
        <w:pStyle w:val="Heading2"/>
        <w:spacing w:after="180" w:before="240"/>
      </w:pPr>
      <w:r>
        <w:rPr>
          <w:rFonts w:ascii="Arial" w:cs="Arial" w:eastAsia="Arial" w:hAnsi="Arial"/>
        </w:rPr>
        <w:t xml:space="preserve">4.6 Intent-Based Routing Policy</w:t>
      </w:r>
    </w:p>
    <w:p>
      <w:pPr>
        <w:spacing w:after="120"/>
      </w:pPr>
      <w:r>
        <w:rPr>
          <w:rFonts w:ascii="Arial" w:cs="Arial" w:eastAsia="Arial" w:hAnsi="Arial"/>
          <w:sz w:val="22"/>
          <w:szCs w:val="22"/>
        </w:rPr>
        <w:t xml:space="preserve">The routing policy uses intent-specific weight vectors to score providers along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189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 Weight</w:t>
            </w:r>
          </w:p>
        </w:tc>
        <w:tc>
          <w:tcPr>
            <w:tcW w:type="dxa" w:w="189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Weight</w:t>
            </w:r>
          </w:p>
        </w:tc>
        <w:tc>
          <w:tcPr>
            <w:tcW w:type="dxa" w:w="189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 Weight</w:t>
            </w:r>
          </w:p>
        </w:tc>
        <w:tc>
          <w:tcPr>
            <w:tcW w:type="dxa" w:w="189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Weight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Interactive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Reasoning</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89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89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0.3</w:t>
            </w:r>
          </w:p>
        </w:tc>
      </w:tr>
    </w:tbl>
    <w:p>
      <w:pPr>
        <w:spacing w:before="120"/>
      </w:pPr>
    </w:p>
    <w:p>
      <w:pPr>
        <w:spacing w:after="120"/>
      </w:pPr>
      <w:r>
        <w:rPr>
          <w:rFonts w:ascii="Arial" w:cs="Arial" w:eastAsia="Arial" w:hAnsi="Arial"/>
          <w:sz w:val="22"/>
          <w:szCs w:val="22"/>
        </w:rPr>
        <w:t xml:space="preserve">Providers with open circuit breakers are demoted to the end of the ranking. The latency budget parameter, when specified, zeros out providers whose average latency exceeds the budget.</w:t>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intelliroute/router/policy.py</w:t>
      </w:r>
    </w:p>
    <w:p>
      <w:r>
        <w:br w:type="page"/>
      </w:r>
    </w:p>
    <w:p>
      <w:pPr>
        <w:pStyle w:val="Heading1"/>
        <w:spacing w:after="180" w:before="360"/>
      </w:pPr>
      <w:r>
        <w:rPr>
          <w:rFonts w:ascii="Arial" w:cs="Arial" w:eastAsia="Arial" w:hAnsi="Arial"/>
        </w:rPr>
        <w:t xml:space="preserve">5. Service Detail</w:t>
      </w:r>
    </w:p>
    <w:p>
      <w:pPr>
        <w:pStyle w:val="Heading2"/>
        <w:spacing w:after="180" w:before="240"/>
      </w:pPr>
      <w:r>
        <w:rPr>
          <w:rFonts w:ascii="Arial" w:cs="Arial" w:eastAsia="Arial" w:hAnsi="Arial"/>
        </w:rPr>
        <w:t xml:space="preserve">5.1 Gateway (Port 8000)</w:t>
      </w:r>
    </w:p>
    <w:p>
      <w:pPr>
        <w:spacing w:after="120"/>
      </w:pPr>
      <w:r>
        <w:rPr>
          <w:rFonts w:ascii="Arial" w:cs="Arial" w:eastAsia="Arial" w:hAnsi="Arial"/>
          <w:sz w:val="22"/>
          <w:szCs w:val="22"/>
        </w:rPr>
        <w:t xml:space="preserve">The Gateway is the single public-facing entry point. It authenticates requests via X-API-Key headers, maps API keys to tenant identifiers, injects X-Request-Id for distributed tracing, and proxies requests to the Router. It also exposes aggregated views of cost summaries and system health by proxying to the Cost Tracker and Health Monitor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/v1/complete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an LLM completion request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/v1/cost/summary</w:t>
            </w:r>
          </w:p>
        </w:tc>
        <w:tc>
          <w:tcPr>
            <w:tcW w:type="dxa" w:w="5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Per-tenant cost rollup (tenant resolved from API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/v1/system/health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provider health snapshot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w:t>
            </w:r>
          </w:p>
        </w:tc>
        <w:tc>
          <w:tcPr>
            <w:tcW w:type="dxa" w:w="5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Liveness check</w:t>
            </w:r>
          </w:p>
        </w:tc>
      </w:tr>
    </w:tbl>
    <w:p>
      <w:pPr>
        <w:pStyle w:val="Heading2"/>
        <w:spacing w:after="180" w:before="240"/>
      </w:pPr>
      <w:r>
        <w:rPr>
          <w:rFonts w:ascii="Arial" w:cs="Arial" w:eastAsia="Arial" w:hAnsi="Arial"/>
        </w:rPr>
        <w:t xml:space="preserve">5.2 Router (Port 8001)</w:t>
      </w:r>
    </w:p>
    <w:p>
      <w:pPr>
        <w:spacing w:after="120"/>
      </w:pPr>
      <w:r>
        <w:rPr>
          <w:rFonts w:ascii="Arial" w:cs="Arial" w:eastAsia="Arial" w:hAnsi="Arial"/>
          <w:sz w:val="22"/>
          <w:szCs w:val="22"/>
        </w:rPr>
        <w:t xml:space="preserve">The Router is the decision-making core of IntelliRoute. On each request it: classifies the intent, queries the Health Monitor for provider states, queries the feedback loop for EMA metrics, applies the multi-objective scoring policy, checks rate limits for the top-ranked provider, and executes the completion against the chosen provider. If the primary provider fails or is rate-limited, the Router iterates down the fallback chain.</w:t>
      </w:r>
    </w:p>
    <w:p>
      <w:pPr>
        <w:pStyle w:val="Heading2"/>
        <w:spacing w:after="180" w:before="240"/>
      </w:pPr>
      <w:r>
        <w:rPr>
          <w:rFonts w:ascii="Arial" w:cs="Arial" w:eastAsia="Arial" w:hAnsi="Arial"/>
        </w:rPr>
        <w:t xml:space="preserve">5.3 Rate Limiter (Ports 8002, 8012, 8022)</w:t>
      </w:r>
    </w:p>
    <w:p>
      <w:pPr>
        <w:spacing w:after="120"/>
      </w:pPr>
      <w:r>
        <w:rPr>
          <w:rFonts w:ascii="Arial" w:cs="Arial" w:eastAsia="Arial" w:hAnsi="Arial"/>
          <w:sz w:val="22"/>
          <w:szCs w:val="22"/>
        </w:rPr>
        <w:t xml:space="preserve">Three replicas coordinate via the Bully election algorithm. The elected leader processes token-bucket decisions and logs each one. The /check endpoint consumes a token for a (tenant, provider) pair and returns allow/deny with an optional retry-after header. Bucket capacity and refill rates are configurable per key at runtime via the /config endpoint.</w:t>
      </w:r>
    </w:p>
    <w:p>
      <w:pPr>
        <w:pStyle w:val="Heading2"/>
        <w:spacing w:after="180" w:before="240"/>
      </w:pPr>
      <w:r>
        <w:rPr>
          <w:rFonts w:ascii="Arial" w:cs="Arial" w:eastAsia="Arial" w:hAnsi="Arial"/>
        </w:rPr>
        <w:t xml:space="preserve">5.4 Health Monitor (Port 8004)</w:t>
      </w:r>
    </w:p>
    <w:p>
      <w:pPr>
        <w:spacing w:after="120"/>
      </w:pPr>
      <w:r>
        <w:rPr>
          <w:rFonts w:ascii="Arial" w:cs="Arial" w:eastAsia="Arial" w:hAnsi="Arial"/>
          <w:sz w:val="22"/>
          <w:szCs w:val="22"/>
        </w:rPr>
        <w:t xml:space="preserve">The Health Monitor maintains per-provider circuit breakers and polls registered provider /health endpoints every 5 seconds. The /report endpoint allows the Router to report request outcomes, which drive the circuit breaker state transitions. The /snapshot endpoint exposes all breaker states for the Router’s ranking policy and the frontend dashboard.</w:t>
      </w:r>
    </w:p>
    <w:p>
      <w:pPr>
        <w:pStyle w:val="Heading2"/>
        <w:spacing w:after="180" w:before="240"/>
      </w:pPr>
      <w:r>
        <w:rPr>
          <w:rFonts w:ascii="Arial" w:cs="Arial" w:eastAsia="Arial" w:hAnsi="Arial"/>
        </w:rPr>
        <w:t xml:space="preserve">5.5 Cost Tracker (Port 8003)</w:t>
      </w:r>
    </w:p>
    <w:p>
      <w:pPr>
        <w:spacing w:after="120"/>
      </w:pPr>
      <w:r>
        <w:rPr>
          <w:rFonts w:ascii="Arial" w:cs="Arial" w:eastAsia="Arial" w:hAnsi="Arial"/>
          <w:sz w:val="22"/>
          <w:szCs w:val="22"/>
        </w:rPr>
        <w:t xml:space="preserve">The Cost Tracker receives fire-and-forget cost events from the Router after each completed request. It maintains per-tenant, per-provider rollups of request counts, token usage, and dollar costs. Tenants can set budgets, and the tracker fires a one-time alert when spending crosses the threshold.</w:t>
      </w:r>
    </w:p>
    <w:p>
      <w:pPr>
        <w:pStyle w:val="Heading2"/>
        <w:spacing w:after="180" w:before="240"/>
      </w:pPr>
      <w:r>
        <w:rPr>
          <w:rFonts w:ascii="Arial" w:cs="Arial" w:eastAsia="Arial" w:hAnsi="Arial"/>
        </w:rPr>
        <w:t xml:space="preserve">5.6 Mock Providers (Ports 9001–9003)</w:t>
      </w:r>
    </w:p>
    <w:p>
      <w:pPr>
        <w:spacing w:after="120"/>
      </w:pPr>
      <w:r>
        <w:rPr>
          <w:rFonts w:ascii="Arial" w:cs="Arial" w:eastAsia="Arial" w:hAnsi="Arial"/>
          <w:sz w:val="22"/>
          <w:szCs w:val="22"/>
        </w:rPr>
        <w:t xml:space="preserve">Three parameterized mock LLM providers simulate real-world provider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Avg Latency</w:t>
            </w:r>
          </w:p>
        </w:tc>
        <w:tc>
          <w:tcPr>
            <w:tcW w:type="dxa" w:w="2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 1K Tokens</w:t>
            </w:r>
          </w:p>
        </w:tc>
        <w:tc>
          <w:tcPr>
            <w:tcW w:type="dxa" w:w="2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mock-fast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mock-smart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120ms</w:t>
            </w:r>
          </w:p>
        </w:tc>
        <w:tc>
          <w:tcPr>
            <w:tcW w:type="dxa" w:w="26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$0.012</w:t>
            </w:r>
          </w:p>
        </w:tc>
        <w:tc>
          <w:tcPr>
            <w:tcW w:type="dxa" w:w="268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mock-cheap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r>
    </w:tbl>
    <w:p>
      <w:r>
        <w:br w:type="page"/>
      </w:r>
    </w:p>
    <w:p>
      <w:pPr>
        <w:pStyle w:val="Heading1"/>
        <w:spacing w:after="180" w:before="360"/>
      </w:pPr>
      <w:r>
        <w:rPr>
          <w:rFonts w:ascii="Arial" w:cs="Arial" w:eastAsia="Arial" w:hAnsi="Arial"/>
        </w:rPr>
        <w:t xml:space="preserve">6. Frontend Dashboard</w:t>
      </w:r>
    </w:p>
    <w:p>
      <w:pPr>
        <w:spacing w:after="120"/>
      </w:pPr>
      <w:r>
        <w:rPr>
          <w:rFonts w:ascii="Arial" w:cs="Arial" w:eastAsia="Arial" w:hAnsi="Arial"/>
          <w:sz w:val="22"/>
          <w:szCs w:val="22"/>
        </w:rPr>
        <w:t xml:space="preserve">A real-time single-page dashboard (frontend/index.html) provides a visual interface for the entire system. The dashboard features:</w:t>
      </w:r>
    </w:p>
    <w:p>
      <w:pPr>
        <w:pStyle w:val="ListParagraph"/>
        <w:numPr>
          <w:ilvl w:val="0"/>
          <w:numId w:val="2"/>
        </w:numPr>
        <w:spacing w:after="60"/>
      </w:pPr>
      <w:r>
        <w:rPr>
          <w:rFonts w:ascii="Arial" w:cs="Arial" w:eastAsia="Arial" w:hAnsi="Arial"/>
          <w:sz w:val="22"/>
          <w:szCs w:val="22"/>
        </w:rPr>
        <w:t xml:space="preserve">Chat interface with intent selection (interactive, reasoning, batch, code) and live provider metadata on each response.</w:t>
      </w:r>
    </w:p>
    <w:p>
      <w:pPr>
        <w:pStyle w:val="ListParagraph"/>
        <w:numPr>
          <w:ilvl w:val="0"/>
          <w:numId w:val="2"/>
        </w:numPr>
        <w:spacing w:after="60"/>
      </w:pPr>
      <w:r>
        <w:rPr>
          <w:rFonts w:ascii="Arial" w:cs="Arial" w:eastAsia="Arial" w:hAnsi="Arial"/>
          <w:sz w:val="22"/>
          <w:szCs w:val="22"/>
        </w:rPr>
        <w:t xml:space="preserve">Live service health banner showing the status of all eight backend services with 2-second polling.</w:t>
      </w:r>
    </w:p>
    <w:p>
      <w:pPr>
        <w:pStyle w:val="ListParagraph"/>
        <w:numPr>
          <w:ilvl w:val="0"/>
          <w:numId w:val="2"/>
        </w:numPr>
        <w:spacing w:after="60"/>
      </w:pPr>
      <w:r>
        <w:rPr>
          <w:rFonts w:ascii="Arial" w:cs="Arial" w:eastAsia="Arial" w:hAnsi="Arial"/>
          <w:sz w:val="22"/>
          <w:szCs w:val="22"/>
        </w:rPr>
        <w:t xml:space="preserve">Provider ranking cards displaying circuit breaker state, latency, error rate, and routing priority for each provider.</w:t>
      </w:r>
    </w:p>
    <w:p>
      <w:pPr>
        <w:pStyle w:val="ListParagraph"/>
        <w:numPr>
          <w:ilvl w:val="0"/>
          <w:numId w:val="2"/>
        </w:numPr>
        <w:spacing w:after="60"/>
      </w:pPr>
      <w:r>
        <w:rPr>
          <w:rFonts w:ascii="Arial" w:cs="Arial" w:eastAsia="Arial" w:hAnsi="Arial"/>
          <w:sz w:val="22"/>
          <w:szCs w:val="22"/>
        </w:rPr>
        <w:t xml:space="preserve">Cost tracker panel with per-provider cost breakdown and total spend.</w:t>
      </w:r>
    </w:p>
    <w:p>
      <w:pPr>
        <w:pStyle w:val="ListParagraph"/>
        <w:numPr>
          <w:ilvl w:val="0"/>
          <w:numId w:val="2"/>
        </w:numPr>
        <w:spacing w:after="60"/>
      </w:pPr>
      <w:r>
        <w:rPr>
          <w:rFonts w:ascii="Arial" w:cs="Arial" w:eastAsia="Arial" w:hAnsi="Arial"/>
          <w:sz w:val="22"/>
          <w:szCs w:val="22"/>
        </w:rPr>
        <w:t xml:space="preserve">Leader election status showing which rate limiter replica is the current leader.</w:t>
      </w:r>
    </w:p>
    <w:p>
      <w:pPr>
        <w:pStyle w:val="ListParagraph"/>
        <w:numPr>
          <w:ilvl w:val="0"/>
          <w:numId w:val="2"/>
        </w:numPr>
        <w:spacing w:after="60"/>
      </w:pPr>
      <w:r>
        <w:rPr>
          <w:rFonts w:ascii="Arial" w:cs="Arial" w:eastAsia="Arial" w:hAnsi="Arial"/>
          <w:sz w:val="22"/>
          <w:szCs w:val="22"/>
        </w:rPr>
        <w:t xml:space="preserve">Failure injection and recovery buttons for live demo of circuit breaker behavior.</w:t>
      </w:r>
    </w:p>
    <w:p>
      <w:pPr>
        <w:pStyle w:val="ListParagraph"/>
        <w:numPr>
          <w:ilvl w:val="0"/>
          <w:numId w:val="2"/>
        </w:numPr>
        <w:spacing w:after="120"/>
      </w:pPr>
      <w:r>
        <w:rPr>
          <w:rFonts w:ascii="Arial" w:cs="Arial" w:eastAsia="Arial" w:hAnsi="Arial"/>
          <w:sz w:val="22"/>
          <w:szCs w:val="22"/>
        </w:rPr>
        <w:t xml:space="preserve">20-request burst test for demonstrating load handling and fallback behavior under stress.</w:t>
      </w:r>
    </w:p>
    <w:p>
      <w:pPr>
        <w:pStyle w:val="Heading1"/>
        <w:spacing w:after="180" w:before="360"/>
      </w:pPr>
      <w:r>
        <w:rPr>
          <w:rFonts w:ascii="Arial" w:cs="Arial" w:eastAsia="Arial" w:hAnsi="Arial"/>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Framework</w:t>
            </w:r>
          </w:p>
        </w:tc>
        <w:tc>
          <w:tcPr>
            <w:tcW w:type="dxa" w:w="6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FastAPI with Uvicorn ASGI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HTTP Client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httpx (async)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Validation</w:t>
            </w:r>
          </w:p>
        </w:tc>
        <w:tc>
          <w:tcPr>
            <w:tcW w:type="dxa" w:w="6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Pydantic v2 with field validators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pytest-asyncio (83 tests: 73 unit + 10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Vanilla HTML/CSS/JavaScript with real-time API polling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Process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subprocess module (scripts/start_stack.py)</w:t>
            </w:r>
          </w:p>
        </w:tc>
      </w:tr>
    </w:tbl>
    <w:p>
      <w:pPr>
        <w:spacing w:before="200"/>
      </w:pPr>
    </w:p>
    <w:p>
      <w:pPr>
        <w:pStyle w:val="Heading1"/>
        <w:spacing w:after="180" w:before="360"/>
      </w:pPr>
      <w:r>
        <w:rPr>
          <w:rFonts w:ascii="Arial" w:cs="Arial" w:eastAsia="Arial" w:hAnsi="Arial"/>
        </w:rPr>
        <w:t xml:space="preserve">8. Test Coverage</w:t>
      </w:r>
    </w:p>
    <w:p>
      <w:pPr>
        <w:spacing w:after="120"/>
      </w:pPr>
      <w:r>
        <w:rPr>
          <w:rFonts w:ascii="Arial" w:cs="Arial" w:eastAsia="Arial" w:hAnsi="Arial"/>
          <w:sz w:val="22"/>
          <w:szCs w:val="22"/>
        </w:rPr>
        <w:t xml:space="preserve">The project includes 83 automated tests covering every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File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test_token_bucket.py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Bucket state, refill, capacity cap, isolation, replication log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test_circuit_breaker.py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All state transitions: closed → open → half_open → closed/open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test_election.py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Bully algorithm: challenges, victory, heartbeat, timeout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test_intent.py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Hint override, heuristic classification for all intent types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test_policy.py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Intent-specific ranking, circuit demotion, latency budget, feedback integration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test_registry.py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Register, deregister, bulk operations, overwrite behavior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test_feedback.py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convergence, success rate, anomaly detection, provider isolation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test_accounting.py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Cost rollups, budget alerts, tenant isolation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test_queue.py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mapping, capacity, load shedding, dequeue ordering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test_integration.py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Full-stack E2E: routing, failover, rate limiting, cost, auth</w:t>
            </w:r>
          </w:p>
        </w:tc>
      </w:tr>
    </w:tbl>
    <w:p>
      <w:r>
        <w:br w:type="page"/>
      </w:r>
    </w:p>
    <w:p>
      <w:pPr>
        <w:pStyle w:val="Heading1"/>
        <w:spacing w:after="180" w:before="360"/>
      </w:pPr>
      <w:r>
        <w:rPr>
          <w:rFonts w:ascii="Arial" w:cs="Arial" w:eastAsia="Arial" w:hAnsi="Arial"/>
        </w:rPr>
        <w:t xml:space="preserve">9. Course Topic Mapping</w:t>
      </w:r>
    </w:p>
    <w:p>
      <w:pPr>
        <w:spacing w:after="120"/>
      </w:pPr>
      <w:r>
        <w:rPr>
          <w:rFonts w:ascii="Arial" w:cs="Arial" w:eastAsia="Arial" w:hAnsi="Arial"/>
          <w:sz w:val="22"/>
          <w:szCs w:val="22"/>
        </w:rPr>
        <w:t xml:space="preserve">IntelliRoute directly demonstrates the following CMPE 273 distributed systems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 Topic</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IntelliRoute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 Discovery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ProviderRegistry (router/registry.py) — in-memory analogue of Consul/etcd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Sync + Async Communication</w:t>
            </w:r>
          </w:p>
        </w:tc>
        <w:tc>
          <w:tcPr>
            <w:tcW w:type="dxa" w:w="6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HTTP between gateway/router/limiter (sync); fire-and-forget cost events (async)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Leader Election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Bully algorithm across 3 rate limiter replicas (rate_limiter/election.py)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Consistency &amp; Replication</w:t>
            </w:r>
          </w:p>
        </w:tc>
        <w:tc>
          <w:tcPr>
            <w:tcW w:type="dxa" w:w="6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Strong consistency for rate limits (single leader); eventual consistency for cost rollups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Fault Tolerance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breakers per provider + router fallback chain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Backpressure &amp; Queueing</w:t>
            </w:r>
          </w:p>
        </w:tc>
        <w:tc>
          <w:tcPr>
            <w:tcW w:type="dxa" w:w="6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Priority queue with load shedding in the Router (router/queue.py)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Multi-Objective Optimization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scoring policy with intent-specific weight vectors (router/policy.py)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6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rFonts w:ascii="Arial" w:cs="Arial" w:eastAsia="Arial" w:hAnsi="Arial"/>
                <w:sz w:val="20"/>
                <w:szCs w:val="20"/>
              </w:rPr>
              <w:t xml:space="preserve">API-key auth at gateway; tenant identity rewritten from authenticated principal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Observability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logs, /snapshot endpoints, X-Request-Id propagation, live dashboard</w:t>
            </w:r>
          </w:p>
        </w:tc>
      </w:tr>
    </w:tbl>
    <w:p>
      <w:pPr>
        <w:spacing w:before="200"/>
      </w:pPr>
    </w:p>
    <w:p>
      <w:pPr>
        <w:pStyle w:val="Heading1"/>
        <w:spacing w:after="180" w:before="360"/>
      </w:pPr>
      <w:r>
        <w:rPr>
          <w:rFonts w:ascii="Arial" w:cs="Arial" w:eastAsia="Arial" w:hAnsi="Arial"/>
        </w:rPr>
        <w:t xml:space="preserve">10. Project Structure</w:t>
      </w:r>
    </w:p>
    <w:p>
      <w:pPr>
        <w:spacing w:after="120"/>
      </w:pPr>
      <w:r>
        <w:rPr>
          <w:rFonts w:ascii="Arial" w:cs="Arial" w:eastAsia="Arial" w:hAnsi="Arial"/>
          <w:sz w:val="22"/>
          <w:szCs w:val="22"/>
        </w:rPr>
        <w:t xml:space="preserve">The repository follows a clean modular layout with each service in its own package:</w:t>
      </w:r>
    </w:p>
    <w:p>
      <w:pPr>
        <w:spacing w:after="60"/>
      </w:pPr>
      <w:r>
        <w:rPr>
          <w:rFonts w:ascii="Arial" w:cs="Arial" w:eastAsia="Arial" w:hAnsi="Arial"/>
          <w:sz w:val="22"/>
          <w:szCs w:val="22"/>
        </w:rPr>
        <w:t xml:space="preserve">intelliroute/common/ — Shared Pydantic models, configuration (env vars), and structured JSON logger used by all services.</w:t>
      </w:r>
    </w:p>
    <w:p>
      <w:pPr>
        <w:spacing w:after="60"/>
      </w:pPr>
      <w:r>
        <w:rPr>
          <w:rFonts w:ascii="Arial" w:cs="Arial" w:eastAsia="Arial" w:hAnsi="Arial"/>
          <w:sz w:val="22"/>
          <w:szCs w:val="22"/>
        </w:rPr>
        <w:t xml:space="preserve">intelliroute/gateway/ — Public-facing API gateway with auth and tracing.</w:t>
      </w:r>
    </w:p>
    <w:p>
      <w:pPr>
        <w:spacing w:after="60"/>
      </w:pPr>
      <w:r>
        <w:rPr>
          <w:rFonts w:ascii="Arial" w:cs="Arial" w:eastAsia="Arial" w:hAnsi="Arial"/>
          <w:sz w:val="22"/>
          <w:szCs w:val="22"/>
        </w:rPr>
        <w:t xml:space="preserve">intelliroute/router/ — Intent classification (intent.py), scoring policy (policy.py), feedback loop (feedback.py), priority queue (queue.py), provider registry (registry.py), and the main router service (main.py).</w:t>
      </w:r>
    </w:p>
    <w:p>
      <w:pPr>
        <w:spacing w:after="60"/>
      </w:pPr>
      <w:r>
        <w:rPr>
          <w:rFonts w:ascii="Arial" w:cs="Arial" w:eastAsia="Arial" w:hAnsi="Arial"/>
          <w:sz w:val="22"/>
          <w:szCs w:val="22"/>
        </w:rPr>
        <w:t xml:space="preserve">intelliroute/rate_limiter/ — Token bucket (token_bucket.py), Bully election (election.py), and the rate limiter service (main.py).</w:t>
      </w:r>
    </w:p>
    <w:p>
      <w:pPr>
        <w:spacing w:after="60"/>
      </w:pPr>
      <w:r>
        <w:rPr>
          <w:rFonts w:ascii="Arial" w:cs="Arial" w:eastAsia="Arial" w:hAnsi="Arial"/>
          <w:sz w:val="22"/>
          <w:szCs w:val="22"/>
        </w:rPr>
        <w:t xml:space="preserve">intelliroute/health_monitor/ — Circuit breaker (circuit_breaker.py) and the health monitor service (main.py).</w:t>
      </w:r>
    </w:p>
    <w:p>
      <w:pPr>
        <w:spacing w:after="60"/>
      </w:pPr>
      <w:r>
        <w:rPr>
          <w:rFonts w:ascii="Arial" w:cs="Arial" w:eastAsia="Arial" w:hAnsi="Arial"/>
          <w:sz w:val="22"/>
          <w:szCs w:val="22"/>
        </w:rPr>
        <w:t xml:space="preserve">intelliroute/cost_tracker/ — Cost accountant (accounting.py) and the cost tracker service (main.py).</w:t>
      </w:r>
    </w:p>
    <w:p>
      <w:pPr>
        <w:spacing w:after="60"/>
      </w:pPr>
      <w:r>
        <w:rPr>
          <w:rFonts w:ascii="Arial" w:cs="Arial" w:eastAsia="Arial" w:hAnsi="Arial"/>
          <w:sz w:val="22"/>
          <w:szCs w:val="22"/>
        </w:rPr>
        <w:t xml:space="preserve">intelliroute/mock_provider/ — Parameterized mock LLM provider (main.py).</w:t>
      </w:r>
    </w:p>
    <w:p>
      <w:pPr>
        <w:spacing w:after="60"/>
      </w:pPr>
      <w:r>
        <w:rPr>
          <w:rFonts w:ascii="Arial" w:cs="Arial" w:eastAsia="Arial" w:hAnsi="Arial"/>
          <w:sz w:val="22"/>
          <w:szCs w:val="22"/>
        </w:rPr>
        <w:t xml:space="preserve">tests/ — 83 automated tests (73 unit + 10 integration).</w:t>
      </w:r>
    </w:p>
    <w:p>
      <w:pPr>
        <w:spacing w:after="120"/>
      </w:pPr>
      <w:r>
        <w:rPr>
          <w:rFonts w:ascii="Arial" w:cs="Arial" w:eastAsia="Arial" w:hAnsi="Arial"/>
          <w:sz w:val="22"/>
          <w:szCs w:val="22"/>
        </w:rPr>
        <w:t xml:space="preserve">scripts/ — Stack launcher (start_stack.py), demo client (demo.py), and test runner (run_all.py).</w:t>
      </w:r>
    </w:p>
    <w:p>
      <w:pPr>
        <w:pStyle w:val="Heading1"/>
        <w:spacing w:after="180" w:before="360"/>
      </w:pPr>
      <w:r>
        <w:rPr>
          <w:rFonts w:ascii="Arial" w:cs="Arial" w:eastAsia="Arial" w:hAnsi="Arial"/>
        </w:rPr>
        <w:t xml:space="preserve">11. Running the System</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Python 3.10+, pip. Ports 8000–8004 and 9001–9003 free on localhost.</w:t>
      </w:r>
    </w:p>
    <w:p>
      <w:pPr>
        <w:spacing w:after="60" w:before="120"/>
      </w:pPr>
    </w:p>
    <w:p>
      <w:pPr>
        <w:spacing w:after="100"/>
      </w:pPr>
      <w:r>
        <w:rPr>
          <w:rFonts w:ascii="Arial" w:cs="Arial" w:eastAsia="Arial" w:hAnsi="Arial"/>
          <w:b/>
          <w:bCs/>
          <w:sz w:val="22"/>
          <w:szCs w:val="22"/>
        </w:rPr>
        <w:t xml:space="preserve">Install dependencies: </w:t>
      </w:r>
      <w:r>
        <w:rPr>
          <w:rFonts w:ascii="Arial" w:cs="Arial" w:eastAsia="Arial" w:hAnsi="Arial"/>
          <w:sz w:val="22"/>
          <w:szCs w:val="22"/>
        </w:rPr>
        <w:t xml:space="preserve">pip install fastapi uvicorn[standard] httpx pydantic pytest pytest-asyncio</w:t>
      </w:r>
    </w:p>
    <w:p>
      <w:pPr>
        <w:spacing w:after="60" w:before="120"/>
      </w:pPr>
    </w:p>
    <w:p>
      <w:pPr>
        <w:spacing w:after="100"/>
      </w:pPr>
      <w:r>
        <w:rPr>
          <w:rFonts w:ascii="Arial" w:cs="Arial" w:eastAsia="Arial" w:hAnsi="Arial"/>
          <w:b/>
          <w:bCs/>
          <w:sz w:val="22"/>
          <w:szCs w:val="22"/>
        </w:rPr>
        <w:t xml:space="preserve">Run tests: </w:t>
      </w:r>
      <w:r>
        <w:rPr>
          <w:rFonts w:ascii="Arial" w:cs="Arial" w:eastAsia="Arial" w:hAnsi="Arial"/>
          <w:sz w:val="22"/>
          <w:szCs w:val="22"/>
        </w:rPr>
        <w:t xml:space="preserve">PYTHONPATH=. python -m pytest tests/ -v</w:t>
      </w:r>
    </w:p>
    <w:p>
      <w:pPr>
        <w:spacing w:after="60" w:before="120"/>
      </w:pPr>
    </w:p>
    <w:p>
      <w:pPr>
        <w:spacing w:after="100"/>
      </w:pPr>
      <w:r>
        <w:rPr>
          <w:rFonts w:ascii="Arial" w:cs="Arial" w:eastAsia="Arial" w:hAnsi="Arial"/>
          <w:b/>
          <w:bCs/>
          <w:sz w:val="22"/>
          <w:szCs w:val="22"/>
        </w:rPr>
        <w:t xml:space="preserve">Launch the stack: </w:t>
      </w:r>
      <w:r>
        <w:rPr>
          <w:rFonts w:ascii="Arial" w:cs="Arial" w:eastAsia="Arial" w:hAnsi="Arial"/>
          <w:sz w:val="22"/>
          <w:szCs w:val="22"/>
        </w:rPr>
        <w:t xml:space="preserve">PYTHONPATH=. python scripts/start_stack.py</w:t>
      </w:r>
    </w:p>
    <w:p>
      <w:pPr>
        <w:spacing w:after="60" w:before="120"/>
      </w:pPr>
    </w:p>
    <w:p>
      <w:pPr>
        <w:spacing w:after="100"/>
      </w:pPr>
      <w:r>
        <w:rPr>
          <w:rFonts w:ascii="Arial" w:cs="Arial" w:eastAsia="Arial" w:hAnsi="Arial"/>
          <w:b/>
          <w:bCs/>
          <w:sz w:val="22"/>
          <w:szCs w:val="22"/>
        </w:rPr>
        <w:t xml:space="preserve">Open dashboard: </w:t>
      </w:r>
      <w:r>
        <w:rPr>
          <w:rFonts w:ascii="Arial" w:cs="Arial" w:eastAsia="Arial" w:hAnsi="Arial"/>
          <w:sz w:val="22"/>
          <w:szCs w:val="22"/>
        </w:rPr>
        <w:t xml:space="preserve">http://127.0.0.1:3000</w:t>
      </w:r>
    </w:p>
    <w:p>
      <w:pPr>
        <w:spacing w:after="60" w:before="120"/>
      </w:pPr>
    </w:p>
    <w:p>
      <w:pPr>
        <w:spacing w:after="100"/>
      </w:pPr>
      <w:r>
        <w:rPr>
          <w:rFonts w:ascii="Arial" w:cs="Arial" w:eastAsia="Arial" w:hAnsi="Arial"/>
          <w:b/>
          <w:bCs/>
          <w:sz w:val="22"/>
          <w:szCs w:val="22"/>
        </w:rPr>
        <w:t xml:space="preserve">Run demo client: </w:t>
      </w:r>
      <w:r>
        <w:rPr>
          <w:rFonts w:ascii="Arial" w:cs="Arial" w:eastAsia="Arial" w:hAnsi="Arial"/>
          <w:sz w:val="22"/>
          <w:szCs w:val="22"/>
        </w:rPr>
        <w:t xml:space="preserve">PYTHONPATH=. python scripts/demo.py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566573"/>
        <w:sz w:val="18"/>
        <w:szCs w:val="18"/>
      </w:rPr>
      <w:t xml:space="preserve">IntelliRoute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2026-04-16T05:06:07.936Z</dcterms:created>
  <dcterms:modified xsi:type="dcterms:W3CDTF">2026-04-16T05:06:07.952Z</dcterms:modified>
</cp:coreProperties>
</file>

<file path=docProps/custom.xml><?xml version="1.0" encoding="utf-8"?>
<Properties xmlns="http://schemas.openxmlformats.org/officeDocument/2006/custom-properties" xmlns:vt="http://schemas.openxmlformats.org/officeDocument/2006/docPropsVTypes"/>
</file>