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color w:val="595959"/>
          <w:sz w:val="24"/>
          <w:szCs w:val="24"/>
        </w:rPr>
        <w:t xml:space="preserve">CMPE 273 – Enterprise Distributed Systems</w:t>
      </w:r>
    </w:p>
    <w:p>
      <w:pPr>
        <w:spacing w:after="400"/>
        <w:jc w:val="center"/>
      </w:pPr>
      <w:r>
        <w:rPr>
          <w:rFonts w:ascii="Arial" w:cs="Arial" w:eastAsia="Arial" w:hAnsi="Arial"/>
          <w:color w:val="595959"/>
          <w:sz w:val="26"/>
          <w:szCs w:val="26"/>
        </w:rPr>
        <w:t xml:space="preserve">Spring 2026 — Final Project Report</w:t>
      </w:r>
    </w:p>
    <w:p>
      <w:pPr>
        <w:pBdr>
          <w:top w:val="single" w:color="1F4E79" w:sz="6" w:space="8"/>
          <w:bottom w:val="single" w:color="1F4E79" w:sz="6" w:space="8"/>
        </w:pBdr>
        <w:spacing w:after="200" w:before="200"/>
        <w:jc w:val="center"/>
      </w:pPr>
      <w:r>
        <w:rPr>
          <w:rFonts w:ascii="Arial" w:cs="Arial" w:eastAsia="Arial" w:hAnsi="Arial"/>
          <w:b/>
          <w:bCs/>
          <w:color w:val="1F4E79"/>
          <w:sz w:val="60"/>
          <w:szCs w:val="60"/>
        </w:rPr>
        <w:t xml:space="preserve">IntelliRoute</w:t>
      </w:r>
    </w:p>
    <w:p>
      <w:pPr>
        <w:spacing w:after="600"/>
        <w:jc w:val="center"/>
      </w:pPr>
      <w:r>
        <w:rPr>
          <w:rFonts w:ascii="Arial" w:cs="Arial" w:eastAsia="Arial" w:hAnsi="Arial"/>
          <w:i/>
          <w:iCs/>
          <w:color w:val="595959"/>
          <w:sz w:val="26"/>
          <w:szCs w:val="26"/>
        </w:rPr>
        <w:t xml:space="preserve">A Distributed Control Plane for Multi-LLM Orchestration</w:t>
      </w:r>
    </w:p>
    <w:p>
      <w:pPr>
        <w:spacing w:after="120"/>
        <w:jc w:val="center"/>
      </w:pPr>
      <w:r>
        <w:rPr>
          <w:rFonts w:ascii="Arial" w:cs="Arial" w:eastAsia="Arial" w:hAnsi="Arial"/>
          <w:b/>
          <w:bCs/>
          <w:color w:val="595959"/>
          <w:sz w:val="22"/>
          <w:szCs w:val="22"/>
        </w:rPr>
        <w:t xml:space="preserve">Team</w:t>
      </w:r>
    </w:p>
    <w:p>
      <w:pPr>
        <w:spacing w:after="60"/>
        <w:jc w:val="center"/>
      </w:pPr>
      <w:r>
        <w:rPr>
          <w:rFonts w:ascii="Arial" w:cs="Arial" w:eastAsia="Arial" w:hAnsi="Arial"/>
          <w:color w:val="595959"/>
          <w:sz w:val="22"/>
          <w:szCs w:val="22"/>
        </w:rPr>
        <w:t xml:space="preserve">Anukrithi Myadala</w:t>
      </w:r>
    </w:p>
    <w:p>
      <w:pPr>
        <w:spacing w:after="60"/>
        <w:jc w:val="center"/>
      </w:pPr>
      <w:r>
        <w:rPr>
          <w:rFonts w:ascii="Arial" w:cs="Arial" w:eastAsia="Arial" w:hAnsi="Arial"/>
          <w:color w:val="595959"/>
          <w:sz w:val="22"/>
          <w:szCs w:val="22"/>
        </w:rPr>
        <w:t xml:space="preserve">Larry Nguyen</w:t>
      </w:r>
    </w:p>
    <w:p>
      <w:pPr>
        <w:spacing w:after="60"/>
        <w:jc w:val="center"/>
      </w:pPr>
      <w:r>
        <w:rPr>
          <w:rFonts w:ascii="Arial" w:cs="Arial" w:eastAsia="Arial" w:hAnsi="Arial"/>
          <w:color w:val="595959"/>
          <w:sz w:val="22"/>
          <w:szCs w:val="22"/>
        </w:rPr>
        <w:t xml:space="preserve">James Pham</w:t>
      </w:r>
    </w:p>
    <w:p>
      <w:pPr>
        <w:spacing w:after="400"/>
        <w:jc w:val="center"/>
      </w:pPr>
      <w:r>
        <w:rPr>
          <w:rFonts w:ascii="Arial" w:cs="Arial" w:eastAsia="Arial" w:hAnsi="Arial"/>
          <w:color w:val="595959"/>
          <w:sz w:val="22"/>
          <w:szCs w:val="22"/>
        </w:rPr>
        <w:t xml:space="preserve">Surbhi Singh</w:t>
      </w:r>
    </w:p>
    <w:p>
      <w:pPr>
        <w:jc w:val="center"/>
      </w:pPr>
      <w:r>
        <w:rPr>
          <w:rFonts w:ascii="Arial" w:cs="Arial" w:eastAsia="Arial" w:hAnsi="Arial"/>
          <w:color w:val="595959"/>
          <w:sz w:val="22"/>
          <w:szCs w:val="22"/>
        </w:rPr>
        <w:t xml:space="preserve">San José State University  —  April 2026</w:t>
      </w:r>
    </w:p>
    <w:p>
      <w:pPr>
        <w:sectPr>
          <w:pgSz w:w="12240" w:h="15840" w:orient="portrait"/>
          <w:pgMar w:top="1440" w:right="1440" w:bottom="1440" w:left="1440" w:header="708" w:footer="708" w:gutter="0"/>
          <w:pgNumType/>
          <w:docGrid w:linePitch="360"/>
        </w:sectPr>
      </w:pPr>
    </w:p>
    <w:p>
      <w:pPr>
        <w:pStyle w:val="Heading1"/>
      </w:pPr>
      <w:r>
        <w:t xml:space="preserve">1. Abstract</w:t>
      </w:r>
    </w:p>
    <w:p>
      <w:pPr>
        <w:spacing w:after="140"/>
        <w:jc w:val="both"/>
      </w:pPr>
      <w:r>
        <w:rPr>
          <w:rFonts w:ascii="Arial" w:cs="Arial" w:eastAsia="Arial" w:hAnsi="Arial"/>
          <w:color w:val="333333"/>
          <w:sz w:val="22"/>
          <w:szCs w:val="22"/>
        </w:rPr>
        <w:t xml:space="preserve">IntelliRoute is a distributed control plane for multi-LLM orchestration, built as the team’s CMPE 273 final project. The system sits between application clients and a fleet of LLM providers and turns a heterogeneous set of APIs into a single governed compute resource. It classifies each request by intent, ranks candidate providers with a multi-objective policy that balances latency, cost, capability, and historical success rate, enforces per-tenant rate limits through a distributed token bucket with a leader-owned replication log, fails over automatically when providers degrade, and publishes cost events to an eventually-consistent accounting service. The implementation comprises six service types running as eight processes and is covered by forty-two automated tests, including seven end-to-end tests that spawn the full stack as real subprocesses and exercise it over HTTP.</w:t>
      </w:r>
    </w:p>
    <w:p>
      <w:pPr>
        <w:pStyle w:val="Heading1"/>
      </w:pPr>
      <w:r>
        <w:t xml:space="preserve">2. Problem Statement</w:t>
      </w:r>
    </w:p>
    <w:p>
      <w:pPr>
        <w:spacing w:after="140"/>
        <w:jc w:val="both"/>
      </w:pPr>
      <w:r>
        <w:rPr>
          <w:rFonts w:ascii="Arial" w:cs="Arial" w:eastAsia="Arial" w:hAnsi="Arial"/>
          <w:color w:val="333333"/>
          <w:sz w:val="22"/>
          <w:szCs w:val="22"/>
        </w:rPr>
        <w:t xml:space="preserve">Modern applications increasingly rely on large language models from multiple providers. OpenAI, Anthropic, Google, and open-source models hosted locally or on third-party infrastructure each expose their own APIs, authentication schemes, rate-limit policies, latency profiles, and pricing. When an engineering team integrates more than one provider, the complexity of managing that heterogeneity quickly leaks into every service that speaks to an LLM.</w:t>
      </w:r>
    </w:p>
    <w:p>
      <w:pPr>
        <w:spacing w:after="140"/>
        <w:jc w:val="both"/>
      </w:pPr>
      <w:r>
        <w:rPr>
          <w:rFonts w:ascii="Arial" w:cs="Arial" w:eastAsia="Arial" w:hAnsi="Arial"/>
          <w:color w:val="333333"/>
          <w:sz w:val="22"/>
          <w:szCs w:val="22"/>
        </w:rPr>
        <w:t xml:space="preserve">Five distributed-systems problems dominate that complexity. First, latency across providers is unpredictable and bursty. Second, rate limits are enforced separately by each provider and must be coordinated by the caller to avoid accidental throttling. Third, costs accumulate opaquely across services and teams, making budget enforcement reactive. Fourth, every team ends up reimplementing routing, retry, and failover logic in slightly different ways. Fifth, there is no place in the architecture to do system-level optimization across heterogeneous workloads.</w:t>
      </w:r>
    </w:p>
    <w:p>
      <w:pPr>
        <w:spacing w:after="140"/>
        <w:jc w:val="both"/>
      </w:pPr>
      <w:r>
        <w:rPr>
          <w:rFonts w:ascii="Arial" w:cs="Arial" w:eastAsia="Arial" w:hAnsi="Arial"/>
          <w:color w:val="333333"/>
          <w:sz w:val="22"/>
          <w:szCs w:val="22"/>
        </w:rPr>
        <w:t xml:space="preserve">IntelliRoute reframes the problem. Rather than treating LLMs as isolated APIs, it treats them as distributed compute resources behind a control plane. The control plane owns discovery, routing, rate limiting, failover, cost accounting, and observability, and exposes a single unified API to application clients.</w:t>
      </w:r>
    </w:p>
    <w:p>
      <w:pPr>
        <w:pStyle w:val="Heading1"/>
      </w:pPr>
      <w:r>
        <w:t xml:space="preserve">3. System Overview</w:t>
      </w:r>
    </w:p>
    <w:p>
      <w:pPr>
        <w:spacing w:after="140"/>
        <w:jc w:val="both"/>
      </w:pPr>
      <w:r>
        <w:rPr>
          <w:rFonts w:ascii="Arial" w:cs="Arial" w:eastAsia="Arial" w:hAnsi="Arial"/>
          <w:color w:val="333333"/>
          <w:sz w:val="22"/>
          <w:szCs w:val="22"/>
        </w:rPr>
        <w:t xml:space="preserve">The IntelliRoute implementation consists of six service types written in Python with FastAPI. All inter-service communication happens over HTTP; the request hot path is synchronous while cost accounting is asynchronous. The full system is summarised in the table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6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Gateway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Public entry point, API-key authentication, tenant identity rewriting, request-id propagation, read-only passthroughs for cost and health</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Router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8001</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Intent classification, multi-objective provider ranking, fallback loop, rate-limit and health-monitor coordination, async cost-event publishing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Rate Limiter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8002</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Distributed token-bucket with per-key configuration, leader id, replication log for follower replay</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Cost Tracker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8003</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Async cost-event ingestion, per-tenant rollups with per-provider breakdown, budget-exceeded alerting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Health Monitor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8004</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Per-provider three-state circuit breakers, periodic liveness polling, snapshot endpoint consumed by the router</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Mock Providers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9001–9003</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Three simulated upstream LLMs with distinct latency, cost, and failure profiles; /admin/force_fail test hook</w:t>
            </w:r>
          </w:p>
        </w:tc>
      </w:tr>
    </w:tbl>
    <w:p>
      <w:pPr>
        <w:spacing w:after="80"/>
      </w:pPr>
    </w:p>
    <w:p>
      <w:pPr>
        <w:spacing w:after="140"/>
        <w:jc w:val="both"/>
      </w:pPr>
      <w:r>
        <w:rPr>
          <w:rFonts w:ascii="Arial" w:cs="Arial" w:eastAsia="Arial" w:hAnsi="Arial"/>
          <w:color w:val="333333"/>
          <w:sz w:val="22"/>
          <w:szCs w:val="22"/>
        </w:rPr>
        <w:t xml:space="preserve">The separation is deliberate. The gateway is a thin policy boundary that never makes routing decisions itself. The router owns orchestration and is the only service that fans out to providers. The rate limiter owns quota state. The health monitor owns breaker state. The cost tracker owns financial rollups. This separation of concerns is what enables independent scaling, testing, and failure isolation in a real deployment, and it lines up exactly with the separation of topics in CMPE 273.</w:t>
      </w:r>
    </w:p>
    <w:p>
      <w:pPr>
        <w:pStyle w:val="Heading1"/>
      </w:pPr>
      <w:r>
        <w:t xml:space="preserve">4. Distributed Systems Concepts Demonstrated</w:t>
      </w:r>
    </w:p>
    <w:p>
      <w:pPr>
        <w:spacing w:after="140"/>
        <w:jc w:val="both"/>
      </w:pPr>
      <w:r>
        <w:rPr>
          <w:rFonts w:ascii="Arial" w:cs="Arial" w:eastAsia="Arial" w:hAnsi="Arial"/>
          <w:color w:val="333333"/>
          <w:sz w:val="22"/>
          <w:szCs w:val="22"/>
        </w:rPr>
        <w:t xml:space="preserve">Every major topic in CMPE 273 maps to a concrete module in the codebase. The table below makes that mapping explicit so that reviewers can open the relevant file for each concept.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Course topic</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 site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Service discovery and naming</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intelliroute/router/registry.py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Synchronous communication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HTTP calls between gateway, router, rate limiter, and health monitor on the request hot path</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Asynchronous communication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Fire-and-forget cost events published from router to cost tracker via asyncio.create_task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Coordination and leader election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RateLimiterStore.leader_id plus the replication log exposed at /log for follower replay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Consistency and replication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Strong consistency for rate-limit decisions (single leader owns the counter); eventual consistency for cost rollups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Fault tolerance and graceful degradation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intelliroute/health_monitor/circuit_breaker.py and the router fallback loop</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Backpressure and queueing</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Rate limiter as explicit backpressure; router treats throttle as fallback signal rather than error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Multi-objective optimisation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intelliroute/router/policy.py, with intent-specific weight vectors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API-key authentication at the gateway; tenant identity rewritten from the authenticated principal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Observability</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333333"/>
                <w:sz w:val="20"/>
                <w:szCs w:val="20"/>
              </w:rPr>
              <w:t xml:space="preserve">Structured JSON logger, /snapshot endpoints, X-Request-Id propagation</w:t>
            </w:r>
          </w:p>
        </w:tc>
      </w:tr>
    </w:tbl>
    <w:p>
      <w:pPr>
        <w:pStyle w:val="Heading1"/>
      </w:pPr>
      <w:r>
        <w:t xml:space="preserve">5. Design Deep Dives</w:t>
      </w:r>
    </w:p>
    <w:p>
      <w:pPr>
        <w:pStyle w:val="Heading2"/>
      </w:pPr>
      <w:r>
        <w:t xml:space="preserve">5.1 Intent classification and routing policy</w:t>
      </w:r>
    </w:p>
    <w:p>
      <w:pPr>
        <w:spacing w:after="140"/>
        <w:jc w:val="both"/>
      </w:pPr>
      <w:r>
        <w:rPr>
          <w:rFonts w:ascii="Arial" w:cs="Arial" w:eastAsia="Arial" w:hAnsi="Arial"/>
          <w:color w:val="333333"/>
          <w:sz w:val="22"/>
          <w:szCs w:val="22"/>
        </w:rPr>
        <w:t xml:space="preserve">The router classifies each request into one of four intents: interactive, reasoning, batch, or code. Classification is intentionally deterministic and heuristic-based: an explicit hint from the caller wins, otherwise the classifier inspects the text for code markers (backtick blocks, function definitions, traceback keywords), batch markers (“summarize the following”, “extract”), or reasoning markers (“explain”, “analyze”, “step by step” combined with prompt length). Short conversational prompts default to interactive.</w:t>
      </w:r>
    </w:p>
    <w:p>
      <w:pPr>
        <w:spacing w:after="140"/>
        <w:jc w:val="both"/>
      </w:pPr>
      <w:r>
        <w:rPr>
          <w:rFonts w:ascii="Arial" w:cs="Arial" w:eastAsia="Arial" w:hAnsi="Arial"/>
          <w:color w:val="333333"/>
          <w:sz w:val="22"/>
          <w:szCs w:val="22"/>
        </w:rPr>
        <w:t xml:space="preserve">Once the intent is known, the routing policy ranks candidate providers with a weighted sum over four normalised sub-scores: latency, cost, capability, and success. For each intent we pick a different weight vector. Interactive prompts weight latency at 0.55 and capability at 0.20. Reasoning prompts weight capability at 0.50 and success at 0.30 while effectively ignoring cost. Batch prompts weight cost at 0.65. Code prompts weight capability at 0.45 with latency second at 0.25. Sub-scores are normalised by min-max against the currently usable provider set, so the ranking adapts to whichever providers are registered.</w:t>
      </w:r>
    </w:p>
    <w:p>
      <w:pPr>
        <w:spacing w:after="140"/>
        <w:jc w:val="both"/>
      </w:pPr>
      <w:r>
        <w:rPr>
          <w:rFonts w:ascii="Arial" w:cs="Arial" w:eastAsia="Arial" w:hAnsi="Arial"/>
          <w:color w:val="333333"/>
          <w:sz w:val="22"/>
          <w:szCs w:val="22"/>
        </w:rPr>
        <w:t xml:space="preserve">A hard latency budget passed in the request zeros out the latency sub-score for any provider whose estimated latency exceeds it, making that provider effectively unchosen unless nothing else is available. This is a cheap but effective way to honour caller-specified SLOs without introducing another optimisation dimension.</w:t>
      </w:r>
    </w:p>
    <w:p>
      <w:pPr>
        <w:pStyle w:val="Heading2"/>
      </w:pPr>
      <w:r>
        <w:t xml:space="preserve">5.2 Distributed rate limiting</w:t>
      </w:r>
    </w:p>
    <w:p>
      <w:pPr>
        <w:spacing w:after="140"/>
        <w:jc w:val="both"/>
      </w:pPr>
      <w:r>
        <w:rPr>
          <w:rFonts w:ascii="Arial" w:cs="Arial" w:eastAsia="Arial" w:hAnsi="Arial"/>
          <w:color w:val="333333"/>
          <w:sz w:val="22"/>
          <w:szCs w:val="22"/>
        </w:rPr>
        <w:t xml:space="preserve">The rate limiter is a classic token-bucket algorithm implemented as a pure, clockable Python class so that the unit tests can verify its behaviour deterministically. The enclosing RateLimiterStore owns many buckets keyed by (tenant_id, provider) and serialises all mutations through a single lock, modelling the “leader replica holds authoritative state” pattern. Every admit/deny decision is appended to a replication log which follower replicas would tail over RPC in a production deployment. In the demo we run a single leader, but the leader id and log endpoints are already in place, so adding a follower is a local change.</w:t>
      </w:r>
    </w:p>
    <w:p>
      <w:pPr>
        <w:spacing w:after="140"/>
        <w:jc w:val="both"/>
      </w:pPr>
      <w:r>
        <w:rPr>
          <w:rFonts w:ascii="Arial" w:cs="Arial" w:eastAsia="Arial" w:hAnsi="Arial"/>
          <w:color w:val="333333"/>
          <w:sz w:val="22"/>
          <w:szCs w:val="22"/>
        </w:rPr>
        <w:t xml:space="preserve">Per-key configuration can be updated at runtime via POST /config. That is how the integration test tightens the bucket for (demo-tenant, mock-cheap) to capacity one in order to demonstrate that the router falls back to a different provider when a specific (tenant, provider) pair is throttled.</w:t>
      </w:r>
    </w:p>
    <w:p>
      <w:pPr>
        <w:pStyle w:val="Heading2"/>
      </w:pPr>
      <w:r>
        <w:t xml:space="preserve">5.3 Circuit breakers and failover</w:t>
      </w:r>
    </w:p>
    <w:p>
      <w:pPr>
        <w:spacing w:after="140"/>
        <w:jc w:val="both"/>
      </w:pPr>
      <w:r>
        <w:rPr>
          <w:rFonts w:ascii="Arial" w:cs="Arial" w:eastAsia="Arial" w:hAnsi="Arial"/>
          <w:color w:val="333333"/>
          <w:sz w:val="22"/>
          <w:szCs w:val="22"/>
        </w:rPr>
        <w:t xml:space="preserve">The health monitor owns a circuit breaker per provider. Each breaker is a standard three-state machine: closed while the provider is healthy, open for a configurable cooldown after the failure threshold is crossed, and half-open during the probe phase afterwards. A sliding error window keeps track of recent outcomes and exposes an error-rate metric that the routing policy uses as the success sub-score.</w:t>
      </w:r>
    </w:p>
    <w:p>
      <w:pPr>
        <w:spacing w:after="140"/>
        <w:jc w:val="both"/>
      </w:pPr>
      <w:r>
        <w:rPr>
          <w:rFonts w:ascii="Arial" w:cs="Arial" w:eastAsia="Arial" w:hAnsi="Arial"/>
          <w:color w:val="333333"/>
          <w:sz w:val="22"/>
          <w:szCs w:val="22"/>
        </w:rPr>
        <w:t xml:space="preserve">The router consults the health-monitor snapshot at the start of every request and filters out providers whose breakers are currently open. After calling a provider the router reports the outcome back to the health monitor asynchronously, which is how the breakers trip in the live system. This loop is tested end-to-end by test_failover_when_top_provider_is_down, which flips mock-fast into failing mode via its /admin/force_fail hook and verifies that the router transparently serves subsequent requests from another provider.</w:t>
      </w:r>
    </w:p>
    <w:p>
      <w:pPr>
        <w:pStyle w:val="Heading2"/>
      </w:pPr>
      <w:r>
        <w:t xml:space="preserve">5.4 Cost accounting</w:t>
      </w:r>
    </w:p>
    <w:p>
      <w:pPr>
        <w:spacing w:after="140"/>
        <w:jc w:val="both"/>
      </w:pPr>
      <w:r>
        <w:rPr>
          <w:rFonts w:ascii="Arial" w:cs="Arial" w:eastAsia="Arial" w:hAnsi="Arial"/>
          <w:color w:val="333333"/>
          <w:sz w:val="22"/>
          <w:szCs w:val="22"/>
        </w:rPr>
        <w:t xml:space="preserve">After a successful completion the router publishes a CostEvent to the cost tracker via asyncio.create_task so that the request hot path is not blocked on the accounting write. The cost tracker maintains a per-tenant rollup with a per-provider breakdown and fires a one-shot budget-exceeded alert the first time a tenant crosses its configured budget. This is the only place in the system where we choose eventual consistency over strong consistency: the cost view a tenant sees may be slightly behind real traffic, but every event is eventually reflected. The design deliberately separates the “money” axis from the “admission” axis because the former tolerates a few hundred milliseconds of lag while the latter cannot.</w:t>
      </w:r>
    </w:p>
    <w:p>
      <w:pPr>
        <w:pStyle w:val="Heading1"/>
      </w:pPr>
      <w:r>
        <w:t xml:space="preserve">6. Bug Log: Failures Caught During Development</w:t>
      </w:r>
    </w:p>
    <w:p>
      <w:pPr>
        <w:spacing w:after="140"/>
        <w:jc w:val="both"/>
      </w:pPr>
      <w:r>
        <w:rPr>
          <w:rFonts w:ascii="Arial" w:cs="Arial" w:eastAsia="Arial" w:hAnsi="Arial"/>
          <w:color w:val="333333"/>
          <w:sz w:val="22"/>
          <w:szCs w:val="22"/>
        </w:rPr>
        <w:t xml:space="preserve">The following bugs were caught by the test suite during development and fixed before the final integration run. We are keeping them in the report because they are pedagogically useful: each illustrates a common class of distributed-systems mistake.</w:t>
      </w:r>
    </w:p>
    <w:p>
      <w:pPr>
        <w:pStyle w:val="Heading2"/>
      </w:pPr>
      <w:r>
        <w:t xml:space="preserve">6.1 Token-bucket sentinel collision with deterministic test clocks</w:t>
      </w:r>
    </w:p>
    <w:p>
      <w:pPr>
        <w:spacing w:after="140"/>
        <w:jc w:val="both"/>
      </w:pPr>
      <w:r>
        <w:rPr>
          <w:rFonts w:ascii="Arial" w:cs="Arial" w:eastAsia="Arial" w:hAnsi="Arial"/>
          <w:b/>
          <w:bCs/>
          <w:color w:val="333333"/>
          <w:sz w:val="22"/>
          <w:szCs w:val="22"/>
        </w:rPr>
        <w:t xml:space="preserve">Symptom: </w:t>
      </w:r>
      <w:r>
        <w:rPr>
          <w:rFonts w:ascii="Arial" w:cs="Arial" w:eastAsia="Arial" w:hAnsi="Arial"/>
          <w:color w:val="333333"/>
          <w:sz w:val="22"/>
          <w:szCs w:val="22"/>
        </w:rPr>
        <w:t xml:space="preserve">test_bucket_denies_when_empty_and_reports_retry_after failed because the third consume() call was allowed instead of denied.</w:t>
      </w:r>
    </w:p>
    <w:p>
      <w:pPr>
        <w:spacing w:after="140"/>
        <w:jc w:val="both"/>
      </w:pPr>
      <w:r>
        <w:rPr>
          <w:rFonts w:ascii="Arial" w:cs="Arial" w:eastAsia="Arial" w:hAnsi="Arial"/>
          <w:b/>
          <w:bCs/>
          <w:color w:val="333333"/>
          <w:sz w:val="22"/>
          <w:szCs w:val="22"/>
        </w:rPr>
        <w:t xml:space="preserve">Root cause: </w:t>
      </w:r>
      <w:r>
        <w:rPr>
          <w:rFonts w:ascii="Arial" w:cs="Arial" w:eastAsia="Arial" w:hAnsi="Arial"/>
          <w:color w:val="333333"/>
          <w:sz w:val="22"/>
          <w:szCs w:val="22"/>
        </w:rPr>
        <w:t xml:space="preserve">The TokenBucket dataclass used updated_at == 0.0 as a sentinel for “first observation, seed the bucket with capacity.” When the test drove the bucket with now=0.0 on every call, every call looked like a first observation and the bucket was repeatedly reset to its full capacity.</w:t>
      </w:r>
    </w:p>
    <w:p>
      <w:pPr>
        <w:spacing w:after="140"/>
        <w:jc w:val="both"/>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Change updated_at to Optional[float] and use None as the sentinel. A real wall clock would have hidden the bug; the deterministic test clock forced it into the open.</w:t>
      </w:r>
    </w:p>
    <w:p>
      <w:pPr>
        <w:spacing w:after="140"/>
        <w:jc w:val="both"/>
      </w:pPr>
      <w:r>
        <w:rPr>
          <w:rFonts w:ascii="Arial" w:cs="Arial" w:eastAsia="Arial" w:hAnsi="Arial"/>
          <w:b/>
          <w:bCs/>
          <w:color w:val="333333"/>
          <w:sz w:val="22"/>
          <w:szCs w:val="22"/>
        </w:rPr>
        <w:t xml:space="preserve">Lesson: </w:t>
      </w:r>
      <w:r>
        <w:rPr>
          <w:rFonts w:ascii="Arial" w:cs="Arial" w:eastAsia="Arial" w:hAnsi="Arial"/>
          <w:color w:val="333333"/>
          <w:sz w:val="22"/>
          <w:szCs w:val="22"/>
        </w:rPr>
        <w:t xml:space="preserve">When injecting a fake clock for deterministic tests, never overload a value in the clock’s range as a sentinel. Use None or a distinct type.</w:t>
      </w:r>
    </w:p>
    <w:p>
      <w:pPr>
        <w:pStyle w:val="Heading2"/>
      </w:pPr>
      <w:r>
        <w:t xml:space="preserve">6.2 Cost-alert deduplication keyed on the full message string</w:t>
      </w:r>
    </w:p>
    <w:p>
      <w:pPr>
        <w:spacing w:after="140"/>
        <w:jc w:val="both"/>
      </w:pPr>
      <w:r>
        <w:rPr>
          <w:rFonts w:ascii="Arial" w:cs="Arial" w:eastAsia="Arial" w:hAnsi="Arial"/>
          <w:b/>
          <w:bCs/>
          <w:color w:val="333333"/>
          <w:sz w:val="22"/>
          <w:szCs w:val="22"/>
        </w:rPr>
        <w:t xml:space="preserve">Symptom: </w:t>
      </w:r>
      <w:r>
        <w:rPr>
          <w:rFonts w:ascii="Arial" w:cs="Arial" w:eastAsia="Arial" w:hAnsi="Arial"/>
          <w:color w:val="333333"/>
          <w:sz w:val="22"/>
          <w:szCs w:val="22"/>
        </w:rPr>
        <w:t xml:space="preserve">test_budget_alert_fires_once_on_crossing failed: two alerts were produced for the same tenant after its budget was first crossed.</w:t>
      </w:r>
    </w:p>
    <w:p>
      <w:pPr>
        <w:spacing w:after="140"/>
        <w:jc w:val="both"/>
      </w:pPr>
      <w:r>
        <w:rPr>
          <w:rFonts w:ascii="Arial" w:cs="Arial" w:eastAsia="Arial" w:hAnsi="Arial"/>
          <w:b/>
          <w:bCs/>
          <w:color w:val="333333"/>
          <w:sz w:val="22"/>
          <w:szCs w:val="22"/>
        </w:rPr>
        <w:t xml:space="preserve">Root cause: </w:t>
      </w:r>
      <w:r>
        <w:rPr>
          <w:rFonts w:ascii="Arial" w:cs="Arial" w:eastAsia="Arial" w:hAnsi="Arial"/>
          <w:color w:val="333333"/>
          <w:sz w:val="22"/>
          <w:szCs w:val="22"/>
        </w:rPr>
        <w:t xml:space="preserve">The CostAccountant deduped alerts by checking whether the alert string was already in the alerts list. Since the alert string included the current spent amount, every additional overage produced a new unique string and a new alert.</w:t>
      </w:r>
    </w:p>
    <w:p>
      <w:pPr>
        <w:spacing w:after="140"/>
        <w:jc w:val="both"/>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Introduce a per-tenant _crossed set. Once a tenant’s id is in the set, suppress further alerts until an explicit reset. The message string still carries the spent amount for human debugging.</w:t>
      </w:r>
    </w:p>
    <w:p>
      <w:pPr>
        <w:spacing w:after="140"/>
        <w:jc w:val="both"/>
      </w:pPr>
      <w:r>
        <w:rPr>
          <w:rFonts w:ascii="Arial" w:cs="Arial" w:eastAsia="Arial" w:hAnsi="Arial"/>
          <w:b/>
          <w:bCs/>
          <w:color w:val="333333"/>
          <w:sz w:val="22"/>
          <w:szCs w:val="22"/>
        </w:rPr>
        <w:t xml:space="preserve">Lesson: </w:t>
      </w:r>
      <w:r>
        <w:rPr>
          <w:rFonts w:ascii="Arial" w:cs="Arial" w:eastAsia="Arial" w:hAnsi="Arial"/>
          <w:color w:val="333333"/>
          <w:sz w:val="22"/>
          <w:szCs w:val="22"/>
        </w:rPr>
        <w:t xml:space="preserve">Never dedupe on a field that contains a time-varying value. Dedupe on the logical event (this tenant has crossed), not on its cosmetic representation.</w:t>
      </w:r>
    </w:p>
    <w:p>
      <w:pPr>
        <w:pStyle w:val="Heading2"/>
      </w:pPr>
      <w:r>
        <w:t xml:space="preserve">6.3 Other issues caught before commit</w:t>
      </w:r>
    </w:p>
    <w:p>
      <w:pPr>
        <w:pStyle w:val="ListParagraph"/>
        <w:numPr>
          <w:ilvl w:val="0"/>
          <w:numId w:val="2"/>
        </w:numPr>
        <w:spacing w:after="80"/>
      </w:pPr>
      <w:r>
        <w:rPr>
          <w:rFonts w:ascii="Arial" w:cs="Arial" w:eastAsia="Arial" w:hAnsi="Arial"/>
          <w:color w:val="333333"/>
          <w:sz w:val="22"/>
          <w:szCs w:val="22"/>
        </w:rPr>
        <w:t xml:space="preserve">Environment-variable collision in the first single-process stack runner. The three mock providers read MOCK_NAME, MOCK_MODEL, etc. at import time, so running them in the same Python process caused later imports to see the last-written values. Fixed by giving each provider its own subprocess in scripts/start_stack.py.</w:t>
      </w:r>
    </w:p>
    <w:p>
      <w:pPr>
        <w:pStyle w:val="ListParagraph"/>
        <w:numPr>
          <w:ilvl w:val="0"/>
          <w:numId w:val="2"/>
        </w:numPr>
        <w:spacing w:after="80"/>
      </w:pPr>
      <w:r>
        <w:rPr>
          <w:rFonts w:ascii="Arial" w:cs="Arial" w:eastAsia="Arial" w:hAnsi="Arial"/>
          <w:color w:val="333333"/>
          <w:sz w:val="22"/>
          <w:szCs w:val="22"/>
        </w:rPr>
        <w:t xml:space="preserve">httpx.post(..., params={"success": True}) was initially rejected by FastAPI because the boolean was serialised as “True” rather than “true.” Fixed by explicitly stringifying to lowercase in the router before the call.</w:t>
      </w:r>
    </w:p>
    <w:p>
      <w:pPr>
        <w:pStyle w:val="ListParagraph"/>
        <w:numPr>
          <w:ilvl w:val="0"/>
          <w:numId w:val="2"/>
        </w:numPr>
        <w:spacing w:after="80"/>
      </w:pPr>
      <w:r>
        <w:rPr>
          <w:rFonts w:ascii="Arial" w:cs="Arial" w:eastAsia="Arial" w:hAnsi="Arial"/>
          <w:color w:val="333333"/>
          <w:sz w:val="22"/>
          <w:szCs w:val="22"/>
        </w:rPr>
        <w:t xml:space="preserve">The router was initially returning the raw exception text from httpx errors back to the gateway, which in turn returned 500s with HTML bodies. Fixed by catching every upstream exception in the router and classifying it explicitly as provider_failed.</w:t>
      </w:r>
    </w:p>
    <w:p>
      <w:pPr>
        <w:pStyle w:val="ListParagraph"/>
        <w:numPr>
          <w:ilvl w:val="0"/>
          <w:numId w:val="2"/>
        </w:numPr>
        <w:spacing w:after="80"/>
      </w:pPr>
      <w:r>
        <w:rPr>
          <w:rFonts w:ascii="Arial" w:cs="Arial" w:eastAsia="Arial" w:hAnsi="Arial"/>
          <w:color w:val="333333"/>
          <w:sz w:val="22"/>
          <w:szCs w:val="22"/>
        </w:rPr>
        <w:t xml:space="preserve">The CI-style fast test run completed in under two seconds, which initially looked suspicious (42 tests including integration). We manually verified subprocess lifecycle by running a single uvicorn instance out-of-band and hitting /health, then reconfirmed the integration suite was really starting and tearing down services on ephemeral ports.</w:t>
      </w:r>
    </w:p>
    <w:p>
      <w:pPr>
        <w:pStyle w:val="Heading1"/>
      </w:pPr>
      <w:r>
        <w:t xml:space="preserve">7. Test Strategy and Results</w:t>
      </w:r>
    </w:p>
    <w:p>
      <w:pPr>
        <w:spacing w:after="140"/>
        <w:jc w:val="both"/>
      </w:pPr>
      <w:r>
        <w:rPr>
          <w:rFonts w:ascii="Arial" w:cs="Arial" w:eastAsia="Arial" w:hAnsi="Arial"/>
          <w:color w:val="333333"/>
          <w:sz w:val="22"/>
          <w:szCs w:val="22"/>
        </w:rPr>
        <w:t xml:space="preserve">The project carries two tiers of tests: fast deterministic unit tests of the pure algorithmic core, and slower integration tests that launch the full system as real subprocesses and exercise it over HTTP. Both tiers run in the same pytest invocation.</w:t>
      </w:r>
    </w:p>
    <w:p>
      <w:pPr>
        <w:pStyle w:val="Heading2"/>
      </w:pPr>
      <w:r>
        <w:t xml:space="preserve">7.1 Unit tests</w:t>
      </w:r>
    </w:p>
    <w:p>
      <w:pPr>
        <w:spacing w:after="140"/>
        <w:jc w:val="both"/>
      </w:pPr>
      <w:r>
        <w:rPr>
          <w:rFonts w:ascii="Arial" w:cs="Arial" w:eastAsia="Arial" w:hAnsi="Arial"/>
          <w:color w:val="333333"/>
          <w:sz w:val="22"/>
          <w:szCs w:val="22"/>
        </w:rPr>
        <w:t xml:space="preserve">The unit tests are deterministic and do not touch the network. They cover the token bucket, the circuit breaker, the intent classifier, the multi-objective routing policy, the provider registry, and the cost accountant. A fake clock is injected into the bucket and breaker tests to make them repeatable. There are thirty-five unit tests in total.</w:t>
      </w:r>
    </w:p>
    <w:p>
      <w:pPr>
        <w:pStyle w:val="Heading2"/>
      </w:pPr>
      <w:r>
        <w:t xml:space="preserve">7.2 Integration tests</w:t>
      </w:r>
    </w:p>
    <w:p>
      <w:pPr>
        <w:spacing w:after="140"/>
        <w:jc w:val="both"/>
      </w:pPr>
      <w:r>
        <w:rPr>
          <w:rFonts w:ascii="Arial" w:cs="Arial" w:eastAsia="Arial" w:hAnsi="Arial"/>
          <w:color w:val="333333"/>
          <w:sz w:val="22"/>
          <w:szCs w:val="22"/>
        </w:rPr>
        <w:t xml:space="preserve">The integration suite lives in tests/test_integration.py. A module-scoped fixture allocates ephemeral ports, spawns eight uvicorn subprocesses (three mock providers plus the five core services), and waits for each /health endpoint to become reachable. The tests then exercise end-to-end behaviours: intent-aware routing for interactive and batch prompts, the ranking returned by /decide, automatic failover when the top-ranked provider is forced into failing mode, distributed rate limiting when the bucket is tightened at runtime, eventual consistency of the cost rollup, and rejection of unauthenticated requests.</w:t>
      </w:r>
    </w:p>
    <w:p>
      <w:pPr>
        <w:pStyle w:val="Heading2"/>
      </w:pPr>
      <w:r>
        <w:t xml:space="preserve">7.3 Results</w:t>
      </w:r>
    </w:p>
    <w:p>
      <w:pPr>
        <w:spacing w:after="140"/>
        <w:jc w:val="both"/>
      </w:pPr>
      <w:r>
        <w:rPr>
          <w:rFonts w:ascii="Arial" w:cs="Arial" w:eastAsia="Arial" w:hAnsi="Arial"/>
          <w:color w:val="333333"/>
          <w:sz w:val="22"/>
          <w:szCs w:val="22"/>
        </w:rPr>
        <w:t xml:space="preserve">On the final run the whole suite completes in under two seconds on a developer laptop and all forty-two tests pass.</w:t>
      </w:r>
    </w:p>
    <w:p>
      <w:pPr>
        <w:spacing w:after="80"/>
      </w:pPr>
    </w:p>
    <w:p>
      <w:pPr>
        <w:shd w:fill="F2F2F2" w:val="clear"/>
        <w:spacing w:after="100"/>
      </w:pPr>
      <w:r>
        <w:rPr>
          <w:rFonts w:ascii="Consolas" w:cs="Consolas" w:eastAsia="Consolas" w:hAnsi="Consolas"/>
          <w:color w:val="333333"/>
          <w:sz w:val="20"/>
          <w:szCs w:val="20"/>
        </w:rPr>
        <w:t xml:space="preserve">$ PYTHONPATH=. python3 -m pytest tests/ -q</w:t>
      </w:r>
    </w:p>
    <w:p>
      <w:pPr>
        <w:shd w:fill="F2F2F2" w:val="clear"/>
        <w:spacing w:after="100"/>
      </w:pPr>
      <w:r>
        <w:rPr>
          <w:rFonts w:ascii="Consolas" w:cs="Consolas" w:eastAsia="Consolas" w:hAnsi="Consolas"/>
          <w:color w:val="333333"/>
          <w:sz w:val="20"/>
          <w:szCs w:val="20"/>
        </w:rPr>
        <w:t xml:space="preserve">.......................................... [100%]</w:t>
      </w:r>
    </w:p>
    <w:p>
      <w:pPr>
        <w:shd w:fill="F2F2F2" w:val="clear"/>
        <w:spacing w:after="100"/>
      </w:pPr>
      <w:r>
        <w:rPr>
          <w:rFonts w:ascii="Consolas" w:cs="Consolas" w:eastAsia="Consolas" w:hAnsi="Consolas"/>
          <w:color w:val="333333"/>
          <w:sz w:val="20"/>
          <w:szCs w:val="20"/>
        </w:rPr>
        <w:t xml:space="preserve">42 passed in 1.74s</w:t>
      </w:r>
    </w:p>
    <w:p>
      <w:pPr>
        <w:spacing w:after="80"/>
      </w:pPr>
    </w:p>
    <w:p>
      <w:pPr>
        <w:spacing w:after="140"/>
        <w:jc w:val="both"/>
      </w:pPr>
      <w:r>
        <w:rPr>
          <w:rFonts w:ascii="Arial" w:cs="Arial" w:eastAsia="Arial" w:hAnsi="Arial"/>
          <w:color w:val="333333"/>
          <w:sz w:val="22"/>
          <w:szCs w:val="22"/>
        </w:rPr>
        <w:t xml:space="preserve">The live demo script (scripts/demo.py) exercises the same paths interactively and prints the routing decisions and cost summary. A representative run is reproduced in section 8.</w:t>
      </w:r>
    </w:p>
    <w:p>
      <w:pPr>
        <w:pStyle w:val="Heading1"/>
      </w:pPr>
      <w:r>
        <w:t xml:space="preserve">8. Live Demo Walkthrough</w:t>
      </w:r>
    </w:p>
    <w:p>
      <w:pPr>
        <w:spacing w:after="140"/>
        <w:jc w:val="both"/>
      </w:pPr>
      <w:r>
        <w:rPr>
          <w:rFonts w:ascii="Arial" w:cs="Arial" w:eastAsia="Arial" w:hAnsi="Arial"/>
          <w:color w:val="333333"/>
          <w:sz w:val="22"/>
          <w:szCs w:val="22"/>
        </w:rPr>
        <w:t xml:space="preserve">With the stack running, the demo client sends four prompts that exercise each intent. The printed decisions show that the multi-objective policy is doing what we expect: interactive and code requests go to mock-fast because it is the fastest provider, the reasoning request goes to mock-smart because it has the highest capability for reasoning, and the batch request goes to mock-cheap because batch weights cost most heavily.</w:t>
      </w:r>
    </w:p>
    <w:p>
      <w:pPr>
        <w:spacing w:after="80"/>
      </w:pPr>
    </w:p>
    <w:p>
      <w:pPr>
        <w:shd w:fill="F2F2F2" w:val="clear"/>
        <w:spacing w:after="100"/>
      </w:pPr>
      <w:r>
        <w:rPr>
          <w:rFonts w:ascii="Consolas" w:cs="Consolas" w:eastAsia="Consolas" w:hAnsi="Consolas"/>
          <w:color w:val="333333"/>
          <w:sz w:val="20"/>
          <w:szCs w:val="20"/>
        </w:rPr>
        <w:t xml:space="preserve">[interactive small-talk] -&gt; mock-fast (fast-1)   latency=35ms  cost=$0.000024 fallback=False</w:t>
      </w:r>
    </w:p>
    <w:p>
      <w:pPr>
        <w:shd w:fill="F2F2F2" w:val="clear"/>
        <w:spacing w:after="100"/>
      </w:pPr>
      <w:r>
        <w:rPr>
          <w:rFonts w:ascii="Consolas" w:cs="Consolas" w:eastAsia="Consolas" w:hAnsi="Consolas"/>
          <w:color w:val="333333"/>
          <w:sz w:val="20"/>
          <w:szCs w:val="20"/>
        </w:rPr>
        <w:t xml:space="preserve">[reasoning]              -&gt; mock-smart (smart-1) latency=138ms cost=$0.001560 fallback=False</w:t>
      </w:r>
    </w:p>
    <w:p>
      <w:pPr>
        <w:shd w:fill="F2F2F2" w:val="clear"/>
        <w:spacing w:after="100"/>
      </w:pPr>
      <w:r>
        <w:rPr>
          <w:rFonts w:ascii="Consolas" w:cs="Consolas" w:eastAsia="Consolas" w:hAnsi="Consolas"/>
          <w:color w:val="333333"/>
          <w:sz w:val="20"/>
          <w:szCs w:val="20"/>
        </w:rPr>
        <w:t xml:space="preserve">[batch summarisation]    -&gt; mock-cheap (cheap-1) latency=95ms  cost=$0.000006 fallback=False</w:t>
      </w:r>
    </w:p>
    <w:p>
      <w:pPr>
        <w:shd w:fill="F2F2F2" w:val="clear"/>
        <w:spacing w:after="100"/>
      </w:pPr>
      <w:r>
        <w:rPr>
          <w:rFonts w:ascii="Consolas" w:cs="Consolas" w:eastAsia="Consolas" w:hAnsi="Consolas"/>
          <w:color w:val="333333"/>
          <w:sz w:val="20"/>
          <w:szCs w:val="20"/>
        </w:rPr>
        <w:t xml:space="preserve">[code]                   -&gt; mock-fast (fast-1)   latency=26ms  cost=$0.000044 fallback=False</w:t>
      </w:r>
    </w:p>
    <w:p>
      <w:pPr>
        <w:spacing w:after="80"/>
      </w:pPr>
    </w:p>
    <w:p>
      <w:pPr>
        <w:spacing w:after="140"/>
        <w:jc w:val="both"/>
      </w:pPr>
      <w:r>
        <w:rPr>
          <w:rFonts w:ascii="Arial" w:cs="Arial" w:eastAsia="Arial" w:hAnsi="Arial"/>
          <w:color w:val="333333"/>
          <w:sz w:val="22"/>
          <w:szCs w:val="22"/>
        </w:rPr>
        <w:t xml:space="preserve">The cost summary query hits the gateway, which proxies to the cost tracker, which has been receiving async cost events throughout the run. The summary reflects all four completions with a per-provider breakdown.</w:t>
      </w:r>
    </w:p>
    <w:p>
      <w:pPr>
        <w:spacing w:after="80"/>
      </w:pPr>
    </w:p>
    <w:p>
      <w:pPr>
        <w:shd w:fill="F2F2F2" w:val="clear"/>
        <w:spacing w:after="100"/>
      </w:pPr>
      <w:r>
        <w:rPr>
          <w:rFonts w:ascii="Consolas" w:cs="Consolas" w:eastAsia="Consolas" w:hAnsi="Consolas"/>
          <w:color w:val="333333"/>
          <w:sz w:val="20"/>
          <w:szCs w:val="20"/>
        </w:rPr>
        <w:t xml:space="preserve">total_requests: 4</w:t>
      </w:r>
    </w:p>
    <w:p>
      <w:pPr>
        <w:shd w:fill="F2F2F2" w:val="clear"/>
        <w:spacing w:after="100"/>
      </w:pPr>
      <w:r>
        <w:rPr>
          <w:rFonts w:ascii="Consolas" w:cs="Consolas" w:eastAsia="Consolas" w:hAnsi="Consolas"/>
          <w:color w:val="333333"/>
          <w:sz w:val="20"/>
          <w:szCs w:val="20"/>
        </w:rPr>
        <w:t xml:space="preserve">total_tokens:   133</w:t>
      </w:r>
    </w:p>
    <w:p>
      <w:pPr>
        <w:shd w:fill="F2F2F2" w:val="clear"/>
        <w:spacing w:after="100"/>
      </w:pPr>
      <w:r>
        <w:rPr>
          <w:rFonts w:ascii="Consolas" w:cs="Consolas" w:eastAsia="Consolas" w:hAnsi="Consolas"/>
          <w:color w:val="333333"/>
          <w:sz w:val="20"/>
          <w:szCs w:val="20"/>
        </w:rPr>
        <w:t xml:space="preserve">total_cost_usd: 0.001634</w:t>
      </w:r>
    </w:p>
    <w:p>
      <w:pPr>
        <w:shd w:fill="F2F2F2" w:val="clear"/>
        <w:spacing w:after="100"/>
      </w:pPr>
      <w:r>
        <w:rPr>
          <w:rFonts w:ascii="Consolas" w:cs="Consolas" w:eastAsia="Consolas" w:hAnsi="Consolas"/>
          <w:color w:val="333333"/>
          <w:sz w:val="20"/>
          <w:szCs w:val="20"/>
        </w:rPr>
        <w:t xml:space="preserve">by_provider:   { mock-fast: 6.8e-05, mock-smart: 0.00156, mock-cheap: 6e-06 }</w:t>
      </w:r>
    </w:p>
    <w:p>
      <w:pPr>
        <w:pStyle w:val="Heading1"/>
      </w:pPr>
      <w:r>
        <w:t xml:space="preserve">9. Team Contributions</w:t>
      </w:r>
    </w:p>
    <w:p>
      <w:pPr>
        <w:spacing w:after="140"/>
        <w:jc w:val="both"/>
      </w:pPr>
      <w:r>
        <w:rPr>
          <w:rFonts w:ascii="Arial" w:cs="Arial" w:eastAsia="Arial" w:hAnsi="Arial"/>
          <w:color w:val="333333"/>
          <w:sz w:val="22"/>
          <w:szCs w:val="22"/>
        </w:rPr>
        <w:t xml:space="preserve">Work on IntelliRoute was divided across four subsystem owners. Every teammate is the primary author of their modules and their corresponding tests. Pull requests were reviewed by at least one other teammate, and the report, demo, and presentation were authored jointly.</w:t>
      </w:r>
    </w:p>
    <w:p>
      <w:pPr>
        <w:pStyle w:val="Heading2"/>
      </w:pPr>
      <w:r>
        <w:t xml:space="preserve">9.1 Anukrithi Myadala — Gateway, shared infrastructure, and cross-cutting concerns</w:t>
      </w:r>
    </w:p>
    <w:p>
      <w:pPr>
        <w:pStyle w:val="ListParagraph"/>
        <w:numPr>
          <w:ilvl w:val="0"/>
          <w:numId w:val="2"/>
        </w:numPr>
        <w:spacing w:after="80"/>
      </w:pPr>
      <w:r>
        <w:rPr>
          <w:rFonts w:ascii="Arial" w:cs="Arial" w:eastAsia="Arial" w:hAnsi="Arial"/>
          <w:color w:val="333333"/>
          <w:sz w:val="22"/>
          <w:szCs w:val="22"/>
        </w:rPr>
        <w:t xml:space="preserve">Designed the shared Pydantic data model in intelliroute/common/models.py so every service speaks the same wire format.</w:t>
      </w:r>
    </w:p>
    <w:p>
      <w:pPr>
        <w:pStyle w:val="ListParagraph"/>
        <w:numPr>
          <w:ilvl w:val="0"/>
          <w:numId w:val="2"/>
        </w:numPr>
        <w:spacing w:after="80"/>
      </w:pPr>
      <w:r>
        <w:rPr>
          <w:rFonts w:ascii="Arial" w:cs="Arial" w:eastAsia="Arial" w:hAnsi="Arial"/>
          <w:color w:val="333333"/>
          <w:sz w:val="22"/>
          <w:szCs w:val="22"/>
        </w:rPr>
        <w:t xml:space="preserve">Implemented intelliroute/common/config.py (environment-driven settings, port allocation, service URLs).</w:t>
      </w:r>
    </w:p>
    <w:p>
      <w:pPr>
        <w:pStyle w:val="ListParagraph"/>
        <w:numPr>
          <w:ilvl w:val="0"/>
          <w:numId w:val="2"/>
        </w:numPr>
        <w:spacing w:after="80"/>
      </w:pPr>
      <w:r>
        <w:rPr>
          <w:rFonts w:ascii="Arial" w:cs="Arial" w:eastAsia="Arial" w:hAnsi="Arial"/>
          <w:color w:val="333333"/>
          <w:sz w:val="22"/>
          <w:szCs w:val="22"/>
        </w:rPr>
        <w:t xml:space="preserve">Built the structured JSON logger in intelliroute/common/logging.py used by every service.</w:t>
      </w:r>
    </w:p>
    <w:p>
      <w:pPr>
        <w:pStyle w:val="ListParagraph"/>
        <w:numPr>
          <w:ilvl w:val="0"/>
          <w:numId w:val="2"/>
        </w:numPr>
        <w:spacing w:after="80"/>
      </w:pPr>
      <w:r>
        <w:rPr>
          <w:rFonts w:ascii="Arial" w:cs="Arial" w:eastAsia="Arial" w:hAnsi="Arial"/>
          <w:color w:val="333333"/>
          <w:sz w:val="22"/>
          <w:szCs w:val="22"/>
        </w:rPr>
        <w:t xml:space="preserve">Wrote the API Gateway (intelliroute/gateway/main.py): API-key authentication, tenant identity rewriting, X-Request-Id trace propagation, cost-summary and system-health passthroughs.</w:t>
      </w:r>
    </w:p>
    <w:p>
      <w:pPr>
        <w:pStyle w:val="ListParagraph"/>
        <w:numPr>
          <w:ilvl w:val="0"/>
          <w:numId w:val="2"/>
        </w:numPr>
        <w:spacing w:after="80"/>
      </w:pPr>
      <w:r>
        <w:rPr>
          <w:rFonts w:ascii="Arial" w:cs="Arial" w:eastAsia="Arial" w:hAnsi="Arial"/>
          <w:color w:val="333333"/>
          <w:sz w:val="22"/>
          <w:szCs w:val="22"/>
        </w:rPr>
        <w:t xml:space="preserve">Wrote scripts/start_stack.py and scripts/demo.py and authored the README “Quick start for teammates” walkthrough.</w:t>
      </w:r>
    </w:p>
    <w:p>
      <w:pPr>
        <w:pStyle w:val="Heading2"/>
      </w:pPr>
      <w:r>
        <w:t xml:space="preserve">9.2 Larry Nguyen — Router service, routing policy, and intent classification</w:t>
      </w:r>
    </w:p>
    <w:p>
      <w:pPr>
        <w:pStyle w:val="ListParagraph"/>
        <w:numPr>
          <w:ilvl w:val="0"/>
          <w:numId w:val="2"/>
        </w:numPr>
        <w:spacing w:after="80"/>
      </w:pPr>
      <w:r>
        <w:rPr>
          <w:rFonts w:ascii="Arial" w:cs="Arial" w:eastAsia="Arial" w:hAnsi="Arial"/>
          <w:color w:val="333333"/>
          <w:sz w:val="22"/>
          <w:szCs w:val="22"/>
        </w:rPr>
        <w:t xml:space="preserve">Implemented the intent classifier in intelliroute/router/intent.py (hint-first, then code, batch, reasoning, and interactive heuristics).</w:t>
      </w:r>
    </w:p>
    <w:p>
      <w:pPr>
        <w:pStyle w:val="ListParagraph"/>
        <w:numPr>
          <w:ilvl w:val="0"/>
          <w:numId w:val="2"/>
        </w:numPr>
        <w:spacing w:after="80"/>
      </w:pPr>
      <w:r>
        <w:rPr>
          <w:rFonts w:ascii="Arial" w:cs="Arial" w:eastAsia="Arial" w:hAnsi="Arial"/>
          <w:color w:val="333333"/>
          <w:sz w:val="22"/>
          <w:szCs w:val="22"/>
        </w:rPr>
        <w:t xml:space="preserve">Built the multi-objective routing policy in intelliroute/router/policy.py: normalised sub-scores for latency, cost, capability, and success rate with intent-specific weight vectors.</w:t>
      </w:r>
    </w:p>
    <w:p>
      <w:pPr>
        <w:pStyle w:val="ListParagraph"/>
        <w:numPr>
          <w:ilvl w:val="0"/>
          <w:numId w:val="2"/>
        </w:numPr>
        <w:spacing w:after="80"/>
      </w:pPr>
      <w:r>
        <w:rPr>
          <w:rFonts w:ascii="Arial" w:cs="Arial" w:eastAsia="Arial" w:hAnsi="Arial"/>
          <w:color w:val="333333"/>
          <w:sz w:val="22"/>
          <w:szCs w:val="22"/>
        </w:rPr>
        <w:t xml:space="preserve">Implemented the provider registry in intelliroute/router/registry.py (the in-memory analogue of Consul/etcd).</w:t>
      </w:r>
    </w:p>
    <w:p>
      <w:pPr>
        <w:pStyle w:val="ListParagraph"/>
        <w:numPr>
          <w:ilvl w:val="0"/>
          <w:numId w:val="2"/>
        </w:numPr>
        <w:spacing w:after="80"/>
      </w:pPr>
      <w:r>
        <w:rPr>
          <w:rFonts w:ascii="Arial" w:cs="Arial" w:eastAsia="Arial" w:hAnsi="Arial"/>
          <w:color w:val="333333"/>
          <w:sz w:val="22"/>
          <w:szCs w:val="22"/>
        </w:rPr>
        <w:t xml:space="preserve">Wrote the router service itself (intelliroute/router/main.py): bootstrap of the three mock providers, fallback loop that skips rate-limited or unhealthy providers, async reporting to the health monitor, and async cost-event publishing.</w:t>
      </w:r>
    </w:p>
    <w:p>
      <w:pPr>
        <w:pStyle w:val="ListParagraph"/>
        <w:numPr>
          <w:ilvl w:val="0"/>
          <w:numId w:val="2"/>
        </w:numPr>
        <w:spacing w:after="80"/>
      </w:pPr>
      <w:r>
        <w:rPr>
          <w:rFonts w:ascii="Arial" w:cs="Arial" w:eastAsia="Arial" w:hAnsi="Arial"/>
          <w:color w:val="333333"/>
          <w:sz w:val="22"/>
          <w:szCs w:val="22"/>
        </w:rPr>
        <w:t xml:space="preserve">Authored tests/test_intent.py, tests/test_policy.py, and tests/test_registry.py (eighteen unit tests).</w:t>
      </w:r>
    </w:p>
    <w:p>
      <w:pPr>
        <w:pStyle w:val="Heading2"/>
      </w:pPr>
      <w:r>
        <w:t xml:space="preserve">9.3 James Pham — Rate limiter, health monitor, leader/replication, circuit breakers</w:t>
      </w:r>
    </w:p>
    <w:p>
      <w:pPr>
        <w:pStyle w:val="ListParagraph"/>
        <w:numPr>
          <w:ilvl w:val="0"/>
          <w:numId w:val="2"/>
        </w:numPr>
        <w:spacing w:after="80"/>
      </w:pPr>
      <w:r>
        <w:rPr>
          <w:rFonts w:ascii="Arial" w:cs="Arial" w:eastAsia="Arial" w:hAnsi="Arial"/>
          <w:color w:val="333333"/>
          <w:sz w:val="22"/>
          <w:szCs w:val="22"/>
        </w:rPr>
        <w:t xml:space="preserve">Implemented the TokenBucket and RateLimiterStore including leader id and replication log.</w:t>
      </w:r>
    </w:p>
    <w:p>
      <w:pPr>
        <w:pStyle w:val="ListParagraph"/>
        <w:numPr>
          <w:ilvl w:val="0"/>
          <w:numId w:val="2"/>
        </w:numPr>
        <w:spacing w:after="80"/>
      </w:pPr>
      <w:r>
        <w:rPr>
          <w:rFonts w:ascii="Arial" w:cs="Arial" w:eastAsia="Arial" w:hAnsi="Arial"/>
          <w:color w:val="333333"/>
          <w:sz w:val="22"/>
          <w:szCs w:val="22"/>
        </w:rPr>
        <w:t xml:space="preserve">Wrote the rate limiter service (intelliroute/rate_limiter/main.py) with /check, /config, /leader, and /log endpoints.</w:t>
      </w:r>
    </w:p>
    <w:p>
      <w:pPr>
        <w:pStyle w:val="ListParagraph"/>
        <w:numPr>
          <w:ilvl w:val="0"/>
          <w:numId w:val="2"/>
        </w:numPr>
        <w:spacing w:after="80"/>
      </w:pPr>
      <w:r>
        <w:rPr>
          <w:rFonts w:ascii="Arial" w:cs="Arial" w:eastAsia="Arial" w:hAnsi="Arial"/>
          <w:color w:val="333333"/>
          <w:sz w:val="22"/>
          <w:szCs w:val="22"/>
        </w:rPr>
        <w:t xml:space="preserve">Implemented the three-state circuit breaker with sliding error window.</w:t>
      </w:r>
    </w:p>
    <w:p>
      <w:pPr>
        <w:pStyle w:val="ListParagraph"/>
        <w:numPr>
          <w:ilvl w:val="0"/>
          <w:numId w:val="2"/>
        </w:numPr>
        <w:spacing w:after="80"/>
      </w:pPr>
      <w:r>
        <w:rPr>
          <w:rFonts w:ascii="Arial" w:cs="Arial" w:eastAsia="Arial" w:hAnsi="Arial"/>
          <w:color w:val="333333"/>
          <w:sz w:val="22"/>
          <w:szCs w:val="22"/>
        </w:rPr>
        <w:t xml:space="preserve">Wrote the health monitor service (intelliroute/health_monitor/main.py) with /report, /snapshot, and a periodic background polling loop.</w:t>
      </w:r>
    </w:p>
    <w:p>
      <w:pPr>
        <w:pStyle w:val="ListParagraph"/>
        <w:numPr>
          <w:ilvl w:val="0"/>
          <w:numId w:val="2"/>
        </w:numPr>
        <w:spacing w:after="80"/>
      </w:pPr>
      <w:r>
        <w:rPr>
          <w:rFonts w:ascii="Arial" w:cs="Arial" w:eastAsia="Arial" w:hAnsi="Arial"/>
          <w:color w:val="333333"/>
          <w:sz w:val="22"/>
          <w:szCs w:val="22"/>
        </w:rPr>
        <w:t xml:space="preserve">Authored tests/test_token_bucket.py and tests/test_circuit_breaker.py (thirteen unit tests).</w:t>
      </w:r>
    </w:p>
    <w:p>
      <w:pPr>
        <w:pStyle w:val="Heading2"/>
      </w:pPr>
      <w:r>
        <w:t xml:space="preserve">9.4 Surbhi Singh — Cost tracker, mock providers, observability, and integration testing</w:t>
      </w:r>
    </w:p>
    <w:p>
      <w:pPr>
        <w:pStyle w:val="ListParagraph"/>
        <w:numPr>
          <w:ilvl w:val="0"/>
          <w:numId w:val="2"/>
        </w:numPr>
        <w:spacing w:after="80"/>
      </w:pPr>
      <w:r>
        <w:rPr>
          <w:rFonts w:ascii="Arial" w:cs="Arial" w:eastAsia="Arial" w:hAnsi="Arial"/>
          <w:color w:val="333333"/>
          <w:sz w:val="22"/>
          <w:szCs w:val="22"/>
        </w:rPr>
        <w:t xml:space="preserve">Implemented the CostAccountant with per-tenant rollups, per-provider breakdown, and budget-exceeded alerting.</w:t>
      </w:r>
    </w:p>
    <w:p>
      <w:pPr>
        <w:pStyle w:val="ListParagraph"/>
        <w:numPr>
          <w:ilvl w:val="0"/>
          <w:numId w:val="2"/>
        </w:numPr>
        <w:spacing w:after="80"/>
      </w:pPr>
      <w:r>
        <w:rPr>
          <w:rFonts w:ascii="Arial" w:cs="Arial" w:eastAsia="Arial" w:hAnsi="Arial"/>
          <w:color w:val="333333"/>
          <w:sz w:val="22"/>
          <w:szCs w:val="22"/>
        </w:rPr>
        <w:t xml:space="preserve">Wrote the cost tracker service with /events, /summary/{tenant_id}, /budget, and /alerts.</w:t>
      </w:r>
    </w:p>
    <w:p>
      <w:pPr>
        <w:pStyle w:val="ListParagraph"/>
        <w:numPr>
          <w:ilvl w:val="0"/>
          <w:numId w:val="2"/>
        </w:numPr>
        <w:spacing w:after="80"/>
      </w:pPr>
      <w:r>
        <w:rPr>
          <w:rFonts w:ascii="Arial" w:cs="Arial" w:eastAsia="Arial" w:hAnsi="Arial"/>
          <w:color w:val="333333"/>
          <w:sz w:val="22"/>
          <w:szCs w:val="22"/>
        </w:rPr>
        <w:t xml:space="preserve">Built the parametrised mock LLM provider with configurable latency, jitter, failure rate, and cost per 1K tokens, plus the /admin/force_fail test hook.</w:t>
      </w:r>
    </w:p>
    <w:p>
      <w:pPr>
        <w:pStyle w:val="ListParagraph"/>
        <w:numPr>
          <w:ilvl w:val="0"/>
          <w:numId w:val="2"/>
        </w:numPr>
        <w:spacing w:after="80"/>
      </w:pPr>
      <w:r>
        <w:rPr>
          <w:rFonts w:ascii="Arial" w:cs="Arial" w:eastAsia="Arial" w:hAnsi="Arial"/>
          <w:color w:val="333333"/>
          <w:sz w:val="22"/>
          <w:szCs w:val="22"/>
        </w:rPr>
        <w:t xml:space="preserve">Authored tests/test_accounting.py (four unit tests).</w:t>
      </w:r>
    </w:p>
    <w:p>
      <w:pPr>
        <w:pStyle w:val="ListParagraph"/>
        <w:numPr>
          <w:ilvl w:val="0"/>
          <w:numId w:val="2"/>
        </w:numPr>
        <w:spacing w:after="80"/>
      </w:pPr>
      <w:r>
        <w:rPr>
          <w:rFonts w:ascii="Arial" w:cs="Arial" w:eastAsia="Arial" w:hAnsi="Arial"/>
          <w:color w:val="333333"/>
          <w:sz w:val="22"/>
          <w:szCs w:val="22"/>
        </w:rPr>
        <w:t xml:space="preserve">Authored tests/test_integration.py — the seven end-to-end tests that spawn the full eight-process stack on ephemeral ports.</w:t>
      </w:r>
    </w:p>
    <w:p>
      <w:pPr>
        <w:pStyle w:val="ListParagraph"/>
        <w:numPr>
          <w:ilvl w:val="0"/>
          <w:numId w:val="2"/>
        </w:numPr>
        <w:spacing w:after="80"/>
      </w:pPr>
      <w:r>
        <w:rPr>
          <w:rFonts w:ascii="Arial" w:cs="Arial" w:eastAsia="Arial" w:hAnsi="Arial"/>
          <w:color w:val="333333"/>
          <w:sz w:val="22"/>
          <w:szCs w:val="22"/>
        </w:rPr>
        <w:t xml:space="preserve">Led the failure-mode demo scripts documented in the README Quick Start, step 5.</w:t>
      </w:r>
    </w:p>
    <w:p>
      <w:pPr>
        <w:pStyle w:val="Heading2"/>
      </w:pPr>
      <w:r>
        <w:t xml:space="preserve">9.5 Joint contributions</w:t>
      </w:r>
    </w:p>
    <w:p>
      <w:pPr>
        <w:pStyle w:val="ListParagraph"/>
        <w:numPr>
          <w:ilvl w:val="0"/>
          <w:numId w:val="2"/>
        </w:numPr>
        <w:spacing w:after="80"/>
      </w:pPr>
      <w:r>
        <w:rPr>
          <w:rFonts w:ascii="Arial" w:cs="Arial" w:eastAsia="Arial" w:hAnsi="Arial"/>
          <w:color w:val="333333"/>
          <w:sz w:val="22"/>
          <w:szCs w:val="22"/>
        </w:rPr>
        <w:t xml:space="preserve">Architecture design and weekly integration reviews.</w:t>
      </w:r>
    </w:p>
    <w:p>
      <w:pPr>
        <w:pStyle w:val="ListParagraph"/>
        <w:numPr>
          <w:ilvl w:val="0"/>
          <w:numId w:val="2"/>
        </w:numPr>
        <w:spacing w:after="80"/>
      </w:pPr>
      <w:r>
        <w:rPr>
          <w:rFonts w:ascii="Arial" w:cs="Arial" w:eastAsia="Arial" w:hAnsi="Arial"/>
          <w:color w:val="333333"/>
          <w:sz w:val="22"/>
          <w:szCs w:val="22"/>
        </w:rPr>
        <w:t xml:space="preserve">The final report, including the bug log in section 6.</w:t>
      </w:r>
    </w:p>
    <w:p>
      <w:pPr>
        <w:pStyle w:val="ListParagraph"/>
        <w:numPr>
          <w:ilvl w:val="0"/>
          <w:numId w:val="2"/>
        </w:numPr>
        <w:spacing w:after="80"/>
      </w:pPr>
      <w:r>
        <w:rPr>
          <w:rFonts w:ascii="Arial" w:cs="Arial" w:eastAsia="Arial" w:hAnsi="Arial"/>
          <w:color w:val="333333"/>
          <w:sz w:val="22"/>
          <w:szCs w:val="22"/>
        </w:rPr>
        <w:t xml:space="preserve">Final demo preparation and class presentation.</w:t>
      </w:r>
    </w:p>
    <w:p>
      <w:pPr>
        <w:pStyle w:val="Heading1"/>
      </w:pPr>
      <w:r>
        <w:t xml:space="preserve">10. Scope and Simplifications</w:t>
      </w:r>
    </w:p>
    <w:p>
      <w:pPr>
        <w:spacing w:after="140"/>
        <w:jc w:val="both"/>
      </w:pPr>
      <w:r>
        <w:rPr>
          <w:rFonts w:ascii="Arial" w:cs="Arial" w:eastAsia="Arial" w:hAnsi="Arial"/>
          <w:color w:val="333333"/>
          <w:sz w:val="22"/>
          <w:szCs w:val="22"/>
        </w:rPr>
        <w:t xml:space="preserve">For the scope of a one-semester project the team deliberately stopped short of a few pieces that would have been required for a production deployment. A real Raft implementation is replaced by a single-leader rate limiter that still exposes the leader id and replication log; adding a follower that tails the log is a local change. Persistent storage is replaced by in-memory state, so restarting a service resets it; pointing the accountant and the bucket store at Redis or Postgres is a single-file change. The intent classifier is a set of deterministic heuristics rather than a learned model, which makes it trivially unit testable and avoids an external dependency. And the upstream providers are parametrised mocks rather than real OpenAI/Anthropic endpoints, which makes the integration tests deterministic and keeps the project free of API keys. Each of these decisions is an explicit tradeoff and is documented in the README.</w:t>
      </w:r>
    </w:p>
    <w:p>
      <w:pPr>
        <w:pStyle w:val="Heading1"/>
      </w:pPr>
      <w:r>
        <w:t xml:space="preserve">11. How to Run and Test</w:t>
      </w:r>
    </w:p>
    <w:p>
      <w:pPr>
        <w:spacing w:after="140"/>
        <w:jc w:val="both"/>
      </w:pPr>
      <w:r>
        <w:rPr>
          <w:rFonts w:ascii="Arial" w:cs="Arial" w:eastAsia="Arial" w:hAnsi="Arial"/>
          <w:color w:val="333333"/>
          <w:sz w:val="22"/>
          <w:szCs w:val="22"/>
        </w:rPr>
        <w:t xml:space="preserve">The README contains a step-by-step walkthrough, reproduced here in compressed form. Prerequisites are Python 3.10+ and free localhost ports 8000–8004 and 9001–9003. From the project root, create a virtualenv, install the handful of dependencies, and run the test suite.</w:t>
      </w:r>
    </w:p>
    <w:p>
      <w:pPr>
        <w:spacing w:after="80"/>
      </w:pPr>
    </w:p>
    <w:p>
      <w:pPr>
        <w:shd w:fill="F2F2F2" w:val="clear"/>
        <w:spacing w:after="100"/>
      </w:pPr>
      <w:r>
        <w:rPr>
          <w:rFonts w:ascii="Consolas" w:cs="Consolas" w:eastAsia="Consolas" w:hAnsi="Consolas"/>
          <w:color w:val="333333"/>
          <w:sz w:val="20"/>
          <w:szCs w:val="20"/>
        </w:rPr>
        <w:t xml:space="preserve">python3 -m venv .venv &amp;&amp; source .venv/bin/activate</w:t>
      </w:r>
    </w:p>
    <w:p>
      <w:pPr>
        <w:shd w:fill="F2F2F2" w:val="clear"/>
        <w:spacing w:after="100"/>
      </w:pPr>
      <w:r>
        <w:rPr>
          <w:rFonts w:ascii="Consolas" w:cs="Consolas" w:eastAsia="Consolas" w:hAnsi="Consolas"/>
          <w:color w:val="333333"/>
          <w:sz w:val="20"/>
          <w:szCs w:val="20"/>
        </w:rPr>
        <w:t xml:space="preserve">pip install fastapi "uvicorn[standard]" httpx pydantic pytest pytest-asyncio</w:t>
      </w:r>
    </w:p>
    <w:p>
      <w:pPr>
        <w:shd w:fill="F2F2F2" w:val="clear"/>
        <w:spacing w:after="100"/>
      </w:pPr>
      <w:r>
        <w:rPr>
          <w:rFonts w:ascii="Consolas" w:cs="Consolas" w:eastAsia="Consolas" w:hAnsi="Consolas"/>
          <w:color w:val="333333"/>
          <w:sz w:val="20"/>
          <w:szCs w:val="20"/>
        </w:rPr>
        <w:t xml:space="preserve">PYTHONPATH=. python3 -m pytest tests/ -v</w:t>
      </w:r>
    </w:p>
    <w:p>
      <w:pPr>
        <w:spacing w:after="80"/>
      </w:pPr>
    </w:p>
    <w:p>
      <w:pPr>
        <w:spacing w:after="140"/>
        <w:jc w:val="both"/>
      </w:pPr>
      <w:r>
        <w:rPr>
          <w:rFonts w:ascii="Arial" w:cs="Arial" w:eastAsia="Arial" w:hAnsi="Arial"/>
          <w:color w:val="333333"/>
          <w:sz w:val="22"/>
          <w:szCs w:val="22"/>
        </w:rPr>
        <w:t xml:space="preserve">To run the live system, start the stack in one terminal and the demo client in another.</w:t>
      </w:r>
    </w:p>
    <w:p>
      <w:pPr>
        <w:spacing w:after="80"/>
      </w:pPr>
    </w:p>
    <w:p>
      <w:pPr>
        <w:shd w:fill="F2F2F2" w:val="clear"/>
        <w:spacing w:after="100"/>
      </w:pPr>
      <w:r>
        <w:rPr>
          <w:rFonts w:ascii="Consolas" w:cs="Consolas" w:eastAsia="Consolas" w:hAnsi="Consolas"/>
          <w:color w:val="333333"/>
          <w:sz w:val="20"/>
          <w:szCs w:val="20"/>
        </w:rPr>
        <w:t xml:space="preserve"># terminal 1</w:t>
      </w:r>
    </w:p>
    <w:p>
      <w:pPr>
        <w:shd w:fill="F2F2F2" w:val="clear"/>
        <w:spacing w:after="100"/>
      </w:pPr>
      <w:r>
        <w:rPr>
          <w:rFonts w:ascii="Consolas" w:cs="Consolas" w:eastAsia="Consolas" w:hAnsi="Consolas"/>
          <w:color w:val="333333"/>
          <w:sz w:val="20"/>
          <w:szCs w:val="20"/>
        </w:rPr>
        <w:t xml:space="preserve">PYTHONPATH=. python3 scripts/start_stack.py</w:t>
      </w:r>
    </w:p>
    <w:p>
      <w:pPr>
        <w:shd w:fill="F2F2F2" w:val="clear"/>
        <w:spacing w:after="100"/>
      </w:pPr>
      <w:r>
        <w:rPr>
          <w:rFonts w:ascii="Consolas" w:cs="Consolas" w:eastAsia="Consolas" w:hAnsi="Consolas"/>
          <w:color w:val="333333"/>
          <w:sz w:val="20"/>
          <w:szCs w:val="20"/>
        </w:rPr>
        <w:t xml:space="preserve"/>
      </w:r>
    </w:p>
    <w:p>
      <w:pPr>
        <w:shd w:fill="F2F2F2" w:val="clear"/>
        <w:spacing w:after="100"/>
      </w:pPr>
      <w:r>
        <w:rPr>
          <w:rFonts w:ascii="Consolas" w:cs="Consolas" w:eastAsia="Consolas" w:hAnsi="Consolas"/>
          <w:color w:val="333333"/>
          <w:sz w:val="20"/>
          <w:szCs w:val="20"/>
        </w:rPr>
        <w:t xml:space="preserve"># terminal 2</w:t>
      </w:r>
    </w:p>
    <w:p>
      <w:pPr>
        <w:shd w:fill="F2F2F2" w:val="clear"/>
        <w:spacing w:after="100"/>
      </w:pPr>
      <w:r>
        <w:rPr>
          <w:rFonts w:ascii="Consolas" w:cs="Consolas" w:eastAsia="Consolas" w:hAnsi="Consolas"/>
          <w:color w:val="333333"/>
          <w:sz w:val="20"/>
          <w:szCs w:val="20"/>
        </w:rPr>
        <w:t xml:space="preserve">PYTHONPATH=. python3 scripts/demo.py</w:t>
      </w:r>
    </w:p>
    <w:p>
      <w:pPr>
        <w:spacing w:after="80"/>
      </w:pPr>
    </w:p>
    <w:p>
      <w:pPr>
        <w:spacing w:after="140"/>
        <w:jc w:val="both"/>
      </w:pPr>
      <w:r>
        <w:rPr>
          <w:rFonts w:ascii="Arial" w:cs="Arial" w:eastAsia="Arial" w:hAnsi="Arial"/>
          <w:color w:val="333333"/>
          <w:sz w:val="22"/>
          <w:szCs w:val="22"/>
        </w:rPr>
        <w:t xml:space="preserve">The README “Quick start for teammates” section includes curl recipes for exercising failover, rate limiting, cost rollups, and the leader/replication log endpoints directly, so a live class demo can be driven entirely from a single terminal.</w:t>
      </w:r>
    </w:p>
    <w:p>
      <w:pPr>
        <w:pStyle w:val="Heading1"/>
      </w:pPr>
      <w:r>
        <w:t xml:space="preserve">12. Conclusion</w:t>
      </w:r>
    </w:p>
    <w:p>
      <w:pPr>
        <w:spacing w:after="140"/>
        <w:jc w:val="both"/>
      </w:pPr>
      <w:r>
        <w:rPr>
          <w:rFonts w:ascii="Arial" w:cs="Arial" w:eastAsia="Arial" w:hAnsi="Arial"/>
          <w:color w:val="333333"/>
          <w:sz w:val="22"/>
          <w:szCs w:val="22"/>
        </w:rPr>
        <w:t xml:space="preserve">IntelliRoute demonstrates that a small but carefully decomposed multi-service system can exercise nearly every major theme of an enterprise distributed-systems course without becoming an unmanageable prototype. The routing policy turns a fleet of heterogeneous LLMs into a single governed compute resource; the rate limiter and circuit breakers provide the admission-control backbone; the cost tracker demonstrates the eventually-consistent side of the system; and the integration suite proves that the pieces work together end-to-end. The bug log in section 6 documents the real mistakes the team made along the way, each of which is a concrete illustration of a well-known failure mode in distributed engineering. The project is ready to be scaled up with a real Raft implementation, a persistent store, a learned intent classifier, and real upstream providers, and every one of those extensions is a local change thanks to the separation of concerns documented throughout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i/>
        <w:iCs/>
        <w:color w:val="595959"/>
        <w:sz w:val="18"/>
        <w:szCs w:val="18"/>
      </w:rPr>
      <w:t xml:space="preserve">IntelliRoute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2026-04-10T00:41:51.701Z</dcterms:created>
  <dcterms:modified xsi:type="dcterms:W3CDTF">2026-04-10T00:41:51.703Z</dcterms:modified>
</cp:coreProperties>
</file>

<file path=docProps/custom.xml><?xml version="1.0" encoding="utf-8"?>
<Properties xmlns="http://schemas.openxmlformats.org/officeDocument/2006/custom-properties" xmlns:vt="http://schemas.openxmlformats.org/officeDocument/2006/docPropsVTypes"/>
</file>