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BBBBB" w:sz="1"/>
              <w:left w:val="single" w:color="BBBBBB" w:sz="1"/>
              <w:bottom w:val="single" w:color="BBBBBB" w:sz="1"/>
              <w:right w:val="single" w:color="BBBBBB" w:sz="1"/>
            </w:tcBorders>
            <w:shd w:fill="1F4E79" w:val="clear"/>
            <w:tcMar>
              <w:top w:type="dxa" w:w="200"/>
              <w:left w:type="dxa" w:w="300"/>
              <w:bottom w:type="dxa" w:w="200"/>
              <w:right w:type="dxa" w:w="300"/>
            </w:tcMar>
            <w:vAlign w:val="center"/>
          </w:tcPr>
          <w:p>
            <w:pPr>
              <w:jc w:val="center"/>
            </w:pPr>
            <w:r>
              <w:rPr>
                <w:rFonts w:ascii="Arial" w:cs="Arial" w:eastAsia="Arial" w:hAnsi="Arial"/>
                <w:b/>
                <w:bCs/>
                <w:color w:val="FFFFFF"/>
                <w:sz w:val="36"/>
                <w:szCs w:val="36"/>
              </w:rPr>
              <w:t xml:space="preserve">PROJECT SYNOPSIS</w:t>
            </w:r>
          </w:p>
          <w:p>
            <w:pPr>
              <w:spacing w:before="60"/>
              <w:jc w:val="center"/>
            </w:pPr>
            <w:r>
              <w:rPr>
                <w:rFonts w:ascii="Arial" w:cs="Arial" w:eastAsia="Arial" w:hAnsi="Arial"/>
                <w:color w:val="D6E4F0"/>
                <w:sz w:val="22"/>
                <w:szCs w:val="22"/>
              </w:rPr>
              <w:t xml:space="preserve">AI &amp; ML Laboratory | MCA Part 1 – Semester 2</w:t>
            </w:r>
          </w:p>
          <w:p>
            <w:pPr>
              <w:jc w:val="center"/>
            </w:pPr>
            <w:r>
              <w:rPr>
                <w:rFonts w:ascii="Arial" w:cs="Arial" w:eastAsia="Arial" w:hAnsi="Arial"/>
                <w:color w:val="D6E4F0"/>
                <w:sz w:val="20"/>
                <w:szCs w:val="20"/>
              </w:rPr>
              <w:t xml:space="preserve">Goa Business School, Goa University</w:t>
            </w:r>
          </w:p>
        </w:tc>
      </w:tr>
    </w:tbl>
    <w:p>
      <w:pPr>
        <w:spacing w:after="0" w:before="160"/>
      </w:pPr>
    </w:p>
    <w:p>
      <w:pPr>
        <w:pBdr>
          <w:bottom w:val="single" w:color="2E86AB" w:sz="8" w:space="2"/>
        </w:pBdr>
        <w:spacing w:after="100" w:before="200"/>
      </w:pPr>
      <w:r>
        <w:rPr>
          <w:rFonts w:ascii="Arial" w:cs="Arial" w:eastAsia="Arial" w:hAnsi="Arial"/>
          <w:b/>
          <w:bCs/>
          <w:color w:val="1F4E79"/>
          <w:sz w:val="26"/>
          <w:szCs w:val="26"/>
        </w:rPr>
        <w:t xml:space="preserve">1. Title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BBBBB" w:sz="1"/>
              <w:left w:val="single" w:color="BBBBBB" w:sz="1"/>
              <w:bottom w:val="single" w:color="BBBBBB" w:sz="1"/>
              <w:right w:val="single" w:color="BBBBBB" w:sz="1"/>
            </w:tcBorders>
            <w:shd w:fill="D6E4F0" w:val="clear"/>
            <w:tcMar>
              <w:top w:type="dxa" w:w="100"/>
              <w:left w:type="dxa" w:w="200"/>
              <w:bottom w:type="dxa" w:w="100"/>
              <w:right w:type="dxa" w:w="200"/>
            </w:tcMar>
          </w:tcPr>
          <w:p>
            <w:pPr>
              <w:jc w:val="center"/>
            </w:pPr>
            <w:r>
              <w:rPr>
                <w:rFonts w:ascii="Arial" w:cs="Arial" w:eastAsia="Arial" w:hAnsi="Arial"/>
                <w:b/>
                <w:bCs/>
                <w:color w:val="1F4E79"/>
                <w:sz w:val="26"/>
                <w:szCs w:val="26"/>
              </w:rPr>
              <w:t xml:space="preserve">Fresh Fruit Detection Using Transfer Learning (MobileNetV2)</w:t>
            </w:r>
          </w:p>
        </w:tc>
      </w:tr>
    </w:tbl>
    <w:p>
      <w:pPr>
        <w:spacing w:after="0" w:before="120"/>
      </w:pPr>
    </w:p>
    <w:p>
      <w:pPr>
        <w:pBdr>
          <w:bottom w:val="single" w:color="2E86AB" w:sz="8" w:space="2"/>
        </w:pBdr>
        <w:spacing w:after="100" w:before="200"/>
      </w:pPr>
      <w:r>
        <w:rPr>
          <w:rFonts w:ascii="Arial" w:cs="Arial" w:eastAsia="Arial" w:hAnsi="Arial"/>
          <w:b/>
          <w:bCs/>
          <w:color w:val="1F4E79"/>
          <w:sz w:val="26"/>
          <w:szCs w:val="26"/>
        </w:rPr>
        <w:t xml:space="preserve">2. Group Members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Borders>
              <w:top w:val="single" w:color="BBBBBB" w:sz="1"/>
              <w:left w:val="single" w:color="BBBBBB" w:sz="1"/>
              <w:bottom w:val="single" w:color="BBBBBB" w:sz="1"/>
              <w:right w:val="single" w:color="BBBBBB"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Name</w:t>
            </w:r>
          </w:p>
        </w:tc>
        <w:tc>
          <w:tcPr>
            <w:tcBorders>
              <w:top w:val="single" w:color="BBBBBB" w:sz="1"/>
              <w:left w:val="single" w:color="BBBBBB" w:sz="1"/>
              <w:bottom w:val="single" w:color="BBBBBB" w:sz="1"/>
              <w:right w:val="single" w:color="BBBBBB"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Roll No. / Details</w:t>
            </w:r>
          </w:p>
        </w:tc>
      </w:tr>
      <w:tr>
        <w:tc>
          <w:tcPr>
            <w:tcBorders>
              <w:top w:val="single" w:color="BBBBBB" w:sz="1"/>
              <w:left w:val="single" w:color="BBBBBB" w:sz="1"/>
              <w:bottom w:val="single" w:color="BBBBBB" w:sz="1"/>
              <w:right w:val="single" w:color="BBBBBB" w:sz="1"/>
            </w:tcBorders>
            <w:shd w:fill="F0F7FF" w:val="clear"/>
            <w:tcMar>
              <w:top w:type="dxa" w:w="80"/>
              <w:left w:type="dxa" w:w="160"/>
              <w:bottom w:type="dxa" w:w="80"/>
              <w:right w:type="dxa" w:w="160"/>
            </w:tcMar>
          </w:tcPr>
          <w:p>
            <w:r>
              <w:rPr>
                <w:rFonts w:ascii="Arial" w:cs="Arial" w:eastAsia="Arial" w:hAnsi="Arial"/>
                <w:color w:val="1A1A2E"/>
                <w:sz w:val="22"/>
                <w:szCs w:val="22"/>
              </w:rPr>
              <w:t xml:space="preserve">Anushka Marcelo</w:t>
            </w:r>
          </w:p>
        </w:tc>
        <w:tc>
          <w:tcPr>
            <w:tcBorders>
              <w:top w:val="single" w:color="BBBBBB" w:sz="1"/>
              <w:left w:val="single" w:color="BBBBBB" w:sz="1"/>
              <w:bottom w:val="single" w:color="BBBBBB" w:sz="1"/>
              <w:right w:val="single" w:color="BBBBBB" w:sz="1"/>
            </w:tcBorders>
            <w:shd w:fill="F0F7FF" w:val="clear"/>
            <w:tcMar>
              <w:top w:type="dxa" w:w="80"/>
              <w:left w:type="dxa" w:w="160"/>
              <w:bottom w:type="dxa" w:w="80"/>
              <w:right w:type="dxa" w:w="160"/>
            </w:tcMar>
          </w:tcPr>
          <w:p>
            <w:r>
              <w:rPr>
                <w:rFonts w:ascii="Arial" w:cs="Arial" w:eastAsia="Arial" w:hAnsi="Arial"/>
                <w:color w:val="1A1A2E"/>
                <w:sz w:val="22"/>
                <w:szCs w:val="22"/>
              </w:rPr>
              <w:t xml:space="preserve">MCA Part 1, Semester 2 (Solo Project)</w:t>
            </w:r>
          </w:p>
        </w:tc>
      </w:tr>
    </w:tbl>
    <w:p>
      <w:pPr>
        <w:spacing w:after="0" w:before="120"/>
      </w:pPr>
    </w:p>
    <w:p>
      <w:pPr>
        <w:pBdr>
          <w:bottom w:val="single" w:color="2E86AB" w:sz="8" w:space="2"/>
        </w:pBdr>
        <w:spacing w:after="100" w:before="200"/>
      </w:pPr>
      <w:r>
        <w:rPr>
          <w:rFonts w:ascii="Arial" w:cs="Arial" w:eastAsia="Arial" w:hAnsi="Arial"/>
          <w:b/>
          <w:bCs/>
          <w:color w:val="1F4E79"/>
          <w:sz w:val="26"/>
          <w:szCs w:val="26"/>
        </w:rPr>
        <w:t xml:space="preserve">3. Problem Statement</w:t>
      </w:r>
    </w:p>
    <w:p>
      <w:pPr>
        <w:spacing w:after="60" w:before="60"/>
      </w:pPr>
      <w:r>
        <w:rPr>
          <w:rFonts w:ascii="Arial" w:cs="Arial" w:eastAsia="Arial" w:hAnsi="Arial"/>
          <w:b w:val="false"/>
          <w:bCs w:val="false"/>
          <w:color w:val="1A1A2E"/>
          <w:sz w:val="22"/>
          <w:szCs w:val="22"/>
        </w:rPr>
        <w:t xml:space="preserve">The agricultural and retail industries face significant challenges in assessing fruit freshness accurately and efficiently. Traditional manual inspection methods are time-consuming, subjective, inconsistent, and prone to human error, leading to food wastage, revenue loss, and health risks for consumers. Perishable fruits, if not identified and separated promptly, contaminate surrounding produce, escalating losses across the supply chain.</w:t>
      </w:r>
    </w:p>
    <w:p>
      <w:pPr>
        <w:spacing w:after="40" w:before="60"/>
      </w:pPr>
      <w:r>
        <w:rPr>
          <w:rFonts w:ascii="Arial" w:cs="Arial" w:eastAsia="Arial" w:hAnsi="Arial"/>
          <w:b/>
          <w:bCs/>
          <w:color w:val="1A1A2E"/>
          <w:sz w:val="22"/>
          <w:szCs w:val="22"/>
        </w:rPr>
        <w:t xml:space="preserve">This project addresses the following key challenges:</w:t>
      </w:r>
    </w:p>
    <w:p>
      <w:pPr>
        <w:pStyle w:val="ListParagraph"/>
        <w:numPr>
          <w:ilvl w:val="0"/>
          <w:numId w:val="2"/>
        </w:numPr>
        <w:spacing w:after="40" w:before="40"/>
      </w:pPr>
      <w:r>
        <w:rPr>
          <w:rFonts w:ascii="Arial" w:cs="Arial" w:eastAsia="Arial" w:hAnsi="Arial"/>
          <w:color w:val="1A1A2E"/>
          <w:sz w:val="22"/>
          <w:szCs w:val="22"/>
        </w:rPr>
        <w:t xml:space="preserve">Lack of a fast, automated, and reliable system for distinguishing fresh from rotten fruits.</w:t>
      </w:r>
    </w:p>
    <w:p>
      <w:pPr>
        <w:pStyle w:val="ListParagraph"/>
        <w:numPr>
          <w:ilvl w:val="0"/>
          <w:numId w:val="2"/>
        </w:numPr>
        <w:spacing w:after="40" w:before="40"/>
      </w:pPr>
      <w:r>
        <w:rPr>
          <w:rFonts w:ascii="Arial" w:cs="Arial" w:eastAsia="Arial" w:hAnsi="Arial"/>
          <w:color w:val="1A1A2E"/>
          <w:sz w:val="22"/>
          <w:szCs w:val="22"/>
        </w:rPr>
        <w:t xml:space="preserve">Inconsistency in manual quality assessment across large-scale operations.</w:t>
      </w:r>
    </w:p>
    <w:p>
      <w:pPr>
        <w:pStyle w:val="ListParagraph"/>
        <w:numPr>
          <w:ilvl w:val="0"/>
          <w:numId w:val="2"/>
        </w:numPr>
        <w:spacing w:after="40" w:before="40"/>
      </w:pPr>
      <w:r>
        <w:rPr>
          <w:rFonts w:ascii="Arial" w:cs="Arial" w:eastAsia="Arial" w:hAnsi="Arial"/>
          <w:color w:val="1A1A2E"/>
          <w:sz w:val="22"/>
          <w:szCs w:val="22"/>
        </w:rPr>
        <w:t xml:space="preserve">Significant post-harvest losses due to delayed detection of spoiled produce.</w:t>
      </w:r>
    </w:p>
    <w:p>
      <w:pPr>
        <w:pStyle w:val="ListParagraph"/>
        <w:numPr>
          <w:ilvl w:val="0"/>
          <w:numId w:val="2"/>
        </w:numPr>
        <w:spacing w:after="40" w:before="40"/>
      </w:pPr>
      <w:r>
        <w:rPr>
          <w:rFonts w:ascii="Arial" w:cs="Arial" w:eastAsia="Arial" w:hAnsi="Arial"/>
          <w:color w:val="1A1A2E"/>
          <w:sz w:val="22"/>
          <w:szCs w:val="22"/>
        </w:rPr>
        <w:t xml:space="preserve">Need for a cost-effective AI solution deployable in real-world supply chain environments.</w:t>
      </w:r>
    </w:p>
    <w:p>
      <w:pPr>
        <w:spacing w:after="0" w:before="120"/>
      </w:pPr>
    </w:p>
    <w:p>
      <w:pPr>
        <w:pBdr>
          <w:bottom w:val="single" w:color="2E86AB" w:sz="8" w:space="2"/>
        </w:pBdr>
        <w:spacing w:after="100" w:before="200"/>
      </w:pPr>
      <w:r>
        <w:rPr>
          <w:rFonts w:ascii="Arial" w:cs="Arial" w:eastAsia="Arial" w:hAnsi="Arial"/>
          <w:b/>
          <w:bCs/>
          <w:color w:val="1F4E79"/>
          <w:sz w:val="26"/>
          <w:szCs w:val="26"/>
        </w:rPr>
        <w:t xml:space="preserve">4. Objectives</w:t>
      </w:r>
    </w:p>
    <w:p>
      <w:pPr>
        <w:spacing w:after="60" w:before="60"/>
      </w:pPr>
      <w:r>
        <w:rPr>
          <w:rFonts w:ascii="Arial" w:cs="Arial" w:eastAsia="Arial" w:hAnsi="Arial"/>
          <w:b w:val="false"/>
          <w:bCs w:val="false"/>
          <w:color w:val="1A1A2E"/>
          <w:sz w:val="22"/>
          <w:szCs w:val="22"/>
        </w:rPr>
        <w:t xml:space="preserve">The primary objectives of this project are:</w:t>
      </w:r>
    </w:p>
    <w:p>
      <w:pPr>
        <w:pStyle w:val="ListParagraph"/>
        <w:numPr>
          <w:ilvl w:val="0"/>
          <w:numId w:val="2"/>
        </w:numPr>
        <w:spacing w:after="40" w:before="40"/>
      </w:pPr>
      <w:r>
        <w:rPr>
          <w:rFonts w:ascii="Arial" w:cs="Arial" w:eastAsia="Arial" w:hAnsi="Arial"/>
          <w:color w:val="1A1A2E"/>
          <w:sz w:val="22"/>
          <w:szCs w:val="22"/>
        </w:rPr>
        <w:t xml:space="preserve">To build an automated image classification system that detects and classifies fruits as fresh or rotten using deep learning techniques.</w:t>
      </w:r>
    </w:p>
    <w:p>
      <w:pPr>
        <w:pStyle w:val="ListParagraph"/>
        <w:numPr>
          <w:ilvl w:val="0"/>
          <w:numId w:val="2"/>
        </w:numPr>
        <w:spacing w:after="40" w:before="40"/>
      </w:pPr>
      <w:r>
        <w:rPr>
          <w:rFonts w:ascii="Arial" w:cs="Arial" w:eastAsia="Arial" w:hAnsi="Arial"/>
          <w:color w:val="1A1A2E"/>
          <w:sz w:val="22"/>
          <w:szCs w:val="22"/>
        </w:rPr>
        <w:t xml:space="preserve">To apply Transfer Learning with MobileNetV2 pre-trained on ImageNet for high accuracy with minimal training data.</w:t>
      </w:r>
    </w:p>
    <w:p>
      <w:pPr>
        <w:pStyle w:val="ListParagraph"/>
        <w:numPr>
          <w:ilvl w:val="0"/>
          <w:numId w:val="2"/>
        </w:numPr>
        <w:spacing w:after="40" w:before="40"/>
      </w:pPr>
      <w:r>
        <w:rPr>
          <w:rFonts w:ascii="Arial" w:cs="Arial" w:eastAsia="Arial" w:hAnsi="Arial"/>
          <w:color w:val="1A1A2E"/>
          <w:sz w:val="22"/>
          <w:szCs w:val="22"/>
        </w:rPr>
        <w:t xml:space="preserve">To preprocess, augment, and analyze the Fruits-360 / fresh-rotten dataset to ensure model robustness.</w:t>
      </w:r>
    </w:p>
    <w:p>
      <w:pPr>
        <w:pStyle w:val="ListParagraph"/>
        <w:numPr>
          <w:ilvl w:val="0"/>
          <w:numId w:val="2"/>
        </w:numPr>
        <w:spacing w:after="40" w:before="40"/>
      </w:pPr>
      <w:r>
        <w:rPr>
          <w:rFonts w:ascii="Arial" w:cs="Arial" w:eastAsia="Arial" w:hAnsi="Arial"/>
          <w:color w:val="1A1A2E"/>
          <w:sz w:val="22"/>
          <w:szCs w:val="22"/>
        </w:rPr>
        <w:t xml:space="preserve">To evaluate the model using performance metrics such as Accuracy, Precision, Recall, F1-Score, and Confusion Matrix.</w:t>
      </w:r>
    </w:p>
    <w:p>
      <w:pPr>
        <w:pStyle w:val="ListParagraph"/>
        <w:numPr>
          <w:ilvl w:val="0"/>
          <w:numId w:val="2"/>
        </w:numPr>
        <w:spacing w:after="40" w:before="40"/>
      </w:pPr>
      <w:r>
        <w:rPr>
          <w:rFonts w:ascii="Arial" w:cs="Arial" w:eastAsia="Arial" w:hAnsi="Arial"/>
          <w:color w:val="1A1A2E"/>
          <w:sz w:val="22"/>
          <w:szCs w:val="22"/>
        </w:rPr>
        <w:t xml:space="preserve">To visualize training results (loss/accuracy curves) and model predictions for interpretability.</w:t>
      </w:r>
    </w:p>
    <w:p>
      <w:pPr>
        <w:pStyle w:val="ListParagraph"/>
        <w:numPr>
          <w:ilvl w:val="0"/>
          <w:numId w:val="2"/>
        </w:numPr>
        <w:spacing w:after="40" w:before="40"/>
      </w:pPr>
      <w:r>
        <w:rPr>
          <w:rFonts w:ascii="Arial" w:cs="Arial" w:eastAsia="Arial" w:hAnsi="Arial"/>
          <w:color w:val="1A1A2E"/>
          <w:sz w:val="22"/>
          <w:szCs w:val="22"/>
        </w:rPr>
        <w:t xml:space="preserve">To explore real-world applicability of the solution in retail stores, cold storage, and agricultural quality control.</w:t>
      </w:r>
    </w:p>
    <w:p>
      <w:pPr>
        <w:pStyle w:val="ListParagraph"/>
        <w:numPr>
          <w:ilvl w:val="0"/>
          <w:numId w:val="2"/>
        </w:numPr>
        <w:spacing w:after="40" w:before="40"/>
      </w:pPr>
      <w:r>
        <w:rPr>
          <w:rFonts w:ascii="Arial" w:cs="Arial" w:eastAsia="Arial" w:hAnsi="Arial"/>
          <w:color w:val="1A1A2E"/>
          <w:sz w:val="22"/>
          <w:szCs w:val="22"/>
        </w:rPr>
        <w:t xml:space="preserve">To suggest future improvements such as deployment as a mobile/web app and multi-class fruit-type classification.</w:t>
      </w:r>
    </w:p>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555555"/>
                <w:sz w:val="20"/>
                <w:szCs w:val="20"/>
              </w:rPr>
              <w:t xml:space="preserve">Domain: Computer Vision / Agriculture</w:t>
            </w:r>
          </w:p>
        </w:tc>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pPr>
              <w:jc w:val="right"/>
            </w:pPr>
            <w:r>
              <w:rPr>
                <w:rFonts w:ascii="Arial" w:cs="Arial" w:eastAsia="Arial" w:hAnsi="Arial"/>
                <w:color w:val="555555"/>
                <w:sz w:val="20"/>
                <w:szCs w:val="20"/>
              </w:rPr>
              <w:t xml:space="preserve">Technology: Python · TensorFlow · MobileNetV2</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2026-04-26T08:06:36.532Z</dcterms:created>
  <dcterms:modified xsi:type="dcterms:W3CDTF">2026-04-26T08:06:36.533Z</dcterms:modified>
</cp:coreProperties>
</file>

<file path=docProps/custom.xml><?xml version="1.0" encoding="utf-8"?>
<Properties xmlns="http://schemas.openxmlformats.org/officeDocument/2006/custom-properties" xmlns:vt="http://schemas.openxmlformats.org/officeDocument/2006/docPropsVTypes"/>
</file>